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A413D" w14:textId="42545EEC" w:rsidR="00192C39" w:rsidRPr="0005513D" w:rsidRDefault="00192C39" w:rsidP="002D1D92">
      <w:pPr>
        <w:pStyle w:val="p1"/>
        <w:spacing w:before="0" w:beforeAutospacing="0" w:after="300" w:afterAutospacing="0"/>
        <w:textAlignment w:val="baseline"/>
        <w:rPr>
          <w:b/>
          <w:bCs/>
          <w:color w:val="000000" w:themeColor="text1"/>
          <w:sz w:val="28"/>
          <w:szCs w:val="28"/>
          <w:u w:val="single"/>
        </w:rPr>
      </w:pPr>
      <w:r w:rsidRPr="0005513D">
        <w:rPr>
          <w:b/>
          <w:bCs/>
          <w:color w:val="000000" w:themeColor="text1"/>
          <w:sz w:val="28"/>
          <w:szCs w:val="28"/>
          <w:u w:val="single"/>
        </w:rPr>
        <w:t>Analysis of Sales Data within Queensland, Tasmania, Northern Territory, Victoria, Australian Capital Territory and New South Wales</w:t>
      </w:r>
    </w:p>
    <w:p w14:paraId="4B7C5265" w14:textId="2FFE43EB" w:rsidR="002D1D92" w:rsidRPr="006F1266" w:rsidRDefault="002D1D92" w:rsidP="002D1D92">
      <w:pPr>
        <w:pStyle w:val="p1"/>
        <w:spacing w:before="0" w:beforeAutospacing="0" w:after="300" w:afterAutospacing="0"/>
        <w:textAlignment w:val="baseline"/>
        <w:rPr>
          <w:color w:val="000000" w:themeColor="text1"/>
        </w:rPr>
      </w:pPr>
      <w:r w:rsidRPr="006F1266">
        <w:rPr>
          <w:color w:val="000000" w:themeColor="text1"/>
        </w:rPr>
        <w:t>First of all, let us look at the Sales Data from the entire period 2018-2020 for each State for each product as shown in the following Bar Chart and Table.</w:t>
      </w:r>
    </w:p>
    <w:p w14:paraId="070F290A" w14:textId="43121224" w:rsidR="002D1D92" w:rsidRDefault="004605AD" w:rsidP="002D1D92">
      <w:pPr>
        <w:pStyle w:val="p1"/>
        <w:spacing w:before="0" w:beforeAutospacing="0" w:after="300" w:afterAutospacing="0"/>
        <w:textAlignment w:val="baseline"/>
        <w:rPr>
          <w:color w:val="000000" w:themeColor="text1"/>
          <w:sz w:val="28"/>
          <w:szCs w:val="28"/>
        </w:rPr>
      </w:pPr>
      <w:r w:rsidRPr="004605AD">
        <w:rPr>
          <w:noProof/>
          <w:color w:val="000000" w:themeColor="text1"/>
          <w:sz w:val="28"/>
          <w:szCs w:val="28"/>
        </w:rPr>
        <w:drawing>
          <wp:inline distT="0" distB="0" distL="0" distR="0" wp14:anchorId="330F095A" wp14:editId="62E695EA">
            <wp:extent cx="5569236" cy="1866996"/>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5569236" cy="1866996"/>
                    </a:xfrm>
                    <a:prstGeom prst="rect">
                      <a:avLst/>
                    </a:prstGeom>
                  </pic:spPr>
                </pic:pic>
              </a:graphicData>
            </a:graphic>
          </wp:inline>
        </w:drawing>
      </w:r>
    </w:p>
    <w:p w14:paraId="6EDE806A" w14:textId="353E5A85" w:rsidR="004605AD" w:rsidRDefault="00805CDC" w:rsidP="002D1D92">
      <w:pPr>
        <w:pStyle w:val="p1"/>
        <w:spacing w:before="0" w:beforeAutospacing="0" w:after="300" w:afterAutospacing="0"/>
        <w:textAlignment w:val="baseline"/>
        <w:rPr>
          <w:color w:val="000000" w:themeColor="text1"/>
          <w:sz w:val="28"/>
          <w:szCs w:val="28"/>
        </w:rPr>
      </w:pPr>
      <w:r w:rsidRPr="00805CDC">
        <w:rPr>
          <w:noProof/>
          <w:color w:val="000000" w:themeColor="text1"/>
          <w:sz w:val="28"/>
          <w:szCs w:val="28"/>
        </w:rPr>
        <w:drawing>
          <wp:inline distT="0" distB="0" distL="0" distR="0" wp14:anchorId="4AD1635B" wp14:editId="5B02D528">
            <wp:extent cx="6120130" cy="1400810"/>
            <wp:effectExtent l="0" t="0" r="0" b="889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6120130" cy="1400810"/>
                    </a:xfrm>
                    <a:prstGeom prst="rect">
                      <a:avLst/>
                    </a:prstGeom>
                  </pic:spPr>
                </pic:pic>
              </a:graphicData>
            </a:graphic>
          </wp:inline>
        </w:drawing>
      </w:r>
    </w:p>
    <w:p w14:paraId="28BC547B" w14:textId="1C77D1D0" w:rsidR="002D1D92" w:rsidRPr="00CF3D1C" w:rsidRDefault="004E342D" w:rsidP="002D1D92">
      <w:pPr>
        <w:pStyle w:val="p1"/>
        <w:spacing w:before="0" w:beforeAutospacing="0" w:after="300" w:afterAutospacing="0"/>
        <w:textAlignment w:val="baseline"/>
        <w:rPr>
          <w:color w:val="000000" w:themeColor="text1"/>
        </w:rPr>
      </w:pPr>
      <w:r w:rsidRPr="00CF3D1C">
        <w:rPr>
          <w:color w:val="000000" w:themeColor="text1"/>
        </w:rPr>
        <w:t>Let us understand the products that are being analysed.</w:t>
      </w:r>
    </w:p>
    <w:p w14:paraId="3BB8CB5D" w14:textId="392AF866" w:rsidR="004E342D" w:rsidRPr="00CF3D1C" w:rsidRDefault="004E342D" w:rsidP="002D1D92">
      <w:pPr>
        <w:pStyle w:val="p1"/>
        <w:spacing w:before="0" w:beforeAutospacing="0" w:after="300" w:afterAutospacing="0"/>
        <w:textAlignment w:val="baseline"/>
        <w:rPr>
          <w:color w:val="000000" w:themeColor="text1"/>
        </w:rPr>
      </w:pPr>
      <w:r w:rsidRPr="00CF3D1C">
        <w:rPr>
          <w:color w:val="000000" w:themeColor="text1"/>
        </w:rPr>
        <w:t>Let’s begin with the Viper Ear Muffs, which I understand are used to minimise the exposure to very loud noise. In Australia, this is particularly relevant in the Industrial, Construction and Mining</w:t>
      </w:r>
      <w:r w:rsidR="00FD043B" w:rsidRPr="00CF3D1C">
        <w:rPr>
          <w:color w:val="000000" w:themeColor="text1"/>
        </w:rPr>
        <w:t xml:space="preserve"> Sectors</w:t>
      </w:r>
      <w:r w:rsidRPr="00CF3D1C">
        <w:rPr>
          <w:color w:val="000000" w:themeColor="text1"/>
        </w:rPr>
        <w:t>. Mining in particular takes place in all the States in Australia</w:t>
      </w:r>
      <w:r w:rsidR="00FD043B" w:rsidRPr="00CF3D1C">
        <w:rPr>
          <w:color w:val="000000" w:themeColor="text1"/>
        </w:rPr>
        <w:t>, particularly for Black and Brown Coal, Gold, Iron Ore, Lead, Nickel, Bauxite, Zircon and Diamonds.</w:t>
      </w:r>
    </w:p>
    <w:p w14:paraId="23ADC00C" w14:textId="17B24BC4" w:rsidR="00FD043B" w:rsidRPr="000A43EB" w:rsidRDefault="00FD043B" w:rsidP="002D1D92">
      <w:pPr>
        <w:pStyle w:val="p1"/>
        <w:spacing w:before="0" w:beforeAutospacing="0" w:after="300" w:afterAutospacing="0"/>
        <w:textAlignment w:val="baseline"/>
        <w:rPr>
          <w:color w:val="000000" w:themeColor="text1"/>
        </w:rPr>
      </w:pPr>
      <w:r w:rsidRPr="000A43EB">
        <w:rPr>
          <w:color w:val="000000" w:themeColor="text1"/>
        </w:rPr>
        <w:lastRenderedPageBreak/>
        <w:t>As we can see from the data, the state of Queensland has the highest sales figures for all products across the 2018-2020 time frame. Out of all the 6 states, Queensland has the third largest population</w:t>
      </w:r>
      <w:r w:rsidR="000C30EC" w:rsidRPr="000A43EB">
        <w:rPr>
          <w:color w:val="000000" w:themeColor="text1"/>
        </w:rPr>
        <w:t xml:space="preserve"> and has 615 cities. New South Wales followed by Victoria have the highest populations and have approximately 70 and 53 cities respectively. As far as mining is concerned in Queensland, it contributes significantly to base metal production and leads the way in Black Coal, </w:t>
      </w:r>
      <w:r w:rsidR="00007A10" w:rsidRPr="000A43EB">
        <w:rPr>
          <w:color w:val="000000" w:themeColor="text1"/>
        </w:rPr>
        <w:t>Lead and Zinc production. Queensland is Australia’s leading source of Bauxite, which is used in the production of Aluminium.</w:t>
      </w:r>
      <w:r w:rsidR="00231699" w:rsidRPr="000A43EB">
        <w:rPr>
          <w:color w:val="000000" w:themeColor="text1"/>
        </w:rPr>
        <w:t xml:space="preserve"> In addition to this, demand and price for Aluminium has increased, which is good new for Australian Mining as it also exports the metal abroad.</w:t>
      </w:r>
      <w:r w:rsidR="003E54DB" w:rsidRPr="000A43EB">
        <w:rPr>
          <w:color w:val="000000" w:themeColor="text1"/>
        </w:rPr>
        <w:t xml:space="preserve"> Overall, this contributes to the increased Sales in Queensland for this product.</w:t>
      </w:r>
    </w:p>
    <w:p w14:paraId="4825626B" w14:textId="2C490511" w:rsidR="00231699" w:rsidRPr="000A43EB" w:rsidRDefault="00231699" w:rsidP="002D1D92">
      <w:pPr>
        <w:pStyle w:val="p1"/>
        <w:spacing w:before="0" w:beforeAutospacing="0" w:after="300" w:afterAutospacing="0"/>
        <w:textAlignment w:val="baseline"/>
        <w:rPr>
          <w:color w:val="000000" w:themeColor="text1"/>
        </w:rPr>
      </w:pPr>
      <w:r w:rsidRPr="000A43EB">
        <w:rPr>
          <w:color w:val="000000" w:themeColor="text1"/>
        </w:rPr>
        <w:t xml:space="preserve">As Queensland has the most number of cities of all those in the data, it is logical to say that </w:t>
      </w:r>
      <w:r w:rsidR="00827B21" w:rsidRPr="000A43EB">
        <w:rPr>
          <w:color w:val="000000" w:themeColor="text1"/>
        </w:rPr>
        <w:t xml:space="preserve">the reason why </w:t>
      </w:r>
      <w:r w:rsidRPr="000A43EB">
        <w:rPr>
          <w:color w:val="000000" w:themeColor="text1"/>
        </w:rPr>
        <w:t xml:space="preserve">Viper Ear Muffs are most popular here </w:t>
      </w:r>
      <w:r w:rsidR="00827B21" w:rsidRPr="000A43EB">
        <w:rPr>
          <w:color w:val="000000" w:themeColor="text1"/>
        </w:rPr>
        <w:t xml:space="preserve">is because it is more likely that more construction occurs here. The land area in Queensland in </w:t>
      </w:r>
      <w:proofErr w:type="spellStart"/>
      <w:r w:rsidR="00827B21" w:rsidRPr="000A43EB">
        <w:rPr>
          <w:color w:val="000000" w:themeColor="text1"/>
        </w:rPr>
        <w:t>Sq</w:t>
      </w:r>
      <w:proofErr w:type="spellEnd"/>
      <w:r w:rsidR="00827B21" w:rsidRPr="000A43EB">
        <w:rPr>
          <w:color w:val="000000" w:themeColor="text1"/>
        </w:rPr>
        <w:t xml:space="preserve"> Km is the second highest in the country behind Western Australia, who is not in this data set.</w:t>
      </w:r>
      <w:r w:rsidR="00C55490" w:rsidRPr="000A43EB">
        <w:rPr>
          <w:color w:val="000000" w:themeColor="text1"/>
        </w:rPr>
        <w:t xml:space="preserve"> Therefore, more land can possibly equate to more construction</w:t>
      </w:r>
      <w:r w:rsidR="003E54DB" w:rsidRPr="000A43EB">
        <w:rPr>
          <w:color w:val="000000" w:themeColor="text1"/>
        </w:rPr>
        <w:t xml:space="preserve"> and more purchase of this product.</w:t>
      </w:r>
    </w:p>
    <w:p w14:paraId="5CCCC860" w14:textId="768DA166" w:rsidR="00C55490" w:rsidRPr="000A43EB" w:rsidRDefault="00C55490" w:rsidP="002D1D92">
      <w:pPr>
        <w:pStyle w:val="p1"/>
        <w:spacing w:before="0" w:beforeAutospacing="0" w:after="300" w:afterAutospacing="0"/>
        <w:textAlignment w:val="baseline"/>
        <w:rPr>
          <w:color w:val="000000" w:themeColor="text1"/>
        </w:rPr>
      </w:pPr>
      <w:r w:rsidRPr="000A43EB">
        <w:rPr>
          <w:color w:val="000000" w:themeColor="text1"/>
        </w:rPr>
        <w:t xml:space="preserve">The next product we are analysing is </w:t>
      </w:r>
      <w:r w:rsidR="00AA6B52" w:rsidRPr="000A43EB">
        <w:rPr>
          <w:color w:val="000000" w:themeColor="text1"/>
        </w:rPr>
        <w:t xml:space="preserve">the Spill Response Kit, which is a kit to attend to a spillage, whether it be an Oil, Fuel or Chemical spill. </w:t>
      </w:r>
      <w:r w:rsidR="004C3B9D" w:rsidRPr="000A43EB">
        <w:rPr>
          <w:color w:val="000000" w:themeColor="text1"/>
        </w:rPr>
        <w:t>In Australia, it is required by Law</w:t>
      </w:r>
      <w:r w:rsidR="004600EA" w:rsidRPr="000A43EB">
        <w:rPr>
          <w:color w:val="000000" w:themeColor="text1"/>
        </w:rPr>
        <w:t>,</w:t>
      </w:r>
      <w:r w:rsidR="004C3B9D" w:rsidRPr="000A43EB">
        <w:rPr>
          <w:color w:val="000000" w:themeColor="text1"/>
        </w:rPr>
        <w:t xml:space="preserve"> that it is your responsibility to ensure</w:t>
      </w:r>
      <w:r w:rsidR="004600EA" w:rsidRPr="000A43EB">
        <w:rPr>
          <w:color w:val="000000" w:themeColor="text1"/>
        </w:rPr>
        <w:t>,</w:t>
      </w:r>
      <w:r w:rsidR="004C3B9D" w:rsidRPr="000A43EB">
        <w:rPr>
          <w:color w:val="000000" w:themeColor="text1"/>
        </w:rPr>
        <w:t xml:space="preserve"> that by your actions </w:t>
      </w:r>
      <w:r w:rsidR="004600EA" w:rsidRPr="000A43EB">
        <w:rPr>
          <w:color w:val="000000" w:themeColor="text1"/>
        </w:rPr>
        <w:t xml:space="preserve">you </w:t>
      </w:r>
      <w:r w:rsidR="004C3B9D" w:rsidRPr="000A43EB">
        <w:rPr>
          <w:color w:val="000000" w:themeColor="text1"/>
        </w:rPr>
        <w:t xml:space="preserve">do not </w:t>
      </w:r>
      <w:r w:rsidR="004600EA" w:rsidRPr="000A43EB">
        <w:rPr>
          <w:color w:val="000000" w:themeColor="text1"/>
        </w:rPr>
        <w:t xml:space="preserve">cause </w:t>
      </w:r>
      <w:r w:rsidR="004C3B9D" w:rsidRPr="000A43EB">
        <w:rPr>
          <w:color w:val="000000" w:themeColor="text1"/>
        </w:rPr>
        <w:t>a spillage that can affect your employees or the environment. This I anticipate to be the reason behind the sales of this product, whereby in Queensland the highest sales figure occurs. With 615 cities in this state</w:t>
      </w:r>
      <w:r w:rsidR="004600EA" w:rsidRPr="000A43EB">
        <w:rPr>
          <w:color w:val="000000" w:themeColor="text1"/>
        </w:rPr>
        <w:t>, there are potentially more businesses and therefore a higher demand for this product.</w:t>
      </w:r>
    </w:p>
    <w:p w14:paraId="3275BFAA" w14:textId="2E07D92E" w:rsidR="00637032" w:rsidRPr="000A43EB" w:rsidRDefault="00637032" w:rsidP="002D1D92">
      <w:pPr>
        <w:pStyle w:val="p1"/>
        <w:spacing w:before="0" w:beforeAutospacing="0" w:after="300" w:afterAutospacing="0"/>
        <w:textAlignment w:val="baseline"/>
        <w:rPr>
          <w:color w:val="000000" w:themeColor="text1"/>
        </w:rPr>
      </w:pPr>
      <w:r w:rsidRPr="000A43EB">
        <w:rPr>
          <w:color w:val="000000" w:themeColor="text1"/>
        </w:rPr>
        <w:t xml:space="preserve">Following on from that, the next product is </w:t>
      </w:r>
      <w:r w:rsidR="006B74A4">
        <w:rPr>
          <w:color w:val="000000" w:themeColor="text1"/>
        </w:rPr>
        <w:t>the</w:t>
      </w:r>
      <w:r w:rsidRPr="000A43EB">
        <w:rPr>
          <w:color w:val="000000" w:themeColor="text1"/>
        </w:rPr>
        <w:t xml:space="preserve"> Bio Waste Kit, which I presume is to clean up Biohazardous waste. Usually a Biohazardous Spill is comprised of bodily fluids from animals or humans.</w:t>
      </w:r>
    </w:p>
    <w:p w14:paraId="178D9F01" w14:textId="5F47B3D2" w:rsidR="00B4058A" w:rsidRPr="000A43EB" w:rsidRDefault="00B4058A" w:rsidP="002D1D92">
      <w:pPr>
        <w:pStyle w:val="p1"/>
        <w:spacing w:before="0" w:beforeAutospacing="0" w:after="300" w:afterAutospacing="0"/>
        <w:textAlignment w:val="baseline"/>
        <w:rPr>
          <w:color w:val="000000" w:themeColor="text1"/>
        </w:rPr>
      </w:pPr>
      <w:r w:rsidRPr="000A43EB">
        <w:rPr>
          <w:color w:val="000000" w:themeColor="text1"/>
        </w:rPr>
        <w:t>A Hook Tie Down System is a strap with a hook that secures loads, which I think is used in Construction and Mining. It’s use compliments the Viper Earmuffs</w:t>
      </w:r>
      <w:r w:rsidR="00D250C2" w:rsidRPr="000A43EB">
        <w:rPr>
          <w:color w:val="000000" w:themeColor="text1"/>
        </w:rPr>
        <w:t xml:space="preserve"> and the Spillage Kits.</w:t>
      </w:r>
    </w:p>
    <w:p w14:paraId="5CCA70CE" w14:textId="222F1816" w:rsidR="00D250C2" w:rsidRPr="000A43EB" w:rsidRDefault="00D250C2" w:rsidP="002D1D92">
      <w:pPr>
        <w:pStyle w:val="p1"/>
        <w:spacing w:before="0" w:beforeAutospacing="0" w:after="300" w:afterAutospacing="0"/>
        <w:textAlignment w:val="baseline"/>
        <w:rPr>
          <w:color w:val="000000" w:themeColor="text1"/>
        </w:rPr>
      </w:pPr>
      <w:r w:rsidRPr="000A43EB">
        <w:rPr>
          <w:color w:val="000000" w:themeColor="text1"/>
        </w:rPr>
        <w:t>A Mineral Absorbent Solution is used to mitigate</w:t>
      </w:r>
      <w:r w:rsidR="00563263" w:rsidRPr="000A43EB">
        <w:rPr>
          <w:color w:val="000000" w:themeColor="text1"/>
        </w:rPr>
        <w:t xml:space="preserve"> damage in the unfortunate event of a chemical, oil or acid spill. Again this type of product can be used together </w:t>
      </w:r>
      <w:r w:rsidR="00121E1F">
        <w:rPr>
          <w:color w:val="000000" w:themeColor="text1"/>
        </w:rPr>
        <w:t xml:space="preserve">with </w:t>
      </w:r>
      <w:r w:rsidR="00563263" w:rsidRPr="000A43EB">
        <w:rPr>
          <w:color w:val="000000" w:themeColor="text1"/>
        </w:rPr>
        <w:t>the Spillage Kits</w:t>
      </w:r>
      <w:r w:rsidR="00121E1F">
        <w:rPr>
          <w:color w:val="000000" w:themeColor="text1"/>
        </w:rPr>
        <w:t xml:space="preserve"> and the other products</w:t>
      </w:r>
      <w:r w:rsidR="00563263" w:rsidRPr="000A43EB">
        <w:rPr>
          <w:color w:val="000000" w:themeColor="text1"/>
        </w:rPr>
        <w:t>.</w:t>
      </w:r>
    </w:p>
    <w:p w14:paraId="2B280223" w14:textId="76C2674E" w:rsidR="00563263" w:rsidRPr="000A43EB" w:rsidRDefault="00563263" w:rsidP="002D1D92">
      <w:pPr>
        <w:pStyle w:val="p1"/>
        <w:spacing w:before="0" w:beforeAutospacing="0" w:after="300" w:afterAutospacing="0"/>
        <w:textAlignment w:val="baseline"/>
        <w:rPr>
          <w:color w:val="000000" w:themeColor="text1"/>
        </w:rPr>
      </w:pPr>
      <w:r w:rsidRPr="000A43EB">
        <w:rPr>
          <w:color w:val="000000" w:themeColor="text1"/>
        </w:rPr>
        <w:t xml:space="preserve">Storage Cabinets are used in this context to </w:t>
      </w:r>
      <w:r w:rsidR="00EB1472" w:rsidRPr="000A43EB">
        <w:rPr>
          <w:color w:val="000000" w:themeColor="text1"/>
        </w:rPr>
        <w:t>safely store chemicals and can help to prevent accidents and reduce harm at mine sites.</w:t>
      </w:r>
    </w:p>
    <w:p w14:paraId="1B02253F" w14:textId="359C754C" w:rsidR="000D00EB" w:rsidRPr="000A43EB" w:rsidRDefault="000D00EB" w:rsidP="002D1D92">
      <w:pPr>
        <w:pStyle w:val="p1"/>
        <w:spacing w:before="0" w:beforeAutospacing="0" w:after="300" w:afterAutospacing="0"/>
        <w:textAlignment w:val="baseline"/>
        <w:rPr>
          <w:color w:val="000000" w:themeColor="text1"/>
        </w:rPr>
      </w:pPr>
      <w:r w:rsidRPr="000A43EB">
        <w:rPr>
          <w:color w:val="000000" w:themeColor="text1"/>
        </w:rPr>
        <w:t xml:space="preserve">If you look at the sales figures as a whole for each state you notice that </w:t>
      </w:r>
      <w:r w:rsidR="006C5FB8" w:rsidRPr="000A43EB">
        <w:rPr>
          <w:color w:val="000000" w:themeColor="text1"/>
        </w:rPr>
        <w:t>the sales figures for Queensland are more or less double for each product compared to the sales figures from all the other states. In addition to this, the sales figures for all products across all states apart from Queensland are visibly on a par.</w:t>
      </w:r>
    </w:p>
    <w:p w14:paraId="4E4CBE00" w14:textId="5FEF30DD" w:rsidR="000A43EB" w:rsidRDefault="000A43EB" w:rsidP="002D1D92">
      <w:pPr>
        <w:pStyle w:val="p1"/>
        <w:spacing w:before="0" w:beforeAutospacing="0" w:after="300" w:afterAutospacing="0"/>
        <w:textAlignment w:val="baseline"/>
        <w:rPr>
          <w:color w:val="000000" w:themeColor="text1"/>
          <w:sz w:val="28"/>
          <w:szCs w:val="28"/>
        </w:rPr>
      </w:pPr>
    </w:p>
    <w:p w14:paraId="763282CC" w14:textId="571ABE7E" w:rsidR="000A43EB" w:rsidRPr="000A43EB" w:rsidRDefault="000A43EB" w:rsidP="002D1D92">
      <w:pPr>
        <w:pStyle w:val="p1"/>
        <w:spacing w:before="0" w:beforeAutospacing="0" w:after="300" w:afterAutospacing="0"/>
        <w:textAlignment w:val="baseline"/>
        <w:rPr>
          <w:color w:val="000000" w:themeColor="text1"/>
        </w:rPr>
      </w:pPr>
      <w:r>
        <w:rPr>
          <w:color w:val="000000" w:themeColor="text1"/>
        </w:rPr>
        <w:lastRenderedPageBreak/>
        <w:t>Looking at the table below we can see that in every product category</w:t>
      </w:r>
      <w:r w:rsidR="00D7002B">
        <w:rPr>
          <w:color w:val="000000" w:themeColor="text1"/>
        </w:rPr>
        <w:t xml:space="preserve"> </w:t>
      </w:r>
      <w:r>
        <w:rPr>
          <w:color w:val="000000" w:themeColor="text1"/>
        </w:rPr>
        <w:t>Queensland have made twice as many purchases</w:t>
      </w:r>
      <w:r w:rsidR="00D7002B">
        <w:rPr>
          <w:color w:val="000000" w:themeColor="text1"/>
        </w:rPr>
        <w:t xml:space="preserve"> than any other </w:t>
      </w:r>
      <w:r w:rsidR="00121E1F">
        <w:rPr>
          <w:color w:val="000000" w:themeColor="text1"/>
        </w:rPr>
        <w:t>s</w:t>
      </w:r>
      <w:r w:rsidR="00D7002B">
        <w:rPr>
          <w:color w:val="000000" w:themeColor="text1"/>
        </w:rPr>
        <w:t>tate.</w:t>
      </w:r>
      <w:r w:rsidR="002E0D44">
        <w:rPr>
          <w:color w:val="000000" w:themeColor="text1"/>
        </w:rPr>
        <w:t xml:space="preserve"> The mode for the number of units sold at any time of purchase was 6 units occurring 452 times, closely followed by 5 units occurring </w:t>
      </w:r>
      <w:r w:rsidR="00621B6E">
        <w:rPr>
          <w:color w:val="000000" w:themeColor="text1"/>
        </w:rPr>
        <w:t>399 times.</w:t>
      </w:r>
    </w:p>
    <w:p w14:paraId="6709C5E9" w14:textId="56760A33" w:rsidR="000A43EB" w:rsidRDefault="00621B6E" w:rsidP="002D1D92">
      <w:pPr>
        <w:pStyle w:val="p1"/>
        <w:spacing w:before="0" w:beforeAutospacing="0" w:after="300" w:afterAutospacing="0"/>
        <w:textAlignment w:val="baseline"/>
        <w:rPr>
          <w:color w:val="000000" w:themeColor="text1"/>
          <w:sz w:val="28"/>
          <w:szCs w:val="28"/>
        </w:rPr>
      </w:pPr>
      <w:r w:rsidRPr="00272908">
        <w:rPr>
          <w:noProof/>
          <w:color w:val="000000" w:themeColor="text1"/>
          <w:sz w:val="28"/>
          <w:szCs w:val="28"/>
        </w:rPr>
        <mc:AlternateContent>
          <mc:Choice Requires="wps">
            <w:drawing>
              <wp:anchor distT="45720" distB="45720" distL="114300" distR="114300" simplePos="0" relativeHeight="251659264" behindDoc="0" locked="0" layoutInCell="1" allowOverlap="1" wp14:anchorId="43239B1C" wp14:editId="09D16CDF">
                <wp:simplePos x="0" y="0"/>
                <wp:positionH relativeFrom="column">
                  <wp:posOffset>7780655</wp:posOffset>
                </wp:positionH>
                <wp:positionV relativeFrom="paragraph">
                  <wp:posOffset>37537</wp:posOffset>
                </wp:positionV>
                <wp:extent cx="1015365" cy="15214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5365" cy="1521460"/>
                        </a:xfrm>
                        <a:prstGeom prst="rect">
                          <a:avLst/>
                        </a:prstGeom>
                        <a:solidFill>
                          <a:srgbClr val="FFFFFF"/>
                        </a:solidFill>
                        <a:ln w="9525">
                          <a:noFill/>
                          <a:miter lim="800000"/>
                          <a:headEnd/>
                          <a:tailEnd/>
                        </a:ln>
                      </wps:spPr>
                      <wps:txbx>
                        <w:txbxContent>
                          <w:p w14:paraId="6630E658" w14:textId="07F8DB87" w:rsidR="00272908" w:rsidRDefault="002E0D44">
                            <w:r>
                              <w:rPr>
                                <w:noProof/>
                              </w:rPr>
                              <w:drawing>
                                <wp:inline distT="0" distB="0" distL="0" distR="0" wp14:anchorId="710A7520" wp14:editId="5855756D">
                                  <wp:extent cx="823595" cy="1371600"/>
                                  <wp:effectExtent l="0" t="0" r="0" b="0"/>
                                  <wp:docPr id="42" name="Picture 4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able&#10;&#10;Description automatically generated"/>
                                          <pic:cNvPicPr/>
                                        </pic:nvPicPr>
                                        <pic:blipFill>
                                          <a:blip r:embed="rId8"/>
                                          <a:stretch>
                                            <a:fillRect/>
                                          </a:stretch>
                                        </pic:blipFill>
                                        <pic:spPr>
                                          <a:xfrm>
                                            <a:off x="0" y="0"/>
                                            <a:ext cx="829401" cy="13812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239B1C" id="_x0000_t202" coordsize="21600,21600" o:spt="202" path="m,l,21600r21600,l21600,xe">
                <v:stroke joinstyle="miter"/>
                <v:path gradientshapeok="t" o:connecttype="rect"/>
              </v:shapetype>
              <v:shape id="Text Box 2" o:spid="_x0000_s1026" type="#_x0000_t202" style="position:absolute;margin-left:612.65pt;margin-top:2.95pt;width:79.95pt;height:119.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" stroked="f">
                <v:textbox>
                  <w:txbxContent>
                    <w:p w14:paraId="6630E658" w14:textId="07F8DB87" w:rsidR="00272908" w:rsidRDefault="002E0D44">
                      <w:r>
                        <w:rPr>
                          <w:noProof/>
                        </w:rPr>
                        <w:drawing>
                          <wp:inline distT="0" distB="0" distL="0" distR="0" wp14:anchorId="710A7520" wp14:editId="5855756D">
                            <wp:extent cx="823595" cy="1371600"/>
                            <wp:effectExtent l="0" t="0" r="0" b="0"/>
                            <wp:docPr id="42" name="Picture 4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able&#10;&#10;Description automatically generated"/>
                                    <pic:cNvPicPr/>
                                  </pic:nvPicPr>
                                  <pic:blipFill>
                                    <a:blip r:embed="rId8"/>
                                    <a:stretch>
                                      <a:fillRect/>
                                    </a:stretch>
                                  </pic:blipFill>
                                  <pic:spPr>
                                    <a:xfrm>
                                      <a:off x="0" y="0"/>
                                      <a:ext cx="829401" cy="1381270"/>
                                    </a:xfrm>
                                    <a:prstGeom prst="rect">
                                      <a:avLst/>
                                    </a:prstGeom>
                                  </pic:spPr>
                                </pic:pic>
                              </a:graphicData>
                            </a:graphic>
                          </wp:inline>
                        </w:drawing>
                      </w:r>
                    </w:p>
                  </w:txbxContent>
                </v:textbox>
                <w10:wrap type="square"/>
              </v:shape>
            </w:pict>
          </mc:Fallback>
        </mc:AlternateContent>
      </w:r>
      <w:r w:rsidR="000A43EB" w:rsidRPr="000A43EB">
        <w:rPr>
          <w:noProof/>
          <w:color w:val="000000" w:themeColor="text1"/>
          <w:sz w:val="28"/>
          <w:szCs w:val="28"/>
        </w:rPr>
        <w:drawing>
          <wp:inline distT="0" distB="0" distL="0" distR="0" wp14:anchorId="38463367" wp14:editId="782EC730">
            <wp:extent cx="7360028" cy="1447874"/>
            <wp:effectExtent l="0" t="0" r="0" b="0"/>
            <wp:docPr id="40" name="Picture 4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with medium confidence"/>
                    <pic:cNvPicPr/>
                  </pic:nvPicPr>
                  <pic:blipFill>
                    <a:blip r:embed="rId9"/>
                    <a:stretch>
                      <a:fillRect/>
                    </a:stretch>
                  </pic:blipFill>
                  <pic:spPr>
                    <a:xfrm>
                      <a:off x="0" y="0"/>
                      <a:ext cx="7360028" cy="1447874"/>
                    </a:xfrm>
                    <a:prstGeom prst="rect">
                      <a:avLst/>
                    </a:prstGeom>
                  </pic:spPr>
                </pic:pic>
              </a:graphicData>
            </a:graphic>
          </wp:inline>
        </w:drawing>
      </w:r>
    </w:p>
    <w:p w14:paraId="63F11B2A" w14:textId="42B41C99" w:rsidR="00BC258F" w:rsidRDefault="00BC258F" w:rsidP="00487C38">
      <w:pPr>
        <w:rPr>
          <w:rFonts w:ascii="Times New Roman" w:hAnsi="Times New Roman" w:cs="Times New Roman"/>
          <w:color w:val="777777"/>
          <w:sz w:val="24"/>
          <w:szCs w:val="24"/>
        </w:rPr>
      </w:pPr>
    </w:p>
    <w:p w14:paraId="12B9EF3A" w14:textId="115EC271" w:rsidR="00BC258F" w:rsidRPr="00BC258F" w:rsidRDefault="00BC258F" w:rsidP="00487C38">
      <w:pPr>
        <w:rPr>
          <w:rFonts w:ascii="Times New Roman" w:hAnsi="Times New Roman" w:cs="Times New Roman"/>
          <w:color w:val="000000" w:themeColor="text1"/>
          <w:sz w:val="24"/>
          <w:szCs w:val="24"/>
        </w:rPr>
      </w:pPr>
      <w:r w:rsidRPr="00BC258F">
        <w:rPr>
          <w:rFonts w:ascii="Times New Roman" w:hAnsi="Times New Roman" w:cs="Times New Roman"/>
          <w:color w:val="000000" w:themeColor="text1"/>
          <w:sz w:val="24"/>
          <w:szCs w:val="24"/>
        </w:rPr>
        <w:t xml:space="preserve">Now let </w:t>
      </w:r>
      <w:r w:rsidR="00121E1F">
        <w:rPr>
          <w:rFonts w:ascii="Times New Roman" w:hAnsi="Times New Roman" w:cs="Times New Roman"/>
          <w:color w:val="000000" w:themeColor="text1"/>
          <w:sz w:val="24"/>
          <w:szCs w:val="24"/>
        </w:rPr>
        <w:t>u</w:t>
      </w:r>
      <w:r w:rsidRPr="00BC258F">
        <w:rPr>
          <w:rFonts w:ascii="Times New Roman" w:hAnsi="Times New Roman" w:cs="Times New Roman"/>
          <w:color w:val="000000" w:themeColor="text1"/>
          <w:sz w:val="24"/>
          <w:szCs w:val="24"/>
        </w:rPr>
        <w:t>s look at the units sold for each product</w:t>
      </w:r>
      <w:r>
        <w:rPr>
          <w:rFonts w:ascii="Times New Roman" w:hAnsi="Times New Roman" w:cs="Times New Roman"/>
          <w:color w:val="000000" w:themeColor="text1"/>
          <w:sz w:val="24"/>
          <w:szCs w:val="24"/>
        </w:rPr>
        <w:t xml:space="preserve"> per state</w:t>
      </w:r>
      <w:r w:rsidRPr="00BC258F">
        <w:rPr>
          <w:rFonts w:ascii="Times New Roman" w:hAnsi="Times New Roman" w:cs="Times New Roman"/>
          <w:color w:val="000000" w:themeColor="text1"/>
          <w:sz w:val="24"/>
          <w:szCs w:val="24"/>
        </w:rPr>
        <w:t xml:space="preserve"> per year.</w:t>
      </w:r>
    </w:p>
    <w:p w14:paraId="587DF328" w14:textId="77EA0233" w:rsidR="00265B8D" w:rsidRDefault="004E2BAF" w:rsidP="00487C38">
      <w:pPr>
        <w:rPr>
          <w:color w:val="777777"/>
          <w:sz w:val="32"/>
          <w:szCs w:val="32"/>
        </w:rPr>
      </w:pPr>
      <w:r w:rsidRPr="004E2BAF">
        <w:rPr>
          <w:noProof/>
          <w:color w:val="777777"/>
          <w:sz w:val="32"/>
          <w:szCs w:val="32"/>
        </w:rPr>
        <w:drawing>
          <wp:inline distT="0" distB="0" distL="0" distR="0" wp14:anchorId="676345B4" wp14:editId="1DE53554">
            <wp:extent cx="6120130" cy="194373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stretch>
                      <a:fillRect/>
                    </a:stretch>
                  </pic:blipFill>
                  <pic:spPr>
                    <a:xfrm>
                      <a:off x="0" y="0"/>
                      <a:ext cx="6120130" cy="1943735"/>
                    </a:xfrm>
                    <a:prstGeom prst="rect">
                      <a:avLst/>
                    </a:prstGeom>
                  </pic:spPr>
                </pic:pic>
              </a:graphicData>
            </a:graphic>
          </wp:inline>
        </w:drawing>
      </w:r>
      <w:r w:rsidR="00192C39">
        <w:rPr>
          <w:color w:val="777777"/>
          <w:sz w:val="32"/>
          <w:szCs w:val="32"/>
        </w:rPr>
        <w:t xml:space="preserve"> </w:t>
      </w:r>
    </w:p>
    <w:p w14:paraId="6B168780" w14:textId="24951F63" w:rsidR="00487C38" w:rsidRDefault="00CD35E1" w:rsidP="00487C38">
      <w:pPr>
        <w:rPr>
          <w:color w:val="777777"/>
          <w:sz w:val="32"/>
          <w:szCs w:val="32"/>
        </w:rPr>
      </w:pPr>
      <w:r w:rsidRPr="00CD35E1">
        <w:rPr>
          <w:noProof/>
          <w:color w:val="777777"/>
          <w:sz w:val="32"/>
          <w:szCs w:val="32"/>
        </w:rPr>
        <w:lastRenderedPageBreak/>
        <w:drawing>
          <wp:inline distT="0" distB="0" distL="0" distR="0" wp14:anchorId="0EF4AA43" wp14:editId="1301FEB0">
            <wp:extent cx="6120130" cy="1940560"/>
            <wp:effectExtent l="0" t="0" r="0" b="254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a:stretch>
                      <a:fillRect/>
                    </a:stretch>
                  </pic:blipFill>
                  <pic:spPr>
                    <a:xfrm>
                      <a:off x="0" y="0"/>
                      <a:ext cx="6120130" cy="1940560"/>
                    </a:xfrm>
                    <a:prstGeom prst="rect">
                      <a:avLst/>
                    </a:prstGeom>
                  </pic:spPr>
                </pic:pic>
              </a:graphicData>
            </a:graphic>
          </wp:inline>
        </w:drawing>
      </w:r>
    </w:p>
    <w:p w14:paraId="07E1E313" w14:textId="0EF08CE3" w:rsidR="000067F3" w:rsidRDefault="007427F2" w:rsidP="00487C38">
      <w:pPr>
        <w:rPr>
          <w:color w:val="777777"/>
          <w:sz w:val="32"/>
          <w:szCs w:val="32"/>
        </w:rPr>
      </w:pPr>
      <w:r w:rsidRPr="007427F2">
        <w:rPr>
          <w:noProof/>
          <w:color w:val="777777"/>
          <w:sz w:val="32"/>
          <w:szCs w:val="32"/>
        </w:rPr>
        <w:drawing>
          <wp:inline distT="0" distB="0" distL="0" distR="0" wp14:anchorId="13F69DEC" wp14:editId="6F32E7B9">
            <wp:extent cx="6120130" cy="175895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2"/>
                    <a:stretch>
                      <a:fillRect/>
                    </a:stretch>
                  </pic:blipFill>
                  <pic:spPr>
                    <a:xfrm>
                      <a:off x="0" y="0"/>
                      <a:ext cx="6120130" cy="1758950"/>
                    </a:xfrm>
                    <a:prstGeom prst="rect">
                      <a:avLst/>
                    </a:prstGeom>
                  </pic:spPr>
                </pic:pic>
              </a:graphicData>
            </a:graphic>
          </wp:inline>
        </w:drawing>
      </w:r>
    </w:p>
    <w:p w14:paraId="31EEAC70" w14:textId="27148CD1" w:rsidR="007427F2" w:rsidRDefault="007427F2" w:rsidP="00487C38">
      <w:pPr>
        <w:rPr>
          <w:color w:val="777777"/>
          <w:sz w:val="32"/>
          <w:szCs w:val="32"/>
        </w:rPr>
      </w:pPr>
      <w:r w:rsidRPr="007427F2">
        <w:rPr>
          <w:noProof/>
          <w:color w:val="777777"/>
          <w:sz w:val="32"/>
          <w:szCs w:val="32"/>
        </w:rPr>
        <w:drawing>
          <wp:inline distT="0" distB="0" distL="0" distR="0" wp14:anchorId="56CA6D38" wp14:editId="2E6784B3">
            <wp:extent cx="6120130" cy="1785620"/>
            <wp:effectExtent l="0" t="0" r="0" b="508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a:stretch>
                      <a:fillRect/>
                    </a:stretch>
                  </pic:blipFill>
                  <pic:spPr>
                    <a:xfrm>
                      <a:off x="0" y="0"/>
                      <a:ext cx="6120130" cy="1785620"/>
                    </a:xfrm>
                    <a:prstGeom prst="rect">
                      <a:avLst/>
                    </a:prstGeom>
                  </pic:spPr>
                </pic:pic>
              </a:graphicData>
            </a:graphic>
          </wp:inline>
        </w:drawing>
      </w:r>
    </w:p>
    <w:p w14:paraId="4704FC14" w14:textId="1D280C2D" w:rsidR="008B7BE4" w:rsidRDefault="0005150F" w:rsidP="00487C38">
      <w:pPr>
        <w:rPr>
          <w:color w:val="777777"/>
          <w:sz w:val="32"/>
          <w:szCs w:val="32"/>
        </w:rPr>
      </w:pPr>
      <w:r w:rsidRPr="0005150F">
        <w:rPr>
          <w:noProof/>
          <w:color w:val="777777"/>
          <w:sz w:val="32"/>
          <w:szCs w:val="32"/>
        </w:rPr>
        <w:lastRenderedPageBreak/>
        <w:drawing>
          <wp:inline distT="0" distB="0" distL="0" distR="0" wp14:anchorId="2467CE0D" wp14:editId="3D5888F0">
            <wp:extent cx="7633092" cy="2286117"/>
            <wp:effectExtent l="0" t="0" r="6350" b="0"/>
            <wp:docPr id="30" name="Picture 30" descr="Graphical user interface, 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chart, bar chart&#10;&#10;Description automatically generated"/>
                    <pic:cNvPicPr/>
                  </pic:nvPicPr>
                  <pic:blipFill>
                    <a:blip r:embed="rId14"/>
                    <a:stretch>
                      <a:fillRect/>
                    </a:stretch>
                  </pic:blipFill>
                  <pic:spPr>
                    <a:xfrm>
                      <a:off x="0" y="0"/>
                      <a:ext cx="7633092" cy="2286117"/>
                    </a:xfrm>
                    <a:prstGeom prst="rect">
                      <a:avLst/>
                    </a:prstGeom>
                  </pic:spPr>
                </pic:pic>
              </a:graphicData>
            </a:graphic>
          </wp:inline>
        </w:drawing>
      </w:r>
    </w:p>
    <w:p w14:paraId="14CA7CC7" w14:textId="343C0682" w:rsidR="008B7BE4" w:rsidRDefault="001D73AC" w:rsidP="00487C38">
      <w:pPr>
        <w:rPr>
          <w:color w:val="777777"/>
          <w:sz w:val="32"/>
          <w:szCs w:val="32"/>
        </w:rPr>
      </w:pPr>
      <w:r w:rsidRPr="001D73AC">
        <w:rPr>
          <w:noProof/>
          <w:color w:val="777777"/>
          <w:sz w:val="32"/>
          <w:szCs w:val="32"/>
        </w:rPr>
        <w:drawing>
          <wp:inline distT="0" distB="0" distL="0" distR="0" wp14:anchorId="7DD28144" wp14:editId="0FB5F7F4">
            <wp:extent cx="7633092" cy="2279767"/>
            <wp:effectExtent l="0" t="0" r="6350" b="6350"/>
            <wp:docPr id="29" name="Picture 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10;&#10;Description automatically generated"/>
                    <pic:cNvPicPr/>
                  </pic:nvPicPr>
                  <pic:blipFill>
                    <a:blip r:embed="rId15"/>
                    <a:stretch>
                      <a:fillRect/>
                    </a:stretch>
                  </pic:blipFill>
                  <pic:spPr>
                    <a:xfrm>
                      <a:off x="0" y="0"/>
                      <a:ext cx="7633092" cy="2279767"/>
                    </a:xfrm>
                    <a:prstGeom prst="rect">
                      <a:avLst/>
                    </a:prstGeom>
                  </pic:spPr>
                </pic:pic>
              </a:graphicData>
            </a:graphic>
          </wp:inline>
        </w:drawing>
      </w:r>
    </w:p>
    <w:p w14:paraId="0D4404B9" w14:textId="2CC35121" w:rsidR="00523628" w:rsidRPr="00CF3D1C" w:rsidRDefault="00523628" w:rsidP="00487C38">
      <w:pPr>
        <w:rPr>
          <w:rFonts w:ascii="Times New Roman" w:hAnsi="Times New Roman" w:cs="Times New Roman"/>
          <w:color w:val="000000" w:themeColor="text1"/>
          <w:sz w:val="24"/>
          <w:szCs w:val="24"/>
        </w:rPr>
      </w:pPr>
      <w:r w:rsidRPr="00CF3D1C">
        <w:rPr>
          <w:rFonts w:ascii="Times New Roman" w:hAnsi="Times New Roman" w:cs="Times New Roman"/>
          <w:color w:val="000000" w:themeColor="text1"/>
          <w:sz w:val="24"/>
          <w:szCs w:val="24"/>
        </w:rPr>
        <w:t>As a general trend</w:t>
      </w:r>
      <w:r w:rsidR="00270B07">
        <w:rPr>
          <w:rFonts w:ascii="Times New Roman" w:hAnsi="Times New Roman" w:cs="Times New Roman"/>
          <w:color w:val="000000" w:themeColor="text1"/>
          <w:sz w:val="24"/>
          <w:szCs w:val="24"/>
        </w:rPr>
        <w:t>,</w:t>
      </w:r>
      <w:r w:rsidRPr="00CF3D1C">
        <w:rPr>
          <w:rFonts w:ascii="Times New Roman" w:hAnsi="Times New Roman" w:cs="Times New Roman"/>
          <w:color w:val="000000" w:themeColor="text1"/>
          <w:sz w:val="24"/>
          <w:szCs w:val="24"/>
        </w:rPr>
        <w:t xml:space="preserve"> as you progress from 2018 to 2020, the units sold for each product are at their highest in 2018 and then they are more or less on a par with each other in 2019 and 2020. There are a few exceptions, however, this shows that the requirement for businesses is at its highest in 2018 for these products and the main reason </w:t>
      </w:r>
      <w:r w:rsidR="00D32563" w:rsidRPr="00CF3D1C">
        <w:rPr>
          <w:rFonts w:ascii="Times New Roman" w:hAnsi="Times New Roman" w:cs="Times New Roman"/>
          <w:color w:val="000000" w:themeColor="text1"/>
          <w:sz w:val="24"/>
          <w:szCs w:val="24"/>
        </w:rPr>
        <w:t>why</w:t>
      </w:r>
      <w:r w:rsidRPr="00CF3D1C">
        <w:rPr>
          <w:rFonts w:ascii="Times New Roman" w:hAnsi="Times New Roman" w:cs="Times New Roman"/>
          <w:color w:val="000000" w:themeColor="text1"/>
          <w:sz w:val="24"/>
          <w:szCs w:val="24"/>
        </w:rPr>
        <w:t xml:space="preserve"> </w:t>
      </w:r>
      <w:r w:rsidR="00495EE7" w:rsidRPr="00CF3D1C">
        <w:rPr>
          <w:rFonts w:ascii="Times New Roman" w:hAnsi="Times New Roman" w:cs="Times New Roman"/>
          <w:color w:val="000000" w:themeColor="text1"/>
          <w:sz w:val="24"/>
          <w:szCs w:val="24"/>
        </w:rPr>
        <w:t xml:space="preserve">the units sold </w:t>
      </w:r>
      <w:r w:rsidR="00D32563" w:rsidRPr="00CF3D1C">
        <w:rPr>
          <w:rFonts w:ascii="Times New Roman" w:hAnsi="Times New Roman" w:cs="Times New Roman"/>
          <w:color w:val="000000" w:themeColor="text1"/>
          <w:sz w:val="24"/>
          <w:szCs w:val="24"/>
        </w:rPr>
        <w:t xml:space="preserve">are not </w:t>
      </w:r>
      <w:r w:rsidR="00495EE7" w:rsidRPr="00CF3D1C">
        <w:rPr>
          <w:rFonts w:ascii="Times New Roman" w:hAnsi="Times New Roman" w:cs="Times New Roman"/>
          <w:color w:val="000000" w:themeColor="text1"/>
          <w:sz w:val="24"/>
          <w:szCs w:val="24"/>
        </w:rPr>
        <w:t xml:space="preserve">as high in 2019 and 2020 is more than likely </w:t>
      </w:r>
      <w:r w:rsidR="00DA0DFA">
        <w:rPr>
          <w:rFonts w:ascii="Times New Roman" w:hAnsi="Times New Roman" w:cs="Times New Roman"/>
          <w:color w:val="000000" w:themeColor="text1"/>
          <w:sz w:val="24"/>
          <w:szCs w:val="24"/>
        </w:rPr>
        <w:t xml:space="preserve">to be </w:t>
      </w:r>
      <w:r w:rsidR="00D32563" w:rsidRPr="00CF3D1C">
        <w:rPr>
          <w:rFonts w:ascii="Times New Roman" w:hAnsi="Times New Roman" w:cs="Times New Roman"/>
          <w:color w:val="000000" w:themeColor="text1"/>
          <w:sz w:val="24"/>
          <w:szCs w:val="24"/>
        </w:rPr>
        <w:t>that consumer</w:t>
      </w:r>
      <w:r w:rsidR="00DA0DFA">
        <w:rPr>
          <w:rFonts w:ascii="Times New Roman" w:hAnsi="Times New Roman" w:cs="Times New Roman"/>
          <w:color w:val="000000" w:themeColor="text1"/>
          <w:sz w:val="24"/>
          <w:szCs w:val="24"/>
        </w:rPr>
        <w:t>s</w:t>
      </w:r>
      <w:r w:rsidR="00D32563" w:rsidRPr="00CF3D1C">
        <w:rPr>
          <w:rFonts w:ascii="Times New Roman" w:hAnsi="Times New Roman" w:cs="Times New Roman"/>
          <w:color w:val="000000" w:themeColor="text1"/>
          <w:sz w:val="24"/>
          <w:szCs w:val="24"/>
        </w:rPr>
        <w:t xml:space="preserve"> have already bought the bulk of their supplies and purchases in 2019 and 2020 are sustaining the</w:t>
      </w:r>
      <w:r w:rsidR="00DA0DFA">
        <w:rPr>
          <w:rFonts w:ascii="Times New Roman" w:hAnsi="Times New Roman" w:cs="Times New Roman"/>
          <w:color w:val="000000" w:themeColor="text1"/>
          <w:sz w:val="24"/>
          <w:szCs w:val="24"/>
        </w:rPr>
        <w:t>m.</w:t>
      </w:r>
    </w:p>
    <w:p w14:paraId="7EC18BC2" w14:textId="0E544D37" w:rsidR="00FD2821" w:rsidRDefault="00FD2821">
      <w:pPr>
        <w:rPr>
          <w:noProof/>
        </w:rPr>
      </w:pPr>
    </w:p>
    <w:p w14:paraId="0125846C" w14:textId="18AF9A6A" w:rsidR="00D32563" w:rsidRPr="00CF3D1C" w:rsidRDefault="00D32563">
      <w:pPr>
        <w:rPr>
          <w:rFonts w:ascii="Times New Roman" w:hAnsi="Times New Roman" w:cs="Times New Roman"/>
          <w:noProof/>
          <w:sz w:val="24"/>
          <w:szCs w:val="24"/>
        </w:rPr>
      </w:pPr>
      <w:r w:rsidRPr="00CF3D1C">
        <w:rPr>
          <w:rFonts w:ascii="Times New Roman" w:hAnsi="Times New Roman" w:cs="Times New Roman"/>
          <w:noProof/>
          <w:sz w:val="24"/>
          <w:szCs w:val="24"/>
        </w:rPr>
        <w:lastRenderedPageBreak/>
        <w:t xml:space="preserve">I am now going to analyse the </w:t>
      </w:r>
      <w:r w:rsidR="00DA0DFA">
        <w:rPr>
          <w:rFonts w:ascii="Times New Roman" w:hAnsi="Times New Roman" w:cs="Times New Roman"/>
          <w:noProof/>
          <w:sz w:val="24"/>
          <w:szCs w:val="24"/>
        </w:rPr>
        <w:t>A</w:t>
      </w:r>
      <w:r w:rsidRPr="00CF3D1C">
        <w:rPr>
          <w:rFonts w:ascii="Times New Roman" w:hAnsi="Times New Roman" w:cs="Times New Roman"/>
          <w:noProof/>
          <w:sz w:val="24"/>
          <w:szCs w:val="24"/>
        </w:rPr>
        <w:t xml:space="preserve">verage Wholesale Price with the </w:t>
      </w:r>
      <w:r w:rsidR="00DA0DFA">
        <w:rPr>
          <w:rFonts w:ascii="Times New Roman" w:hAnsi="Times New Roman" w:cs="Times New Roman"/>
          <w:noProof/>
          <w:sz w:val="24"/>
          <w:szCs w:val="24"/>
        </w:rPr>
        <w:t>Units</w:t>
      </w:r>
      <w:r w:rsidRPr="00CF3D1C">
        <w:rPr>
          <w:rFonts w:ascii="Times New Roman" w:hAnsi="Times New Roman" w:cs="Times New Roman"/>
          <w:noProof/>
          <w:sz w:val="24"/>
          <w:szCs w:val="24"/>
        </w:rPr>
        <w:t xml:space="preserve"> Sold per State for each year.</w:t>
      </w:r>
    </w:p>
    <w:p w14:paraId="61D74298" w14:textId="1A229BF6" w:rsidR="00D32563" w:rsidRDefault="00D32563">
      <w:r w:rsidRPr="00FD2821">
        <w:rPr>
          <w:noProof/>
        </w:rPr>
        <w:drawing>
          <wp:inline distT="0" distB="0" distL="0" distR="0" wp14:anchorId="3CC5DE92" wp14:editId="1EF45E91">
            <wp:extent cx="9251950" cy="4273903"/>
            <wp:effectExtent l="0" t="0" r="635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a:stretch>
                      <a:fillRect/>
                    </a:stretch>
                  </pic:blipFill>
                  <pic:spPr>
                    <a:xfrm>
                      <a:off x="0" y="0"/>
                      <a:ext cx="9251950" cy="4273903"/>
                    </a:xfrm>
                    <a:prstGeom prst="rect">
                      <a:avLst/>
                    </a:prstGeom>
                  </pic:spPr>
                </pic:pic>
              </a:graphicData>
            </a:graphic>
          </wp:inline>
        </w:drawing>
      </w:r>
    </w:p>
    <w:p w14:paraId="535238C1" w14:textId="66ED2E7D" w:rsidR="00FD2821" w:rsidRPr="006F1266" w:rsidRDefault="00393672">
      <w:pPr>
        <w:rPr>
          <w:rFonts w:ascii="Times New Roman" w:hAnsi="Times New Roman" w:cs="Times New Roman"/>
          <w:sz w:val="24"/>
          <w:szCs w:val="24"/>
        </w:rPr>
      </w:pPr>
      <w:r w:rsidRPr="006F1266">
        <w:rPr>
          <w:rFonts w:ascii="Times New Roman" w:hAnsi="Times New Roman" w:cs="Times New Roman"/>
          <w:sz w:val="24"/>
          <w:szCs w:val="24"/>
        </w:rPr>
        <w:t xml:space="preserve">As we can see it would be better to analyse the data graphically. Therefore, the subsequent Bar Charts show the sum of the </w:t>
      </w:r>
      <w:r w:rsidR="00270B07">
        <w:rPr>
          <w:rFonts w:ascii="Times New Roman" w:hAnsi="Times New Roman" w:cs="Times New Roman"/>
          <w:sz w:val="24"/>
          <w:szCs w:val="24"/>
        </w:rPr>
        <w:t xml:space="preserve">Average </w:t>
      </w:r>
      <w:r w:rsidRPr="006F1266">
        <w:rPr>
          <w:rFonts w:ascii="Times New Roman" w:hAnsi="Times New Roman" w:cs="Times New Roman"/>
          <w:sz w:val="24"/>
          <w:szCs w:val="24"/>
        </w:rPr>
        <w:t>Wholesale Price opposite the sum of the Units Sold for each year per State.</w:t>
      </w:r>
    </w:p>
    <w:p w14:paraId="15C97110" w14:textId="13003E61" w:rsidR="00FD2821" w:rsidRDefault="00FD2821"/>
    <w:p w14:paraId="0B65D407" w14:textId="5C83BA47" w:rsidR="00FD2821" w:rsidRDefault="00FD2821"/>
    <w:p w14:paraId="35423D57" w14:textId="4937FBCF" w:rsidR="00FD2821" w:rsidRDefault="00FD2821"/>
    <w:p w14:paraId="03C41FCD" w14:textId="216BDE5E" w:rsidR="00FD2821" w:rsidRDefault="00FD2821"/>
    <w:p w14:paraId="4BC6FCD0" w14:textId="21E8684D" w:rsidR="00FD2821" w:rsidRDefault="002262A7">
      <w:r w:rsidRPr="002262A7">
        <w:rPr>
          <w:noProof/>
        </w:rPr>
        <w:drawing>
          <wp:inline distT="0" distB="0" distL="0" distR="0" wp14:anchorId="6BF62524" wp14:editId="5CFBC7BE">
            <wp:extent cx="7931558" cy="2470277"/>
            <wp:effectExtent l="0" t="0" r="0" b="6350"/>
            <wp:docPr id="43" name="Picture 4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bar chart&#10;&#10;Description automatically generated"/>
                    <pic:cNvPicPr/>
                  </pic:nvPicPr>
                  <pic:blipFill>
                    <a:blip r:embed="rId17"/>
                    <a:stretch>
                      <a:fillRect/>
                    </a:stretch>
                  </pic:blipFill>
                  <pic:spPr>
                    <a:xfrm>
                      <a:off x="0" y="0"/>
                      <a:ext cx="7931558" cy="2470277"/>
                    </a:xfrm>
                    <a:prstGeom prst="rect">
                      <a:avLst/>
                    </a:prstGeom>
                  </pic:spPr>
                </pic:pic>
              </a:graphicData>
            </a:graphic>
          </wp:inline>
        </w:drawing>
      </w:r>
    </w:p>
    <w:p w14:paraId="72D101D3" w14:textId="6335C3E9" w:rsidR="008A5723" w:rsidRPr="00020FC8" w:rsidRDefault="005F3E84">
      <w:pPr>
        <w:rPr>
          <w:rFonts w:ascii="Times New Roman" w:hAnsi="Times New Roman" w:cs="Times New Roman"/>
          <w:sz w:val="24"/>
          <w:szCs w:val="24"/>
        </w:rPr>
      </w:pPr>
      <w:r w:rsidRPr="00020FC8">
        <w:rPr>
          <w:rFonts w:ascii="Times New Roman" w:hAnsi="Times New Roman" w:cs="Times New Roman"/>
          <w:sz w:val="24"/>
          <w:szCs w:val="24"/>
        </w:rPr>
        <w:t>Queensland,</w:t>
      </w:r>
      <w:r w:rsidR="003D2CF5" w:rsidRPr="00020FC8">
        <w:rPr>
          <w:rFonts w:ascii="Times New Roman" w:hAnsi="Times New Roman" w:cs="Times New Roman"/>
          <w:sz w:val="24"/>
          <w:szCs w:val="24"/>
        </w:rPr>
        <w:t>: W</w:t>
      </w:r>
      <w:r w:rsidRPr="00020FC8">
        <w:rPr>
          <w:rFonts w:ascii="Times New Roman" w:hAnsi="Times New Roman" w:cs="Times New Roman"/>
          <w:sz w:val="24"/>
          <w:szCs w:val="24"/>
        </w:rPr>
        <w:t>e can see that they buy the most of the Bio Waste Kit at a higher Wholesale Price in 2018, the price falls along with the Units Sold in 2019</w:t>
      </w:r>
      <w:r w:rsidR="00270B07">
        <w:rPr>
          <w:rFonts w:ascii="Times New Roman" w:hAnsi="Times New Roman" w:cs="Times New Roman"/>
          <w:sz w:val="24"/>
          <w:szCs w:val="24"/>
        </w:rPr>
        <w:t>,</w:t>
      </w:r>
      <w:r w:rsidRPr="00020FC8">
        <w:rPr>
          <w:rFonts w:ascii="Times New Roman" w:hAnsi="Times New Roman" w:cs="Times New Roman"/>
          <w:sz w:val="24"/>
          <w:szCs w:val="24"/>
        </w:rPr>
        <w:t xml:space="preserve"> and in 2020</w:t>
      </w:r>
      <w:r w:rsidR="00270B07">
        <w:rPr>
          <w:rFonts w:ascii="Times New Roman" w:hAnsi="Times New Roman" w:cs="Times New Roman"/>
          <w:sz w:val="24"/>
          <w:szCs w:val="24"/>
        </w:rPr>
        <w:t>,</w:t>
      </w:r>
      <w:r w:rsidRPr="00020FC8">
        <w:rPr>
          <w:rFonts w:ascii="Times New Roman" w:hAnsi="Times New Roman" w:cs="Times New Roman"/>
          <w:sz w:val="24"/>
          <w:szCs w:val="24"/>
        </w:rPr>
        <w:t xml:space="preserve"> the Price rise</w:t>
      </w:r>
      <w:r w:rsidR="00775AE8" w:rsidRPr="00020FC8">
        <w:rPr>
          <w:rFonts w:ascii="Times New Roman" w:hAnsi="Times New Roman" w:cs="Times New Roman"/>
          <w:sz w:val="24"/>
          <w:szCs w:val="24"/>
        </w:rPr>
        <w:t>s</w:t>
      </w:r>
      <w:r w:rsidRPr="00020FC8">
        <w:rPr>
          <w:rFonts w:ascii="Times New Roman" w:hAnsi="Times New Roman" w:cs="Times New Roman"/>
          <w:sz w:val="24"/>
          <w:szCs w:val="24"/>
        </w:rPr>
        <w:t xml:space="preserve"> very slightly accompanied by a </w:t>
      </w:r>
      <w:r w:rsidR="00775AE8" w:rsidRPr="00020FC8">
        <w:rPr>
          <w:rFonts w:ascii="Times New Roman" w:hAnsi="Times New Roman" w:cs="Times New Roman"/>
          <w:sz w:val="24"/>
          <w:szCs w:val="24"/>
        </w:rPr>
        <w:t xml:space="preserve">fall in the Units Sold. Why does Queensland buy at a higher Wholesale Price?. </w:t>
      </w:r>
      <w:r w:rsidR="00F9069E" w:rsidRPr="00020FC8">
        <w:rPr>
          <w:rFonts w:ascii="Times New Roman" w:hAnsi="Times New Roman" w:cs="Times New Roman"/>
          <w:sz w:val="24"/>
          <w:szCs w:val="24"/>
        </w:rPr>
        <w:t>This may coincide with when they have demand</w:t>
      </w:r>
      <w:r w:rsidR="00020FC8">
        <w:rPr>
          <w:rFonts w:ascii="Times New Roman" w:hAnsi="Times New Roman" w:cs="Times New Roman"/>
          <w:sz w:val="24"/>
          <w:szCs w:val="24"/>
        </w:rPr>
        <w:t>.</w:t>
      </w:r>
      <w:r w:rsidR="00F9069E" w:rsidRPr="00020FC8">
        <w:rPr>
          <w:rFonts w:ascii="Times New Roman" w:hAnsi="Times New Roman" w:cs="Times New Roman"/>
          <w:sz w:val="24"/>
          <w:szCs w:val="24"/>
        </w:rPr>
        <w:t xml:space="preserve"> </w:t>
      </w:r>
      <w:r w:rsidR="00775AE8" w:rsidRPr="00020FC8">
        <w:rPr>
          <w:rFonts w:ascii="Times New Roman" w:hAnsi="Times New Roman" w:cs="Times New Roman"/>
          <w:sz w:val="24"/>
          <w:szCs w:val="24"/>
        </w:rPr>
        <w:t xml:space="preserve">This is particularly evident when I examined the movement of the </w:t>
      </w:r>
      <w:r w:rsidR="005656A0" w:rsidRPr="00020FC8">
        <w:rPr>
          <w:rFonts w:ascii="Times New Roman" w:hAnsi="Times New Roman" w:cs="Times New Roman"/>
          <w:sz w:val="24"/>
          <w:szCs w:val="24"/>
        </w:rPr>
        <w:t>W</w:t>
      </w:r>
      <w:r w:rsidR="00775AE8" w:rsidRPr="00020FC8">
        <w:rPr>
          <w:rFonts w:ascii="Times New Roman" w:hAnsi="Times New Roman" w:cs="Times New Roman"/>
          <w:sz w:val="24"/>
          <w:szCs w:val="24"/>
        </w:rPr>
        <w:t xml:space="preserve">holesale </w:t>
      </w:r>
      <w:r w:rsidR="005656A0" w:rsidRPr="00020FC8">
        <w:rPr>
          <w:rFonts w:ascii="Times New Roman" w:hAnsi="Times New Roman" w:cs="Times New Roman"/>
          <w:sz w:val="24"/>
          <w:szCs w:val="24"/>
        </w:rPr>
        <w:t>P</w:t>
      </w:r>
      <w:r w:rsidR="00775AE8" w:rsidRPr="00020FC8">
        <w:rPr>
          <w:rFonts w:ascii="Times New Roman" w:hAnsi="Times New Roman" w:cs="Times New Roman"/>
          <w:sz w:val="24"/>
          <w:szCs w:val="24"/>
        </w:rPr>
        <w:t>rice on daily basis and at what price Queensland made their purchases.</w:t>
      </w:r>
    </w:p>
    <w:p w14:paraId="2540934A" w14:textId="347BDB38" w:rsidR="005656A0" w:rsidRPr="00020FC8" w:rsidRDefault="005656A0">
      <w:pPr>
        <w:rPr>
          <w:rFonts w:ascii="Times New Roman" w:hAnsi="Times New Roman" w:cs="Times New Roman"/>
          <w:sz w:val="24"/>
          <w:szCs w:val="24"/>
        </w:rPr>
      </w:pPr>
      <w:r w:rsidRPr="00020FC8">
        <w:rPr>
          <w:rFonts w:ascii="Times New Roman" w:hAnsi="Times New Roman" w:cs="Times New Roman"/>
          <w:sz w:val="24"/>
          <w:szCs w:val="24"/>
        </w:rPr>
        <w:t>Tasmania</w:t>
      </w:r>
      <w:r w:rsidR="003D2CF5" w:rsidRPr="00020FC8">
        <w:rPr>
          <w:rFonts w:ascii="Times New Roman" w:hAnsi="Times New Roman" w:cs="Times New Roman"/>
          <w:sz w:val="24"/>
          <w:szCs w:val="24"/>
        </w:rPr>
        <w:t>:</w:t>
      </w:r>
      <w:r w:rsidRPr="00020FC8">
        <w:rPr>
          <w:rFonts w:ascii="Times New Roman" w:hAnsi="Times New Roman" w:cs="Times New Roman"/>
          <w:sz w:val="24"/>
          <w:szCs w:val="24"/>
        </w:rPr>
        <w:t xml:space="preserve"> </w:t>
      </w:r>
      <w:r w:rsidR="003D2CF5" w:rsidRPr="00020FC8">
        <w:rPr>
          <w:rFonts w:ascii="Times New Roman" w:hAnsi="Times New Roman" w:cs="Times New Roman"/>
          <w:sz w:val="24"/>
          <w:szCs w:val="24"/>
        </w:rPr>
        <w:t>T</w:t>
      </w:r>
      <w:r w:rsidR="00F9069E" w:rsidRPr="00020FC8">
        <w:rPr>
          <w:rFonts w:ascii="Times New Roman" w:hAnsi="Times New Roman" w:cs="Times New Roman"/>
          <w:sz w:val="24"/>
          <w:szCs w:val="24"/>
        </w:rPr>
        <w:t xml:space="preserve">he wholesale price is at its highest in 2018 along with the Units Sold. In 2019 the price drops significantly along with </w:t>
      </w:r>
      <w:r w:rsidR="0077384C">
        <w:rPr>
          <w:rFonts w:ascii="Times New Roman" w:hAnsi="Times New Roman" w:cs="Times New Roman"/>
          <w:sz w:val="24"/>
          <w:szCs w:val="24"/>
        </w:rPr>
        <w:t>u</w:t>
      </w:r>
      <w:r w:rsidR="00F9069E" w:rsidRPr="00020FC8">
        <w:rPr>
          <w:rFonts w:ascii="Times New Roman" w:hAnsi="Times New Roman" w:cs="Times New Roman"/>
          <w:sz w:val="24"/>
          <w:szCs w:val="24"/>
        </w:rPr>
        <w:t xml:space="preserve">nits </w:t>
      </w:r>
      <w:r w:rsidR="0077384C">
        <w:rPr>
          <w:rFonts w:ascii="Times New Roman" w:hAnsi="Times New Roman" w:cs="Times New Roman"/>
          <w:sz w:val="24"/>
          <w:szCs w:val="24"/>
        </w:rPr>
        <w:t>s</w:t>
      </w:r>
      <w:r w:rsidR="00F9069E" w:rsidRPr="00020FC8">
        <w:rPr>
          <w:rFonts w:ascii="Times New Roman" w:hAnsi="Times New Roman" w:cs="Times New Roman"/>
          <w:sz w:val="24"/>
          <w:szCs w:val="24"/>
        </w:rPr>
        <w:t>old and in 2020</w:t>
      </w:r>
      <w:r w:rsidR="009A141D" w:rsidRPr="00020FC8">
        <w:rPr>
          <w:rFonts w:ascii="Times New Roman" w:hAnsi="Times New Roman" w:cs="Times New Roman"/>
          <w:sz w:val="24"/>
          <w:szCs w:val="24"/>
        </w:rPr>
        <w:t xml:space="preserve"> </w:t>
      </w:r>
      <w:r w:rsidR="00F9069E" w:rsidRPr="00020FC8">
        <w:rPr>
          <w:rFonts w:ascii="Times New Roman" w:hAnsi="Times New Roman" w:cs="Times New Roman"/>
          <w:sz w:val="24"/>
          <w:szCs w:val="24"/>
        </w:rPr>
        <w:t xml:space="preserve">the price stabilises and the </w:t>
      </w:r>
      <w:r w:rsidR="0077384C">
        <w:rPr>
          <w:rFonts w:ascii="Times New Roman" w:hAnsi="Times New Roman" w:cs="Times New Roman"/>
          <w:sz w:val="24"/>
          <w:szCs w:val="24"/>
        </w:rPr>
        <w:t>u</w:t>
      </w:r>
      <w:r w:rsidR="00F9069E" w:rsidRPr="00020FC8">
        <w:rPr>
          <w:rFonts w:ascii="Times New Roman" w:hAnsi="Times New Roman" w:cs="Times New Roman"/>
          <w:sz w:val="24"/>
          <w:szCs w:val="24"/>
        </w:rPr>
        <w:t xml:space="preserve">nits </w:t>
      </w:r>
      <w:r w:rsidR="0077384C">
        <w:rPr>
          <w:rFonts w:ascii="Times New Roman" w:hAnsi="Times New Roman" w:cs="Times New Roman"/>
          <w:sz w:val="24"/>
          <w:szCs w:val="24"/>
        </w:rPr>
        <w:t>s</w:t>
      </w:r>
      <w:r w:rsidR="00F9069E" w:rsidRPr="00020FC8">
        <w:rPr>
          <w:rFonts w:ascii="Times New Roman" w:hAnsi="Times New Roman" w:cs="Times New Roman"/>
          <w:sz w:val="24"/>
          <w:szCs w:val="24"/>
        </w:rPr>
        <w:t>old decreases</w:t>
      </w:r>
      <w:r w:rsidR="003D2CF5" w:rsidRPr="00020FC8">
        <w:rPr>
          <w:rFonts w:ascii="Times New Roman" w:hAnsi="Times New Roman" w:cs="Times New Roman"/>
          <w:sz w:val="24"/>
          <w:szCs w:val="24"/>
        </w:rPr>
        <w:t>, w</w:t>
      </w:r>
      <w:r w:rsidR="009A141D" w:rsidRPr="00020FC8">
        <w:rPr>
          <w:rFonts w:ascii="Times New Roman" w:hAnsi="Times New Roman" w:cs="Times New Roman"/>
          <w:sz w:val="24"/>
          <w:szCs w:val="24"/>
        </w:rPr>
        <w:t xml:space="preserve">hich reflects demand. </w:t>
      </w:r>
    </w:p>
    <w:p w14:paraId="3E6BA3F4" w14:textId="2C58E29E" w:rsidR="003D2CF5" w:rsidRPr="00020FC8" w:rsidRDefault="003D2CF5">
      <w:pPr>
        <w:rPr>
          <w:rFonts w:ascii="Times New Roman" w:hAnsi="Times New Roman" w:cs="Times New Roman"/>
          <w:sz w:val="24"/>
          <w:szCs w:val="24"/>
        </w:rPr>
      </w:pPr>
      <w:r w:rsidRPr="00020FC8">
        <w:rPr>
          <w:rFonts w:ascii="Times New Roman" w:hAnsi="Times New Roman" w:cs="Times New Roman"/>
          <w:sz w:val="24"/>
          <w:szCs w:val="24"/>
        </w:rPr>
        <w:t xml:space="preserve">Northern Territory: </w:t>
      </w:r>
      <w:r w:rsidR="00D2789B" w:rsidRPr="00020FC8">
        <w:rPr>
          <w:rFonts w:ascii="Times New Roman" w:hAnsi="Times New Roman" w:cs="Times New Roman"/>
          <w:sz w:val="24"/>
          <w:szCs w:val="24"/>
        </w:rPr>
        <w:t>Their highest number of units purchased were at a higher Wholesale Price in 2018</w:t>
      </w:r>
      <w:r w:rsidR="00480D96">
        <w:rPr>
          <w:rFonts w:ascii="Times New Roman" w:hAnsi="Times New Roman" w:cs="Times New Roman"/>
          <w:sz w:val="24"/>
          <w:szCs w:val="24"/>
        </w:rPr>
        <w:t>.</w:t>
      </w:r>
      <w:r w:rsidR="00D2789B" w:rsidRPr="00020FC8">
        <w:rPr>
          <w:rFonts w:ascii="Times New Roman" w:hAnsi="Times New Roman" w:cs="Times New Roman"/>
          <w:sz w:val="24"/>
          <w:szCs w:val="24"/>
        </w:rPr>
        <w:t xml:space="preserve"> </w:t>
      </w:r>
      <w:r w:rsidR="00480D96">
        <w:rPr>
          <w:rFonts w:ascii="Times New Roman" w:hAnsi="Times New Roman" w:cs="Times New Roman"/>
          <w:sz w:val="24"/>
          <w:szCs w:val="24"/>
        </w:rPr>
        <w:t>T</w:t>
      </w:r>
      <w:r w:rsidR="00D2789B" w:rsidRPr="00020FC8">
        <w:rPr>
          <w:rFonts w:ascii="Times New Roman" w:hAnsi="Times New Roman" w:cs="Times New Roman"/>
          <w:sz w:val="24"/>
          <w:szCs w:val="24"/>
        </w:rPr>
        <w:t xml:space="preserve">he price fell slightly in 2019 and </w:t>
      </w:r>
      <w:r w:rsidR="001C5BC7" w:rsidRPr="00020FC8">
        <w:rPr>
          <w:rFonts w:ascii="Times New Roman" w:hAnsi="Times New Roman" w:cs="Times New Roman"/>
          <w:sz w:val="24"/>
          <w:szCs w:val="24"/>
        </w:rPr>
        <w:t>the units purchased fell sharply. In 2020 the price rose marginally and the units purchased increased. The units purchased reflects demand at a given time as they will purchase when there is a need and this is a common trend throughout.</w:t>
      </w:r>
    </w:p>
    <w:p w14:paraId="6C2E6805" w14:textId="1F26512D" w:rsidR="001C5BC7" w:rsidRPr="00020FC8" w:rsidRDefault="001C5BC7">
      <w:pPr>
        <w:rPr>
          <w:rFonts w:ascii="Times New Roman" w:hAnsi="Times New Roman" w:cs="Times New Roman"/>
          <w:sz w:val="24"/>
          <w:szCs w:val="24"/>
        </w:rPr>
      </w:pPr>
      <w:r w:rsidRPr="00020FC8">
        <w:rPr>
          <w:rFonts w:ascii="Times New Roman" w:hAnsi="Times New Roman" w:cs="Times New Roman"/>
          <w:sz w:val="24"/>
          <w:szCs w:val="24"/>
        </w:rPr>
        <w:t xml:space="preserve">New South Wales: Again the highest wholesale price is in 2018 accompanied by </w:t>
      </w:r>
      <w:r w:rsidR="00062F5B" w:rsidRPr="00020FC8">
        <w:rPr>
          <w:rFonts w:ascii="Times New Roman" w:hAnsi="Times New Roman" w:cs="Times New Roman"/>
          <w:sz w:val="24"/>
          <w:szCs w:val="24"/>
        </w:rPr>
        <w:t xml:space="preserve">the most units purchased. In 2019 the prices falls along with the units sold. In 2020 the price and units sold rises very slightly. As we can see, even if there is a slight rise in price </w:t>
      </w:r>
      <w:r w:rsidR="00691C6F" w:rsidRPr="00020FC8">
        <w:rPr>
          <w:rFonts w:ascii="Times New Roman" w:hAnsi="Times New Roman" w:cs="Times New Roman"/>
          <w:sz w:val="24"/>
          <w:szCs w:val="24"/>
        </w:rPr>
        <w:t>more units have been sold, which again reflects demand at that time.</w:t>
      </w:r>
    </w:p>
    <w:p w14:paraId="1C04F5E7" w14:textId="58596126" w:rsidR="00602069" w:rsidRDefault="00602069">
      <w:pPr>
        <w:rPr>
          <w:rFonts w:ascii="Times New Roman" w:hAnsi="Times New Roman" w:cs="Times New Roman"/>
          <w:sz w:val="24"/>
          <w:szCs w:val="24"/>
        </w:rPr>
      </w:pPr>
      <w:r w:rsidRPr="00020FC8">
        <w:rPr>
          <w:rFonts w:ascii="Times New Roman" w:hAnsi="Times New Roman" w:cs="Times New Roman"/>
          <w:sz w:val="24"/>
          <w:szCs w:val="24"/>
        </w:rPr>
        <w:t>Victoria: The highest prices are in 2018 along with the most units sold. As the price falls in 2019, so does the units sold and this continues into 2020.</w:t>
      </w:r>
    </w:p>
    <w:p w14:paraId="118E8FDB" w14:textId="65CC9065" w:rsidR="00455F45" w:rsidRPr="008407A4" w:rsidRDefault="008407A4">
      <w:pPr>
        <w:rPr>
          <w:rFonts w:ascii="Times New Roman" w:hAnsi="Times New Roman" w:cs="Times New Roman"/>
          <w:sz w:val="24"/>
          <w:szCs w:val="24"/>
        </w:rPr>
      </w:pPr>
      <w:r w:rsidRPr="008407A4">
        <w:rPr>
          <w:rFonts w:ascii="Times New Roman" w:hAnsi="Times New Roman" w:cs="Times New Roman"/>
          <w:sz w:val="24"/>
          <w:szCs w:val="24"/>
        </w:rPr>
        <w:t>Australian Capital Territory: This follows the same trend as Victoria.</w:t>
      </w:r>
    </w:p>
    <w:p w14:paraId="4074AF4B" w14:textId="31E16B47" w:rsidR="0023790B" w:rsidRDefault="002262A7">
      <w:r w:rsidRPr="002262A7">
        <w:rPr>
          <w:noProof/>
        </w:rPr>
        <w:lastRenderedPageBreak/>
        <w:drawing>
          <wp:inline distT="0" distB="0" distL="0" distR="0" wp14:anchorId="2FDD4841" wp14:editId="5729A7B3">
            <wp:extent cx="7963309" cy="2508379"/>
            <wp:effectExtent l="0" t="0" r="0" b="6350"/>
            <wp:docPr id="44" name="Picture 4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bar chart&#10;&#10;Description automatically generated"/>
                    <pic:cNvPicPr/>
                  </pic:nvPicPr>
                  <pic:blipFill>
                    <a:blip r:embed="rId18"/>
                    <a:stretch>
                      <a:fillRect/>
                    </a:stretch>
                  </pic:blipFill>
                  <pic:spPr>
                    <a:xfrm>
                      <a:off x="0" y="0"/>
                      <a:ext cx="7963309" cy="2508379"/>
                    </a:xfrm>
                    <a:prstGeom prst="rect">
                      <a:avLst/>
                    </a:prstGeom>
                  </pic:spPr>
                </pic:pic>
              </a:graphicData>
            </a:graphic>
          </wp:inline>
        </w:drawing>
      </w:r>
    </w:p>
    <w:p w14:paraId="5E8B6AE8" w14:textId="6614E726" w:rsidR="00105A7B" w:rsidRPr="00DB0033" w:rsidRDefault="00455F45">
      <w:pPr>
        <w:rPr>
          <w:rFonts w:ascii="Times New Roman" w:hAnsi="Times New Roman" w:cs="Times New Roman"/>
          <w:sz w:val="24"/>
          <w:szCs w:val="24"/>
        </w:rPr>
      </w:pPr>
      <w:r w:rsidRPr="00DB0033">
        <w:rPr>
          <w:rFonts w:ascii="Times New Roman" w:hAnsi="Times New Roman" w:cs="Times New Roman"/>
          <w:sz w:val="24"/>
          <w:szCs w:val="24"/>
        </w:rPr>
        <w:t>Queensland and Tasmania: They purchased at the highest wholesale price in 2018 followed by a fall in price</w:t>
      </w:r>
      <w:r w:rsidR="000038F0" w:rsidRPr="00DB0033">
        <w:rPr>
          <w:rFonts w:ascii="Times New Roman" w:hAnsi="Times New Roman" w:cs="Times New Roman"/>
          <w:sz w:val="24"/>
          <w:szCs w:val="24"/>
        </w:rPr>
        <w:t xml:space="preserve"> and units purchased in 2019, which continued into 2020.</w:t>
      </w:r>
    </w:p>
    <w:p w14:paraId="4AF4796A" w14:textId="47DF0C65" w:rsidR="00681F8C" w:rsidRPr="00DB0033" w:rsidRDefault="00681F8C">
      <w:pPr>
        <w:rPr>
          <w:rFonts w:ascii="Times New Roman" w:hAnsi="Times New Roman" w:cs="Times New Roman"/>
          <w:sz w:val="24"/>
          <w:szCs w:val="24"/>
        </w:rPr>
      </w:pPr>
      <w:r w:rsidRPr="00DB0033">
        <w:rPr>
          <w:rFonts w:ascii="Times New Roman" w:hAnsi="Times New Roman" w:cs="Times New Roman"/>
          <w:sz w:val="24"/>
          <w:szCs w:val="24"/>
        </w:rPr>
        <w:t>New South Wales and Northern Territory: For these two states the wholesale price rose from 2018 to 2019</w:t>
      </w:r>
      <w:r w:rsidR="003E3D1C">
        <w:rPr>
          <w:rFonts w:ascii="Times New Roman" w:hAnsi="Times New Roman" w:cs="Times New Roman"/>
          <w:sz w:val="24"/>
          <w:szCs w:val="24"/>
        </w:rPr>
        <w:t xml:space="preserve"> and the units purchased</w:t>
      </w:r>
      <w:r w:rsidR="00F428C3">
        <w:rPr>
          <w:rFonts w:ascii="Times New Roman" w:hAnsi="Times New Roman" w:cs="Times New Roman"/>
          <w:sz w:val="24"/>
          <w:szCs w:val="24"/>
        </w:rPr>
        <w:t xml:space="preserve"> fell. Between 2019 and 2020 in New South Wales the price fell and units purchased rose. However, in the Northern Territory between 2019 and 2020, the price and units purchased fell. </w:t>
      </w:r>
      <w:r w:rsidR="00C87F9C" w:rsidRPr="00DB0033">
        <w:rPr>
          <w:rFonts w:ascii="Times New Roman" w:hAnsi="Times New Roman" w:cs="Times New Roman"/>
          <w:sz w:val="24"/>
          <w:szCs w:val="24"/>
        </w:rPr>
        <w:t>Again, this shows what the demand was at that time.</w:t>
      </w:r>
    </w:p>
    <w:p w14:paraId="466FB911" w14:textId="182B6AD3" w:rsidR="008F4A22" w:rsidRPr="00DB0033" w:rsidRDefault="00C87F9C">
      <w:pPr>
        <w:rPr>
          <w:rFonts w:ascii="Times New Roman" w:hAnsi="Times New Roman" w:cs="Times New Roman"/>
          <w:sz w:val="24"/>
          <w:szCs w:val="24"/>
        </w:rPr>
      </w:pPr>
      <w:r w:rsidRPr="00DB0033">
        <w:rPr>
          <w:rFonts w:ascii="Times New Roman" w:hAnsi="Times New Roman" w:cs="Times New Roman"/>
          <w:sz w:val="24"/>
          <w:szCs w:val="24"/>
        </w:rPr>
        <w:t>Australian Capital Territory:</w:t>
      </w:r>
      <w:r w:rsidR="00CD0A70" w:rsidRPr="00DB0033">
        <w:rPr>
          <w:rFonts w:ascii="Times New Roman" w:hAnsi="Times New Roman" w:cs="Times New Roman"/>
          <w:sz w:val="24"/>
          <w:szCs w:val="24"/>
        </w:rPr>
        <w:t xml:space="preserve"> In 2018 the wholesale price and the units sold are at their highest. The price and d</w:t>
      </w:r>
      <w:r w:rsidR="008F4A22" w:rsidRPr="00DB0033">
        <w:rPr>
          <w:rFonts w:ascii="Times New Roman" w:hAnsi="Times New Roman" w:cs="Times New Roman"/>
          <w:sz w:val="24"/>
          <w:szCs w:val="24"/>
        </w:rPr>
        <w:t xml:space="preserve">emand </w:t>
      </w:r>
      <w:r w:rsidR="00CD0A70" w:rsidRPr="00DB0033">
        <w:rPr>
          <w:rFonts w:ascii="Times New Roman" w:hAnsi="Times New Roman" w:cs="Times New Roman"/>
          <w:sz w:val="24"/>
          <w:szCs w:val="24"/>
        </w:rPr>
        <w:t>f</w:t>
      </w:r>
      <w:r w:rsidR="002A0A01">
        <w:rPr>
          <w:rFonts w:ascii="Times New Roman" w:hAnsi="Times New Roman" w:cs="Times New Roman"/>
          <w:sz w:val="24"/>
          <w:szCs w:val="24"/>
        </w:rPr>
        <w:t>e</w:t>
      </w:r>
      <w:r w:rsidR="00CD0A70" w:rsidRPr="00DB0033">
        <w:rPr>
          <w:rFonts w:ascii="Times New Roman" w:hAnsi="Times New Roman" w:cs="Times New Roman"/>
          <w:sz w:val="24"/>
          <w:szCs w:val="24"/>
        </w:rPr>
        <w:t>ll in 2019</w:t>
      </w:r>
      <w:r w:rsidR="008F4A22" w:rsidRPr="00DB0033">
        <w:rPr>
          <w:rFonts w:ascii="Times New Roman" w:hAnsi="Times New Roman" w:cs="Times New Roman"/>
          <w:sz w:val="24"/>
          <w:szCs w:val="24"/>
        </w:rPr>
        <w:t>. In 2020, the price r</w:t>
      </w:r>
      <w:r w:rsidR="002A0A01">
        <w:rPr>
          <w:rFonts w:ascii="Times New Roman" w:hAnsi="Times New Roman" w:cs="Times New Roman"/>
          <w:sz w:val="24"/>
          <w:szCs w:val="24"/>
        </w:rPr>
        <w:t>ose</w:t>
      </w:r>
      <w:r w:rsidR="008F4A22" w:rsidRPr="00DB0033">
        <w:rPr>
          <w:rFonts w:ascii="Times New Roman" w:hAnsi="Times New Roman" w:cs="Times New Roman"/>
          <w:sz w:val="24"/>
          <w:szCs w:val="24"/>
        </w:rPr>
        <w:t xml:space="preserve"> and so d</w:t>
      </w:r>
      <w:r w:rsidR="002A0A01">
        <w:rPr>
          <w:rFonts w:ascii="Times New Roman" w:hAnsi="Times New Roman" w:cs="Times New Roman"/>
          <w:sz w:val="24"/>
          <w:szCs w:val="24"/>
        </w:rPr>
        <w:t>id</w:t>
      </w:r>
      <w:r w:rsidR="008F4A22" w:rsidRPr="00DB0033">
        <w:rPr>
          <w:rFonts w:ascii="Times New Roman" w:hAnsi="Times New Roman" w:cs="Times New Roman"/>
          <w:sz w:val="24"/>
          <w:szCs w:val="24"/>
        </w:rPr>
        <w:t xml:space="preserve"> the units sold.</w:t>
      </w:r>
    </w:p>
    <w:p w14:paraId="32D97344" w14:textId="3A10636B" w:rsidR="00C87F9C" w:rsidRPr="00DB0033" w:rsidRDefault="008F4A22">
      <w:pPr>
        <w:rPr>
          <w:rFonts w:ascii="Times New Roman" w:hAnsi="Times New Roman" w:cs="Times New Roman"/>
          <w:sz w:val="24"/>
          <w:szCs w:val="24"/>
        </w:rPr>
      </w:pPr>
      <w:r w:rsidRPr="00DB0033">
        <w:rPr>
          <w:rFonts w:ascii="Times New Roman" w:hAnsi="Times New Roman" w:cs="Times New Roman"/>
          <w:sz w:val="24"/>
          <w:szCs w:val="24"/>
        </w:rPr>
        <w:t xml:space="preserve">Victoria: </w:t>
      </w:r>
      <w:r w:rsidR="00FF3B67" w:rsidRPr="00DB0033">
        <w:rPr>
          <w:rFonts w:ascii="Times New Roman" w:hAnsi="Times New Roman" w:cs="Times New Roman"/>
          <w:sz w:val="24"/>
          <w:szCs w:val="24"/>
        </w:rPr>
        <w:t>In 2018 the wholesale price was not at it highest but the units sold was. The price rose in 2019 with a decrease in units sold. In 2020 there was a very slight rise in price accompanied with a very slight rise in units sold. Again demand is a factor here.</w:t>
      </w:r>
    </w:p>
    <w:p w14:paraId="1B84E7EA" w14:textId="6E0CE98A" w:rsidR="006250B7" w:rsidRDefault="006250B7">
      <w:pPr>
        <w:rPr>
          <w:noProof/>
        </w:rPr>
      </w:pPr>
    </w:p>
    <w:p w14:paraId="00684C12" w14:textId="2DD68AC8" w:rsidR="002044FC" w:rsidRDefault="002044FC">
      <w:pPr>
        <w:rPr>
          <w:noProof/>
        </w:rPr>
      </w:pPr>
    </w:p>
    <w:p w14:paraId="1A96DEB2" w14:textId="28EA0372" w:rsidR="002044FC" w:rsidRDefault="002044FC">
      <w:pPr>
        <w:rPr>
          <w:noProof/>
        </w:rPr>
      </w:pPr>
    </w:p>
    <w:p w14:paraId="3492E968" w14:textId="77777777" w:rsidR="002044FC" w:rsidRDefault="002044FC"/>
    <w:p w14:paraId="407C3301" w14:textId="77BD84CE" w:rsidR="002044FC" w:rsidRDefault="002044FC">
      <w:pPr>
        <w:rPr>
          <w:rFonts w:ascii="Times New Roman" w:hAnsi="Times New Roman" w:cs="Times New Roman"/>
          <w:sz w:val="24"/>
          <w:szCs w:val="24"/>
        </w:rPr>
      </w:pPr>
    </w:p>
    <w:p w14:paraId="3C9CC2B4" w14:textId="69F5626B" w:rsidR="002044FC" w:rsidRDefault="002044FC">
      <w:pPr>
        <w:rPr>
          <w:rFonts w:ascii="Times New Roman" w:hAnsi="Times New Roman" w:cs="Times New Roman"/>
          <w:sz w:val="24"/>
          <w:szCs w:val="24"/>
        </w:rPr>
      </w:pPr>
      <w:r w:rsidRPr="002044FC">
        <w:rPr>
          <w:rFonts w:ascii="Times New Roman" w:hAnsi="Times New Roman" w:cs="Times New Roman"/>
          <w:noProof/>
          <w:sz w:val="24"/>
          <w:szCs w:val="24"/>
        </w:rPr>
        <w:lastRenderedPageBreak/>
        <w:drawing>
          <wp:inline distT="0" distB="0" distL="0" distR="0" wp14:anchorId="05CDA1F4" wp14:editId="3CCAC384">
            <wp:extent cx="7969660" cy="2044805"/>
            <wp:effectExtent l="0" t="0" r="0" b="0"/>
            <wp:docPr id="45" name="Picture 4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bar chart&#10;&#10;Description automatically generated"/>
                    <pic:cNvPicPr/>
                  </pic:nvPicPr>
                  <pic:blipFill>
                    <a:blip r:embed="rId19"/>
                    <a:stretch>
                      <a:fillRect/>
                    </a:stretch>
                  </pic:blipFill>
                  <pic:spPr>
                    <a:xfrm>
                      <a:off x="0" y="0"/>
                      <a:ext cx="7969660" cy="2044805"/>
                    </a:xfrm>
                    <a:prstGeom prst="rect">
                      <a:avLst/>
                    </a:prstGeom>
                  </pic:spPr>
                </pic:pic>
              </a:graphicData>
            </a:graphic>
          </wp:inline>
        </w:drawing>
      </w:r>
    </w:p>
    <w:p w14:paraId="2813BB96" w14:textId="03110F14" w:rsidR="006250B7" w:rsidRPr="00B94183" w:rsidRDefault="00DD26CE">
      <w:pPr>
        <w:rPr>
          <w:rFonts w:ascii="Times New Roman" w:hAnsi="Times New Roman" w:cs="Times New Roman"/>
          <w:sz w:val="24"/>
          <w:szCs w:val="24"/>
        </w:rPr>
      </w:pPr>
      <w:r w:rsidRPr="00B94183">
        <w:rPr>
          <w:rFonts w:ascii="Times New Roman" w:hAnsi="Times New Roman" w:cs="Times New Roman"/>
          <w:sz w:val="24"/>
          <w:szCs w:val="24"/>
        </w:rPr>
        <w:t>Queensland: The wholesale price is at its highest in 2018 with corresponding units sold but falls marginally in 2019 with a significant fall in units sold.</w:t>
      </w:r>
      <w:r w:rsidR="001202B0" w:rsidRPr="00B94183">
        <w:rPr>
          <w:rFonts w:ascii="Times New Roman" w:hAnsi="Times New Roman" w:cs="Times New Roman"/>
          <w:sz w:val="24"/>
          <w:szCs w:val="24"/>
        </w:rPr>
        <w:t xml:space="preserve"> In 2020 the price falls significantly and so does the units sold. Again Demand is a factor here, but a continued high price in 2019 corresponded to a fall in units sold.</w:t>
      </w:r>
    </w:p>
    <w:p w14:paraId="7A536406" w14:textId="0B5C084C" w:rsidR="009F1041" w:rsidRPr="00B94183" w:rsidRDefault="009F1041">
      <w:pPr>
        <w:rPr>
          <w:rFonts w:ascii="Times New Roman" w:hAnsi="Times New Roman" w:cs="Times New Roman"/>
          <w:sz w:val="24"/>
          <w:szCs w:val="24"/>
        </w:rPr>
      </w:pPr>
      <w:r w:rsidRPr="00B94183">
        <w:rPr>
          <w:rFonts w:ascii="Times New Roman" w:hAnsi="Times New Roman" w:cs="Times New Roman"/>
          <w:sz w:val="24"/>
          <w:szCs w:val="24"/>
        </w:rPr>
        <w:t>Victoria: Between 2018 and 2019, price movements were reflected in the units sold</w:t>
      </w:r>
      <w:r w:rsidR="008A7B68">
        <w:rPr>
          <w:rFonts w:ascii="Times New Roman" w:hAnsi="Times New Roman" w:cs="Times New Roman"/>
          <w:sz w:val="24"/>
          <w:szCs w:val="24"/>
        </w:rPr>
        <w:t xml:space="preserve"> as you would logically expect</w:t>
      </w:r>
      <w:r w:rsidRPr="00B94183">
        <w:rPr>
          <w:rFonts w:ascii="Times New Roman" w:hAnsi="Times New Roman" w:cs="Times New Roman"/>
          <w:sz w:val="24"/>
          <w:szCs w:val="24"/>
        </w:rPr>
        <w:t xml:space="preserve">. However in 2020, </w:t>
      </w:r>
      <w:r w:rsidR="00DA40FB" w:rsidRPr="00B94183">
        <w:rPr>
          <w:rFonts w:ascii="Times New Roman" w:hAnsi="Times New Roman" w:cs="Times New Roman"/>
          <w:sz w:val="24"/>
          <w:szCs w:val="24"/>
        </w:rPr>
        <w:t xml:space="preserve">the price drops significantly, </w:t>
      </w:r>
      <w:r w:rsidR="00D111E1">
        <w:rPr>
          <w:rFonts w:ascii="Times New Roman" w:hAnsi="Times New Roman" w:cs="Times New Roman"/>
          <w:sz w:val="24"/>
          <w:szCs w:val="24"/>
        </w:rPr>
        <w:t xml:space="preserve">but </w:t>
      </w:r>
      <w:r w:rsidR="00DA40FB" w:rsidRPr="00B94183">
        <w:rPr>
          <w:rFonts w:ascii="Times New Roman" w:hAnsi="Times New Roman" w:cs="Times New Roman"/>
          <w:sz w:val="24"/>
          <w:szCs w:val="24"/>
        </w:rPr>
        <w:t>there is only a very slight fall in units sold.</w:t>
      </w:r>
    </w:p>
    <w:p w14:paraId="78A6EF4F" w14:textId="465A9524" w:rsidR="00DA40FB" w:rsidRPr="00B94183" w:rsidRDefault="00DA40FB">
      <w:pPr>
        <w:rPr>
          <w:rFonts w:ascii="Times New Roman" w:hAnsi="Times New Roman" w:cs="Times New Roman"/>
          <w:sz w:val="24"/>
          <w:szCs w:val="24"/>
        </w:rPr>
      </w:pPr>
      <w:r w:rsidRPr="00B94183">
        <w:rPr>
          <w:rFonts w:ascii="Times New Roman" w:hAnsi="Times New Roman" w:cs="Times New Roman"/>
          <w:sz w:val="24"/>
          <w:szCs w:val="24"/>
        </w:rPr>
        <w:t xml:space="preserve">Australian Capital Territory: </w:t>
      </w:r>
      <w:r w:rsidR="007B76EC">
        <w:rPr>
          <w:rFonts w:ascii="Times New Roman" w:hAnsi="Times New Roman" w:cs="Times New Roman"/>
          <w:sz w:val="24"/>
          <w:szCs w:val="24"/>
        </w:rPr>
        <w:t>The p</w:t>
      </w:r>
      <w:r w:rsidR="000C2CB6" w:rsidRPr="00B94183">
        <w:rPr>
          <w:rFonts w:ascii="Times New Roman" w:hAnsi="Times New Roman" w:cs="Times New Roman"/>
          <w:sz w:val="24"/>
          <w:szCs w:val="24"/>
        </w:rPr>
        <w:t>rice climb</w:t>
      </w:r>
      <w:r w:rsidR="00D111E1">
        <w:rPr>
          <w:rFonts w:ascii="Times New Roman" w:hAnsi="Times New Roman" w:cs="Times New Roman"/>
          <w:sz w:val="24"/>
          <w:szCs w:val="24"/>
        </w:rPr>
        <w:t>ed</w:t>
      </w:r>
      <w:r w:rsidR="000C2CB6" w:rsidRPr="00B94183">
        <w:rPr>
          <w:rFonts w:ascii="Times New Roman" w:hAnsi="Times New Roman" w:cs="Times New Roman"/>
          <w:sz w:val="24"/>
          <w:szCs w:val="24"/>
        </w:rPr>
        <w:t xml:space="preserve"> slightly from 2018-2020</w:t>
      </w:r>
      <w:r w:rsidR="000E342A" w:rsidRPr="00B94183">
        <w:rPr>
          <w:rFonts w:ascii="Times New Roman" w:hAnsi="Times New Roman" w:cs="Times New Roman"/>
          <w:sz w:val="24"/>
          <w:szCs w:val="24"/>
        </w:rPr>
        <w:t xml:space="preserve"> and </w:t>
      </w:r>
      <w:r w:rsidR="007B76EC">
        <w:rPr>
          <w:rFonts w:ascii="Times New Roman" w:hAnsi="Times New Roman" w:cs="Times New Roman"/>
          <w:sz w:val="24"/>
          <w:szCs w:val="24"/>
        </w:rPr>
        <w:t xml:space="preserve">the </w:t>
      </w:r>
      <w:r w:rsidR="000E342A" w:rsidRPr="00B94183">
        <w:rPr>
          <w:rFonts w:ascii="Times New Roman" w:hAnsi="Times New Roman" w:cs="Times New Roman"/>
          <w:sz w:val="24"/>
          <w:szCs w:val="24"/>
        </w:rPr>
        <w:t>quantity sold f</w:t>
      </w:r>
      <w:r w:rsidR="007B76EC">
        <w:rPr>
          <w:rFonts w:ascii="Times New Roman" w:hAnsi="Times New Roman" w:cs="Times New Roman"/>
          <w:sz w:val="24"/>
          <w:szCs w:val="24"/>
        </w:rPr>
        <w:t>e</w:t>
      </w:r>
      <w:r w:rsidR="000E342A" w:rsidRPr="00B94183">
        <w:rPr>
          <w:rFonts w:ascii="Times New Roman" w:hAnsi="Times New Roman" w:cs="Times New Roman"/>
          <w:sz w:val="24"/>
          <w:szCs w:val="24"/>
        </w:rPr>
        <w:t xml:space="preserve">ll significantly between 2018 and 2019 </w:t>
      </w:r>
      <w:r w:rsidR="00D111E1">
        <w:rPr>
          <w:rFonts w:ascii="Times New Roman" w:hAnsi="Times New Roman" w:cs="Times New Roman"/>
          <w:sz w:val="24"/>
          <w:szCs w:val="24"/>
        </w:rPr>
        <w:t xml:space="preserve">and </w:t>
      </w:r>
      <w:r w:rsidR="007B76EC">
        <w:rPr>
          <w:rFonts w:ascii="Times New Roman" w:hAnsi="Times New Roman" w:cs="Times New Roman"/>
          <w:sz w:val="24"/>
          <w:szCs w:val="24"/>
        </w:rPr>
        <w:t>was</w:t>
      </w:r>
      <w:r w:rsidR="000E342A" w:rsidRPr="00B94183">
        <w:rPr>
          <w:rFonts w:ascii="Times New Roman" w:hAnsi="Times New Roman" w:cs="Times New Roman"/>
          <w:sz w:val="24"/>
          <w:szCs w:val="24"/>
        </w:rPr>
        <w:t xml:space="preserve"> marginally less in 2020. </w:t>
      </w:r>
    </w:p>
    <w:p w14:paraId="4A6D2671" w14:textId="348F154B" w:rsidR="000E342A" w:rsidRPr="00B94183" w:rsidRDefault="000E342A">
      <w:pPr>
        <w:rPr>
          <w:rFonts w:ascii="Times New Roman" w:hAnsi="Times New Roman" w:cs="Times New Roman"/>
          <w:sz w:val="24"/>
          <w:szCs w:val="24"/>
        </w:rPr>
      </w:pPr>
      <w:r w:rsidRPr="00B94183">
        <w:rPr>
          <w:rFonts w:ascii="Times New Roman" w:hAnsi="Times New Roman" w:cs="Times New Roman"/>
          <w:sz w:val="24"/>
          <w:szCs w:val="24"/>
        </w:rPr>
        <w:t>Tasmania: Between 2018 and 2019 the price r</w:t>
      </w:r>
      <w:r w:rsidR="005B493D">
        <w:rPr>
          <w:rFonts w:ascii="Times New Roman" w:hAnsi="Times New Roman" w:cs="Times New Roman"/>
          <w:sz w:val="24"/>
          <w:szCs w:val="24"/>
        </w:rPr>
        <w:t>ose</w:t>
      </w:r>
      <w:r w:rsidRPr="00B94183">
        <w:rPr>
          <w:rFonts w:ascii="Times New Roman" w:hAnsi="Times New Roman" w:cs="Times New Roman"/>
          <w:sz w:val="24"/>
          <w:szCs w:val="24"/>
        </w:rPr>
        <w:t xml:space="preserve"> and the units sold f</w:t>
      </w:r>
      <w:r w:rsidR="005B493D">
        <w:rPr>
          <w:rFonts w:ascii="Times New Roman" w:hAnsi="Times New Roman" w:cs="Times New Roman"/>
          <w:sz w:val="24"/>
          <w:szCs w:val="24"/>
        </w:rPr>
        <w:t>e</w:t>
      </w:r>
      <w:r w:rsidRPr="00B94183">
        <w:rPr>
          <w:rFonts w:ascii="Times New Roman" w:hAnsi="Times New Roman" w:cs="Times New Roman"/>
          <w:sz w:val="24"/>
          <w:szCs w:val="24"/>
        </w:rPr>
        <w:t xml:space="preserve">ll. </w:t>
      </w:r>
      <w:r w:rsidR="001B1073" w:rsidRPr="00B94183">
        <w:rPr>
          <w:rFonts w:ascii="Times New Roman" w:hAnsi="Times New Roman" w:cs="Times New Roman"/>
          <w:sz w:val="24"/>
          <w:szCs w:val="24"/>
        </w:rPr>
        <w:t>Between 2019 and 2020, the price f</w:t>
      </w:r>
      <w:r w:rsidR="005B493D">
        <w:rPr>
          <w:rFonts w:ascii="Times New Roman" w:hAnsi="Times New Roman" w:cs="Times New Roman"/>
          <w:sz w:val="24"/>
          <w:szCs w:val="24"/>
        </w:rPr>
        <w:t>e</w:t>
      </w:r>
      <w:r w:rsidR="001B1073" w:rsidRPr="00B94183">
        <w:rPr>
          <w:rFonts w:ascii="Times New Roman" w:hAnsi="Times New Roman" w:cs="Times New Roman"/>
          <w:sz w:val="24"/>
          <w:szCs w:val="24"/>
        </w:rPr>
        <w:t>ll and the units sold r</w:t>
      </w:r>
      <w:r w:rsidR="005B493D">
        <w:rPr>
          <w:rFonts w:ascii="Times New Roman" w:hAnsi="Times New Roman" w:cs="Times New Roman"/>
          <w:sz w:val="24"/>
          <w:szCs w:val="24"/>
        </w:rPr>
        <w:t>o</w:t>
      </w:r>
      <w:r w:rsidR="001B1073" w:rsidRPr="00B94183">
        <w:rPr>
          <w:rFonts w:ascii="Times New Roman" w:hAnsi="Times New Roman" w:cs="Times New Roman"/>
          <w:sz w:val="24"/>
          <w:szCs w:val="24"/>
        </w:rPr>
        <w:t>se.</w:t>
      </w:r>
    </w:p>
    <w:p w14:paraId="21D08382" w14:textId="7030A1C1" w:rsidR="001B1073" w:rsidRPr="00B94183" w:rsidRDefault="001B1073">
      <w:pPr>
        <w:rPr>
          <w:rFonts w:ascii="Times New Roman" w:hAnsi="Times New Roman" w:cs="Times New Roman"/>
          <w:sz w:val="24"/>
          <w:szCs w:val="24"/>
        </w:rPr>
      </w:pPr>
      <w:r w:rsidRPr="00B94183">
        <w:rPr>
          <w:rFonts w:ascii="Times New Roman" w:hAnsi="Times New Roman" w:cs="Times New Roman"/>
          <w:sz w:val="24"/>
          <w:szCs w:val="24"/>
        </w:rPr>
        <w:t xml:space="preserve">New South Wales: </w:t>
      </w:r>
      <w:r w:rsidR="00B94183" w:rsidRPr="00B94183">
        <w:rPr>
          <w:rFonts w:ascii="Times New Roman" w:hAnsi="Times New Roman" w:cs="Times New Roman"/>
          <w:sz w:val="24"/>
          <w:szCs w:val="24"/>
        </w:rPr>
        <w:t>The units sold move</w:t>
      </w:r>
      <w:r w:rsidR="005B493D">
        <w:rPr>
          <w:rFonts w:ascii="Times New Roman" w:hAnsi="Times New Roman" w:cs="Times New Roman"/>
          <w:sz w:val="24"/>
          <w:szCs w:val="24"/>
        </w:rPr>
        <w:t>d</w:t>
      </w:r>
      <w:r w:rsidR="00B94183" w:rsidRPr="00B94183">
        <w:rPr>
          <w:rFonts w:ascii="Times New Roman" w:hAnsi="Times New Roman" w:cs="Times New Roman"/>
          <w:sz w:val="24"/>
          <w:szCs w:val="24"/>
        </w:rPr>
        <w:t xml:space="preserve"> in the same direction as the movement in price.</w:t>
      </w:r>
    </w:p>
    <w:p w14:paraId="64D0FFAF" w14:textId="45678A7D" w:rsidR="00B94183" w:rsidRPr="00B94183" w:rsidRDefault="00B94183">
      <w:pPr>
        <w:rPr>
          <w:rFonts w:ascii="Times New Roman" w:hAnsi="Times New Roman" w:cs="Times New Roman"/>
          <w:sz w:val="24"/>
          <w:szCs w:val="24"/>
        </w:rPr>
      </w:pPr>
      <w:r w:rsidRPr="00B94183">
        <w:rPr>
          <w:rFonts w:ascii="Times New Roman" w:hAnsi="Times New Roman" w:cs="Times New Roman"/>
          <w:sz w:val="24"/>
          <w:szCs w:val="24"/>
        </w:rPr>
        <w:t>Northern Territory:</w:t>
      </w:r>
      <w:r>
        <w:rPr>
          <w:rFonts w:ascii="Times New Roman" w:hAnsi="Times New Roman" w:cs="Times New Roman"/>
          <w:sz w:val="24"/>
          <w:szCs w:val="24"/>
        </w:rPr>
        <w:t xml:space="preserve"> </w:t>
      </w:r>
      <w:r w:rsidR="00AD158C">
        <w:rPr>
          <w:rFonts w:ascii="Times New Roman" w:hAnsi="Times New Roman" w:cs="Times New Roman"/>
          <w:sz w:val="24"/>
          <w:szCs w:val="24"/>
        </w:rPr>
        <w:t>From 2018-2019, t</w:t>
      </w:r>
      <w:r w:rsidR="00043562">
        <w:rPr>
          <w:rFonts w:ascii="Times New Roman" w:hAnsi="Times New Roman" w:cs="Times New Roman"/>
          <w:sz w:val="24"/>
          <w:szCs w:val="24"/>
        </w:rPr>
        <w:t>he price and the units sold f</w:t>
      </w:r>
      <w:r w:rsidR="005B493D">
        <w:rPr>
          <w:rFonts w:ascii="Times New Roman" w:hAnsi="Times New Roman" w:cs="Times New Roman"/>
          <w:sz w:val="24"/>
          <w:szCs w:val="24"/>
        </w:rPr>
        <w:t>e</w:t>
      </w:r>
      <w:r w:rsidR="00043562">
        <w:rPr>
          <w:rFonts w:ascii="Times New Roman" w:hAnsi="Times New Roman" w:cs="Times New Roman"/>
          <w:sz w:val="24"/>
          <w:szCs w:val="24"/>
        </w:rPr>
        <w:t xml:space="preserve">ll. </w:t>
      </w:r>
      <w:r w:rsidR="00AD158C">
        <w:rPr>
          <w:rFonts w:ascii="Times New Roman" w:hAnsi="Times New Roman" w:cs="Times New Roman"/>
          <w:sz w:val="24"/>
          <w:szCs w:val="24"/>
        </w:rPr>
        <w:t>From 2019 – 2020, the p</w:t>
      </w:r>
      <w:r w:rsidR="00043562">
        <w:rPr>
          <w:rFonts w:ascii="Times New Roman" w:hAnsi="Times New Roman" w:cs="Times New Roman"/>
          <w:sz w:val="24"/>
          <w:szCs w:val="24"/>
        </w:rPr>
        <w:t>rice r</w:t>
      </w:r>
      <w:r w:rsidR="005B493D">
        <w:rPr>
          <w:rFonts w:ascii="Times New Roman" w:hAnsi="Times New Roman" w:cs="Times New Roman"/>
          <w:sz w:val="24"/>
          <w:szCs w:val="24"/>
        </w:rPr>
        <w:t>o</w:t>
      </w:r>
      <w:r w:rsidR="00043562">
        <w:rPr>
          <w:rFonts w:ascii="Times New Roman" w:hAnsi="Times New Roman" w:cs="Times New Roman"/>
          <w:sz w:val="24"/>
          <w:szCs w:val="24"/>
        </w:rPr>
        <w:t>se</w:t>
      </w:r>
      <w:r w:rsidR="00AD158C">
        <w:rPr>
          <w:rFonts w:ascii="Times New Roman" w:hAnsi="Times New Roman" w:cs="Times New Roman"/>
          <w:sz w:val="24"/>
          <w:szCs w:val="24"/>
        </w:rPr>
        <w:t xml:space="preserve"> and </w:t>
      </w:r>
      <w:r w:rsidR="00043562">
        <w:rPr>
          <w:rFonts w:ascii="Times New Roman" w:hAnsi="Times New Roman" w:cs="Times New Roman"/>
          <w:sz w:val="24"/>
          <w:szCs w:val="24"/>
        </w:rPr>
        <w:t>the units sold d</w:t>
      </w:r>
      <w:r w:rsidR="005B493D">
        <w:rPr>
          <w:rFonts w:ascii="Times New Roman" w:hAnsi="Times New Roman" w:cs="Times New Roman"/>
          <w:sz w:val="24"/>
          <w:szCs w:val="24"/>
        </w:rPr>
        <w:t>id</w:t>
      </w:r>
      <w:r w:rsidR="00043562">
        <w:rPr>
          <w:rFonts w:ascii="Times New Roman" w:hAnsi="Times New Roman" w:cs="Times New Roman"/>
          <w:sz w:val="24"/>
          <w:szCs w:val="24"/>
        </w:rPr>
        <w:t xml:space="preserve"> not change.</w:t>
      </w:r>
    </w:p>
    <w:p w14:paraId="42B78844" w14:textId="77777777" w:rsidR="006250B7" w:rsidRDefault="006250B7"/>
    <w:p w14:paraId="1592B28B" w14:textId="0987687D" w:rsidR="00D11052" w:rsidRDefault="00D11052">
      <w:pPr>
        <w:rPr>
          <w:noProof/>
        </w:rPr>
      </w:pPr>
    </w:p>
    <w:p w14:paraId="2AC045CC" w14:textId="483AFE62" w:rsidR="008D7A54" w:rsidRDefault="008D7A54">
      <w:pPr>
        <w:rPr>
          <w:noProof/>
        </w:rPr>
      </w:pPr>
    </w:p>
    <w:p w14:paraId="1A3DDD74" w14:textId="52657B8A" w:rsidR="008D7A54" w:rsidRDefault="008D7A54">
      <w:pPr>
        <w:rPr>
          <w:noProof/>
        </w:rPr>
      </w:pPr>
    </w:p>
    <w:p w14:paraId="1A413327" w14:textId="525426B9" w:rsidR="008D7A54" w:rsidRDefault="008D7A54">
      <w:pPr>
        <w:rPr>
          <w:noProof/>
        </w:rPr>
      </w:pPr>
    </w:p>
    <w:p w14:paraId="015E72F5" w14:textId="5E913635" w:rsidR="008D7A54" w:rsidRDefault="008D7A54">
      <w:r w:rsidRPr="008D7A54">
        <w:rPr>
          <w:noProof/>
        </w:rPr>
        <w:lastRenderedPageBreak/>
        <w:drawing>
          <wp:inline distT="0" distB="0" distL="0" distR="0" wp14:anchorId="03D96CB2" wp14:editId="472B892F">
            <wp:extent cx="7887105" cy="2000353"/>
            <wp:effectExtent l="0" t="0" r="0" b="0"/>
            <wp:docPr id="46" name="Picture 4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bar chart&#10;&#10;Description automatically generated"/>
                    <pic:cNvPicPr/>
                  </pic:nvPicPr>
                  <pic:blipFill>
                    <a:blip r:embed="rId20"/>
                    <a:stretch>
                      <a:fillRect/>
                    </a:stretch>
                  </pic:blipFill>
                  <pic:spPr>
                    <a:xfrm>
                      <a:off x="0" y="0"/>
                      <a:ext cx="7887105" cy="2000353"/>
                    </a:xfrm>
                    <a:prstGeom prst="rect">
                      <a:avLst/>
                    </a:prstGeom>
                  </pic:spPr>
                </pic:pic>
              </a:graphicData>
            </a:graphic>
          </wp:inline>
        </w:drawing>
      </w:r>
    </w:p>
    <w:p w14:paraId="7D02FB20" w14:textId="52BAE35C" w:rsidR="003E5A93" w:rsidRDefault="006A3FA2">
      <w:pPr>
        <w:rPr>
          <w:rFonts w:ascii="Times New Roman" w:hAnsi="Times New Roman" w:cs="Times New Roman"/>
          <w:sz w:val="24"/>
          <w:szCs w:val="24"/>
        </w:rPr>
      </w:pPr>
      <w:r>
        <w:rPr>
          <w:rFonts w:ascii="Times New Roman" w:hAnsi="Times New Roman" w:cs="Times New Roman"/>
          <w:sz w:val="24"/>
          <w:szCs w:val="24"/>
        </w:rPr>
        <w:t xml:space="preserve">Queensland: The movements in price </w:t>
      </w:r>
      <w:r w:rsidR="00531143">
        <w:rPr>
          <w:rFonts w:ascii="Times New Roman" w:hAnsi="Times New Roman" w:cs="Times New Roman"/>
          <w:sz w:val="24"/>
          <w:szCs w:val="24"/>
        </w:rPr>
        <w:t>were</w:t>
      </w:r>
      <w:r>
        <w:rPr>
          <w:rFonts w:ascii="Times New Roman" w:hAnsi="Times New Roman" w:cs="Times New Roman"/>
          <w:sz w:val="24"/>
          <w:szCs w:val="24"/>
        </w:rPr>
        <w:t xml:space="preserve"> reflected in the units sold. This shows that whilst the demand </w:t>
      </w:r>
      <w:r w:rsidR="00531143">
        <w:rPr>
          <w:rFonts w:ascii="Times New Roman" w:hAnsi="Times New Roman" w:cs="Times New Roman"/>
          <w:sz w:val="24"/>
          <w:szCs w:val="24"/>
        </w:rPr>
        <w:t>was</w:t>
      </w:r>
      <w:r>
        <w:rPr>
          <w:rFonts w:ascii="Times New Roman" w:hAnsi="Times New Roman" w:cs="Times New Roman"/>
          <w:sz w:val="24"/>
          <w:szCs w:val="24"/>
        </w:rPr>
        <w:t xml:space="preserve"> highest in 2018, it f</w:t>
      </w:r>
      <w:r w:rsidR="00531143">
        <w:rPr>
          <w:rFonts w:ascii="Times New Roman" w:hAnsi="Times New Roman" w:cs="Times New Roman"/>
          <w:sz w:val="24"/>
          <w:szCs w:val="24"/>
        </w:rPr>
        <w:t>e</w:t>
      </w:r>
      <w:r>
        <w:rPr>
          <w:rFonts w:ascii="Times New Roman" w:hAnsi="Times New Roman" w:cs="Times New Roman"/>
          <w:sz w:val="24"/>
          <w:szCs w:val="24"/>
        </w:rPr>
        <w:t>ll in 2019 and f</w:t>
      </w:r>
      <w:r w:rsidR="00531143">
        <w:rPr>
          <w:rFonts w:ascii="Times New Roman" w:hAnsi="Times New Roman" w:cs="Times New Roman"/>
          <w:sz w:val="24"/>
          <w:szCs w:val="24"/>
        </w:rPr>
        <w:t>e</w:t>
      </w:r>
      <w:r>
        <w:rPr>
          <w:rFonts w:ascii="Times New Roman" w:hAnsi="Times New Roman" w:cs="Times New Roman"/>
          <w:sz w:val="24"/>
          <w:szCs w:val="24"/>
        </w:rPr>
        <w:t xml:space="preserve">ll once more in 2020. This shows that once the demand is satisfied the supplies of this product </w:t>
      </w:r>
      <w:r w:rsidR="00531143">
        <w:rPr>
          <w:rFonts w:ascii="Times New Roman" w:hAnsi="Times New Roman" w:cs="Times New Roman"/>
          <w:sz w:val="24"/>
          <w:szCs w:val="24"/>
        </w:rPr>
        <w:t xml:space="preserve">were </w:t>
      </w:r>
      <w:r>
        <w:rPr>
          <w:rFonts w:ascii="Times New Roman" w:hAnsi="Times New Roman" w:cs="Times New Roman"/>
          <w:sz w:val="24"/>
          <w:szCs w:val="24"/>
        </w:rPr>
        <w:t>maintained.</w:t>
      </w:r>
    </w:p>
    <w:p w14:paraId="7220E37E" w14:textId="3E86A711" w:rsidR="006A3FA2" w:rsidRDefault="006A3FA2">
      <w:pPr>
        <w:rPr>
          <w:rFonts w:ascii="Times New Roman" w:hAnsi="Times New Roman" w:cs="Times New Roman"/>
          <w:sz w:val="24"/>
          <w:szCs w:val="24"/>
        </w:rPr>
      </w:pPr>
      <w:r>
        <w:rPr>
          <w:rFonts w:ascii="Times New Roman" w:hAnsi="Times New Roman" w:cs="Times New Roman"/>
          <w:sz w:val="24"/>
          <w:szCs w:val="24"/>
        </w:rPr>
        <w:t xml:space="preserve">Australian Capital Territory: </w:t>
      </w:r>
      <w:r w:rsidR="002139DE">
        <w:rPr>
          <w:rFonts w:ascii="Times New Roman" w:hAnsi="Times New Roman" w:cs="Times New Roman"/>
          <w:sz w:val="24"/>
          <w:szCs w:val="24"/>
        </w:rPr>
        <w:t>The movement in price is reflected in the logical movement in units sold.</w:t>
      </w:r>
    </w:p>
    <w:p w14:paraId="4EC40DCB" w14:textId="64EDD845" w:rsidR="002139DE" w:rsidRDefault="002139DE">
      <w:pPr>
        <w:rPr>
          <w:rFonts w:ascii="Times New Roman" w:hAnsi="Times New Roman" w:cs="Times New Roman"/>
          <w:sz w:val="24"/>
          <w:szCs w:val="24"/>
        </w:rPr>
      </w:pPr>
      <w:r>
        <w:rPr>
          <w:rFonts w:ascii="Times New Roman" w:hAnsi="Times New Roman" w:cs="Times New Roman"/>
          <w:sz w:val="24"/>
          <w:szCs w:val="24"/>
        </w:rPr>
        <w:t xml:space="preserve">Northern Territory: </w:t>
      </w:r>
      <w:r w:rsidR="0054661F">
        <w:rPr>
          <w:rFonts w:ascii="Times New Roman" w:hAnsi="Times New Roman" w:cs="Times New Roman"/>
          <w:sz w:val="24"/>
          <w:szCs w:val="24"/>
        </w:rPr>
        <w:t>Here the demand has been satisfied in 2018 because although the price f</w:t>
      </w:r>
      <w:r w:rsidR="00CD7B59">
        <w:rPr>
          <w:rFonts w:ascii="Times New Roman" w:hAnsi="Times New Roman" w:cs="Times New Roman"/>
          <w:sz w:val="24"/>
          <w:szCs w:val="24"/>
        </w:rPr>
        <w:t>e</w:t>
      </w:r>
      <w:r w:rsidR="0054661F">
        <w:rPr>
          <w:rFonts w:ascii="Times New Roman" w:hAnsi="Times New Roman" w:cs="Times New Roman"/>
          <w:sz w:val="24"/>
          <w:szCs w:val="24"/>
        </w:rPr>
        <w:t>ll in 2019, the units sold also f</w:t>
      </w:r>
      <w:r w:rsidR="00CD7B59">
        <w:rPr>
          <w:rFonts w:ascii="Times New Roman" w:hAnsi="Times New Roman" w:cs="Times New Roman"/>
          <w:sz w:val="24"/>
          <w:szCs w:val="24"/>
        </w:rPr>
        <w:t>e</w:t>
      </w:r>
      <w:r w:rsidR="0054661F">
        <w:rPr>
          <w:rFonts w:ascii="Times New Roman" w:hAnsi="Times New Roman" w:cs="Times New Roman"/>
          <w:sz w:val="24"/>
          <w:szCs w:val="24"/>
        </w:rPr>
        <w:t>ll. From 2019 to 2020</w:t>
      </w:r>
      <w:r w:rsidR="00AD6A98">
        <w:rPr>
          <w:rFonts w:ascii="Times New Roman" w:hAnsi="Times New Roman" w:cs="Times New Roman"/>
          <w:sz w:val="24"/>
          <w:szCs w:val="24"/>
        </w:rPr>
        <w:t>, the price fell and the units sold increased.</w:t>
      </w:r>
    </w:p>
    <w:p w14:paraId="4676F8DB" w14:textId="2C6FDF7A" w:rsidR="00AD6A98" w:rsidRDefault="00AD6A98">
      <w:pPr>
        <w:rPr>
          <w:rFonts w:ascii="Times New Roman" w:hAnsi="Times New Roman" w:cs="Times New Roman"/>
          <w:sz w:val="24"/>
          <w:szCs w:val="24"/>
        </w:rPr>
      </w:pPr>
      <w:r>
        <w:rPr>
          <w:rFonts w:ascii="Times New Roman" w:hAnsi="Times New Roman" w:cs="Times New Roman"/>
          <w:sz w:val="24"/>
          <w:szCs w:val="24"/>
        </w:rPr>
        <w:t xml:space="preserve">New South Wales: The movement in price </w:t>
      </w:r>
      <w:r w:rsidR="00CD7B59">
        <w:rPr>
          <w:rFonts w:ascii="Times New Roman" w:hAnsi="Times New Roman" w:cs="Times New Roman"/>
          <w:sz w:val="24"/>
          <w:szCs w:val="24"/>
        </w:rPr>
        <w:t>was</w:t>
      </w:r>
      <w:r>
        <w:rPr>
          <w:rFonts w:ascii="Times New Roman" w:hAnsi="Times New Roman" w:cs="Times New Roman"/>
          <w:sz w:val="24"/>
          <w:szCs w:val="24"/>
        </w:rPr>
        <w:t xml:space="preserve"> reflected in the movement </w:t>
      </w:r>
      <w:r w:rsidR="00CD7B59">
        <w:rPr>
          <w:rFonts w:ascii="Times New Roman" w:hAnsi="Times New Roman" w:cs="Times New Roman"/>
          <w:sz w:val="24"/>
          <w:szCs w:val="24"/>
        </w:rPr>
        <w:t xml:space="preserve">of </w:t>
      </w:r>
      <w:r>
        <w:rPr>
          <w:rFonts w:ascii="Times New Roman" w:hAnsi="Times New Roman" w:cs="Times New Roman"/>
          <w:sz w:val="24"/>
          <w:szCs w:val="24"/>
        </w:rPr>
        <w:t>units sold</w:t>
      </w:r>
      <w:r w:rsidR="00CD7B59">
        <w:rPr>
          <w:rFonts w:ascii="Times New Roman" w:hAnsi="Times New Roman" w:cs="Times New Roman"/>
          <w:sz w:val="24"/>
          <w:szCs w:val="24"/>
        </w:rPr>
        <w:t xml:space="preserve"> in manner that you would logically expect</w:t>
      </w:r>
      <w:r>
        <w:rPr>
          <w:rFonts w:ascii="Times New Roman" w:hAnsi="Times New Roman" w:cs="Times New Roman"/>
          <w:sz w:val="24"/>
          <w:szCs w:val="24"/>
        </w:rPr>
        <w:t>.</w:t>
      </w:r>
    </w:p>
    <w:p w14:paraId="2D0FC324" w14:textId="51D9168E" w:rsidR="004E54BF" w:rsidRDefault="004E54BF">
      <w:pPr>
        <w:rPr>
          <w:rFonts w:ascii="Times New Roman" w:hAnsi="Times New Roman" w:cs="Times New Roman"/>
          <w:sz w:val="24"/>
          <w:szCs w:val="24"/>
        </w:rPr>
      </w:pPr>
      <w:r>
        <w:rPr>
          <w:rFonts w:ascii="Times New Roman" w:hAnsi="Times New Roman" w:cs="Times New Roman"/>
          <w:sz w:val="24"/>
          <w:szCs w:val="24"/>
        </w:rPr>
        <w:t>Tasmania: Between 2018 to 2019, the price fell along with the units sold. However, between 2019 and 2020, the price fell again</w:t>
      </w:r>
      <w:r w:rsidR="00155E41">
        <w:rPr>
          <w:rFonts w:ascii="Times New Roman" w:hAnsi="Times New Roman" w:cs="Times New Roman"/>
          <w:sz w:val="24"/>
          <w:szCs w:val="24"/>
        </w:rPr>
        <w:t xml:space="preserve">, and </w:t>
      </w:r>
      <w:r>
        <w:rPr>
          <w:rFonts w:ascii="Times New Roman" w:hAnsi="Times New Roman" w:cs="Times New Roman"/>
          <w:sz w:val="24"/>
          <w:szCs w:val="24"/>
        </w:rPr>
        <w:t>the units sold rose.</w:t>
      </w:r>
    </w:p>
    <w:p w14:paraId="1265029B" w14:textId="1D040A45" w:rsidR="004664B7" w:rsidRDefault="004E54BF" w:rsidP="004664B7">
      <w:pPr>
        <w:rPr>
          <w:rFonts w:ascii="Times New Roman" w:hAnsi="Times New Roman" w:cs="Times New Roman"/>
          <w:sz w:val="24"/>
          <w:szCs w:val="24"/>
        </w:rPr>
      </w:pPr>
      <w:r>
        <w:rPr>
          <w:rFonts w:ascii="Times New Roman" w:hAnsi="Times New Roman" w:cs="Times New Roman"/>
          <w:sz w:val="24"/>
          <w:szCs w:val="24"/>
        </w:rPr>
        <w:t xml:space="preserve">Victoria: </w:t>
      </w:r>
      <w:r w:rsidR="004664B7">
        <w:rPr>
          <w:rFonts w:ascii="Times New Roman" w:hAnsi="Times New Roman" w:cs="Times New Roman"/>
          <w:sz w:val="24"/>
          <w:szCs w:val="24"/>
        </w:rPr>
        <w:t xml:space="preserve">Between 2018 to 2019, the price fell along with the units sold. However, between 2019 and 2020, the price fell again, </w:t>
      </w:r>
      <w:r w:rsidR="00155E41">
        <w:rPr>
          <w:rFonts w:ascii="Times New Roman" w:hAnsi="Times New Roman" w:cs="Times New Roman"/>
          <w:sz w:val="24"/>
          <w:szCs w:val="24"/>
        </w:rPr>
        <w:t>and</w:t>
      </w:r>
      <w:r w:rsidR="004664B7">
        <w:rPr>
          <w:rFonts w:ascii="Times New Roman" w:hAnsi="Times New Roman" w:cs="Times New Roman"/>
          <w:sz w:val="24"/>
          <w:szCs w:val="24"/>
        </w:rPr>
        <w:t xml:space="preserve"> the units sold rose.</w:t>
      </w:r>
    </w:p>
    <w:p w14:paraId="3D5053B5" w14:textId="4821A696" w:rsidR="004E54BF" w:rsidRPr="006A3FA2" w:rsidRDefault="004E54BF">
      <w:pPr>
        <w:rPr>
          <w:rFonts w:ascii="Times New Roman" w:hAnsi="Times New Roman" w:cs="Times New Roman"/>
          <w:sz w:val="24"/>
          <w:szCs w:val="24"/>
        </w:rPr>
      </w:pPr>
    </w:p>
    <w:p w14:paraId="31800A63" w14:textId="209E12CE" w:rsidR="003E5A93" w:rsidRDefault="003E5A93">
      <w:pPr>
        <w:rPr>
          <w:noProof/>
        </w:rPr>
      </w:pPr>
    </w:p>
    <w:p w14:paraId="6B442500" w14:textId="392A606D" w:rsidR="008D7A54" w:rsidRDefault="008D7A54">
      <w:pPr>
        <w:rPr>
          <w:noProof/>
        </w:rPr>
      </w:pPr>
    </w:p>
    <w:p w14:paraId="29C206BF" w14:textId="13899C5D" w:rsidR="008D7A54" w:rsidRDefault="008D7A54">
      <w:pPr>
        <w:rPr>
          <w:noProof/>
        </w:rPr>
      </w:pPr>
    </w:p>
    <w:p w14:paraId="2140607F" w14:textId="3DC2B144" w:rsidR="008D7A54" w:rsidRDefault="008D7A54">
      <w:pPr>
        <w:rPr>
          <w:noProof/>
        </w:rPr>
      </w:pPr>
    </w:p>
    <w:p w14:paraId="71176254" w14:textId="29242E8C" w:rsidR="008D7A54" w:rsidRDefault="008D7A54">
      <w:pPr>
        <w:rPr>
          <w:noProof/>
        </w:rPr>
      </w:pPr>
    </w:p>
    <w:p w14:paraId="6C1A786A" w14:textId="73467FAA" w:rsidR="008D7A54" w:rsidRDefault="008D7A54">
      <w:r w:rsidRPr="008D7A54">
        <w:rPr>
          <w:noProof/>
        </w:rPr>
        <w:lastRenderedPageBreak/>
        <w:drawing>
          <wp:inline distT="0" distB="0" distL="0" distR="0" wp14:anchorId="729C80A2" wp14:editId="78FFCBFF">
            <wp:extent cx="7868054" cy="2006703"/>
            <wp:effectExtent l="0" t="0" r="0" b="0"/>
            <wp:docPr id="47" name="Picture 47" descr="Graphical user interface, application,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application, bar chart&#10;&#10;Description automatically generated"/>
                    <pic:cNvPicPr/>
                  </pic:nvPicPr>
                  <pic:blipFill>
                    <a:blip r:embed="rId21"/>
                    <a:stretch>
                      <a:fillRect/>
                    </a:stretch>
                  </pic:blipFill>
                  <pic:spPr>
                    <a:xfrm>
                      <a:off x="0" y="0"/>
                      <a:ext cx="7868054" cy="2006703"/>
                    </a:xfrm>
                    <a:prstGeom prst="rect">
                      <a:avLst/>
                    </a:prstGeom>
                  </pic:spPr>
                </pic:pic>
              </a:graphicData>
            </a:graphic>
          </wp:inline>
        </w:drawing>
      </w:r>
    </w:p>
    <w:p w14:paraId="3590B867" w14:textId="049D5176" w:rsidR="00D059E1" w:rsidRDefault="00D13FD6">
      <w:pPr>
        <w:rPr>
          <w:rFonts w:ascii="Times New Roman" w:hAnsi="Times New Roman" w:cs="Times New Roman"/>
          <w:sz w:val="24"/>
          <w:szCs w:val="24"/>
        </w:rPr>
      </w:pPr>
      <w:r>
        <w:rPr>
          <w:rFonts w:ascii="Times New Roman" w:hAnsi="Times New Roman" w:cs="Times New Roman"/>
          <w:sz w:val="24"/>
          <w:szCs w:val="24"/>
        </w:rPr>
        <w:t xml:space="preserve">Queensland: The activity here is purely driven by demand. In 2018, the price </w:t>
      </w:r>
      <w:r w:rsidR="00B86CE3">
        <w:rPr>
          <w:rFonts w:ascii="Times New Roman" w:hAnsi="Times New Roman" w:cs="Times New Roman"/>
          <w:sz w:val="24"/>
          <w:szCs w:val="24"/>
        </w:rPr>
        <w:t xml:space="preserve">was </w:t>
      </w:r>
      <w:r>
        <w:rPr>
          <w:rFonts w:ascii="Times New Roman" w:hAnsi="Times New Roman" w:cs="Times New Roman"/>
          <w:sz w:val="24"/>
          <w:szCs w:val="24"/>
        </w:rPr>
        <w:t>at its highest</w:t>
      </w:r>
      <w:r w:rsidR="00B86CE3">
        <w:rPr>
          <w:rFonts w:ascii="Times New Roman" w:hAnsi="Times New Roman" w:cs="Times New Roman"/>
          <w:sz w:val="24"/>
          <w:szCs w:val="24"/>
        </w:rPr>
        <w:t xml:space="preserve"> and so were the units sold. Then in 2019, the price fell and the units sold fell. In 2020, </w:t>
      </w:r>
      <w:r w:rsidR="008722B5">
        <w:rPr>
          <w:rFonts w:ascii="Times New Roman" w:hAnsi="Times New Roman" w:cs="Times New Roman"/>
          <w:sz w:val="24"/>
          <w:szCs w:val="24"/>
        </w:rPr>
        <w:t>the price and quantity sold rose.</w:t>
      </w:r>
    </w:p>
    <w:p w14:paraId="224ACD9F" w14:textId="20FB6544" w:rsidR="008722B5" w:rsidRDefault="008722B5">
      <w:pPr>
        <w:rPr>
          <w:rFonts w:ascii="Times New Roman" w:hAnsi="Times New Roman" w:cs="Times New Roman"/>
          <w:sz w:val="24"/>
          <w:szCs w:val="24"/>
        </w:rPr>
      </w:pPr>
      <w:r>
        <w:rPr>
          <w:rFonts w:ascii="Times New Roman" w:hAnsi="Times New Roman" w:cs="Times New Roman"/>
          <w:sz w:val="24"/>
          <w:szCs w:val="24"/>
        </w:rPr>
        <w:t>Victoria: Demand was satisfied in 201</w:t>
      </w:r>
      <w:r w:rsidR="00AB2E00">
        <w:rPr>
          <w:rFonts w:ascii="Times New Roman" w:hAnsi="Times New Roman" w:cs="Times New Roman"/>
          <w:sz w:val="24"/>
          <w:szCs w:val="24"/>
        </w:rPr>
        <w:t>8</w:t>
      </w:r>
      <w:r>
        <w:rPr>
          <w:rFonts w:ascii="Times New Roman" w:hAnsi="Times New Roman" w:cs="Times New Roman"/>
          <w:sz w:val="24"/>
          <w:szCs w:val="24"/>
        </w:rPr>
        <w:t>, supplies were maintained in 2019 with the rise in price. In 2020, the price fell and the quantity sold fell. Again this was all driven by demand.</w:t>
      </w:r>
    </w:p>
    <w:p w14:paraId="1C7E2C17" w14:textId="26470E58" w:rsidR="008722B5" w:rsidRDefault="008722B5">
      <w:pPr>
        <w:rPr>
          <w:rFonts w:ascii="Times New Roman" w:hAnsi="Times New Roman" w:cs="Times New Roman"/>
          <w:sz w:val="24"/>
          <w:szCs w:val="24"/>
        </w:rPr>
      </w:pPr>
      <w:r>
        <w:rPr>
          <w:rFonts w:ascii="Times New Roman" w:hAnsi="Times New Roman" w:cs="Times New Roman"/>
          <w:sz w:val="24"/>
          <w:szCs w:val="24"/>
        </w:rPr>
        <w:t xml:space="preserve">Northern Territory: </w:t>
      </w:r>
      <w:r w:rsidR="00DB0033">
        <w:rPr>
          <w:rFonts w:ascii="Times New Roman" w:hAnsi="Times New Roman" w:cs="Times New Roman"/>
          <w:sz w:val="24"/>
          <w:szCs w:val="24"/>
        </w:rPr>
        <w:t xml:space="preserve">Between 2018 and 2019 the price </w:t>
      </w:r>
      <w:r w:rsidR="0083754A">
        <w:rPr>
          <w:rFonts w:ascii="Times New Roman" w:hAnsi="Times New Roman" w:cs="Times New Roman"/>
          <w:sz w:val="24"/>
          <w:szCs w:val="24"/>
        </w:rPr>
        <w:t>fell</w:t>
      </w:r>
      <w:r w:rsidR="00DB0033">
        <w:rPr>
          <w:rFonts w:ascii="Times New Roman" w:hAnsi="Times New Roman" w:cs="Times New Roman"/>
          <w:sz w:val="24"/>
          <w:szCs w:val="24"/>
        </w:rPr>
        <w:t xml:space="preserve"> slightly</w:t>
      </w:r>
      <w:r w:rsidR="0083754A">
        <w:rPr>
          <w:rFonts w:ascii="Times New Roman" w:hAnsi="Times New Roman" w:cs="Times New Roman"/>
          <w:sz w:val="24"/>
          <w:szCs w:val="24"/>
        </w:rPr>
        <w:t xml:space="preserve"> and the quantity sold fell. Then from 2019 to 2020, the price rose and the quantity sold fell again.</w:t>
      </w:r>
    </w:p>
    <w:p w14:paraId="0EFE1C11" w14:textId="5EF970E8" w:rsidR="0083754A" w:rsidRDefault="0083754A">
      <w:pPr>
        <w:rPr>
          <w:rFonts w:ascii="Times New Roman" w:hAnsi="Times New Roman" w:cs="Times New Roman"/>
          <w:sz w:val="24"/>
          <w:szCs w:val="24"/>
        </w:rPr>
      </w:pPr>
      <w:r>
        <w:rPr>
          <w:rFonts w:ascii="Times New Roman" w:hAnsi="Times New Roman" w:cs="Times New Roman"/>
          <w:sz w:val="24"/>
          <w:szCs w:val="24"/>
        </w:rPr>
        <w:t xml:space="preserve">Tasmania: </w:t>
      </w:r>
      <w:r w:rsidR="00DA09BE">
        <w:rPr>
          <w:rFonts w:ascii="Times New Roman" w:hAnsi="Times New Roman" w:cs="Times New Roman"/>
          <w:sz w:val="24"/>
          <w:szCs w:val="24"/>
        </w:rPr>
        <w:t>Between 2018 and 2019 the price rose and the quantity sold fell. Between 2019 and 2020, the price rose and the quantity remained the same.</w:t>
      </w:r>
    </w:p>
    <w:p w14:paraId="2F105F1B" w14:textId="575ABEC7" w:rsidR="00DA09BE" w:rsidRDefault="00DA09BE">
      <w:pPr>
        <w:rPr>
          <w:rFonts w:ascii="Times New Roman" w:hAnsi="Times New Roman" w:cs="Times New Roman"/>
          <w:sz w:val="24"/>
          <w:szCs w:val="24"/>
        </w:rPr>
      </w:pPr>
      <w:r>
        <w:rPr>
          <w:rFonts w:ascii="Times New Roman" w:hAnsi="Times New Roman" w:cs="Times New Roman"/>
          <w:sz w:val="24"/>
          <w:szCs w:val="24"/>
        </w:rPr>
        <w:t>New South Wales: Between 2018 and 2019 the price</w:t>
      </w:r>
      <w:r w:rsidR="009513BE">
        <w:rPr>
          <w:rFonts w:ascii="Times New Roman" w:hAnsi="Times New Roman" w:cs="Times New Roman"/>
          <w:sz w:val="24"/>
          <w:szCs w:val="24"/>
        </w:rPr>
        <w:t xml:space="preserve"> fell and the quantity sold fell. From 2019 to 2020, the price rose and the quantity rose.</w:t>
      </w:r>
    </w:p>
    <w:p w14:paraId="4F55BBDF" w14:textId="5319AD40" w:rsidR="009513BE" w:rsidRPr="00D13FD6" w:rsidRDefault="00CA42E3">
      <w:pPr>
        <w:rPr>
          <w:rFonts w:ascii="Times New Roman" w:hAnsi="Times New Roman" w:cs="Times New Roman"/>
          <w:sz w:val="24"/>
          <w:szCs w:val="24"/>
        </w:rPr>
      </w:pPr>
      <w:r>
        <w:rPr>
          <w:rFonts w:ascii="Times New Roman" w:hAnsi="Times New Roman" w:cs="Times New Roman"/>
          <w:sz w:val="24"/>
          <w:szCs w:val="24"/>
        </w:rPr>
        <w:t xml:space="preserve">Australian Capital Territory: </w:t>
      </w:r>
      <w:r w:rsidR="006D6DE7">
        <w:rPr>
          <w:rFonts w:ascii="Times New Roman" w:hAnsi="Times New Roman" w:cs="Times New Roman"/>
          <w:sz w:val="24"/>
          <w:szCs w:val="24"/>
        </w:rPr>
        <w:t>Between 2018 and 2019, the price rose and the quantity sold fell. Between 2019 and 2020</w:t>
      </w:r>
      <w:r w:rsidR="005343AF">
        <w:rPr>
          <w:rFonts w:ascii="Times New Roman" w:hAnsi="Times New Roman" w:cs="Times New Roman"/>
          <w:sz w:val="24"/>
          <w:szCs w:val="24"/>
        </w:rPr>
        <w:t>, the price fell and the quan</w:t>
      </w:r>
      <w:r w:rsidR="00745393">
        <w:rPr>
          <w:rFonts w:ascii="Times New Roman" w:hAnsi="Times New Roman" w:cs="Times New Roman"/>
          <w:sz w:val="24"/>
          <w:szCs w:val="24"/>
        </w:rPr>
        <w:t xml:space="preserve">tity </w:t>
      </w:r>
      <w:r w:rsidR="005343AF">
        <w:rPr>
          <w:rFonts w:ascii="Times New Roman" w:hAnsi="Times New Roman" w:cs="Times New Roman"/>
          <w:sz w:val="24"/>
          <w:szCs w:val="24"/>
        </w:rPr>
        <w:t>sold fell.</w:t>
      </w:r>
    </w:p>
    <w:p w14:paraId="444C2392" w14:textId="4F86F41C" w:rsidR="003E5A93" w:rsidRDefault="003E5A93"/>
    <w:p w14:paraId="0AEC4C60" w14:textId="507C3795" w:rsidR="006311F2" w:rsidRDefault="006311F2">
      <w:pPr>
        <w:rPr>
          <w:noProof/>
        </w:rPr>
      </w:pPr>
    </w:p>
    <w:p w14:paraId="486D316F" w14:textId="61682F5B" w:rsidR="00F35D50" w:rsidRDefault="00F35D50">
      <w:pPr>
        <w:rPr>
          <w:noProof/>
        </w:rPr>
      </w:pPr>
    </w:p>
    <w:p w14:paraId="74ED99DC" w14:textId="6D2A7756" w:rsidR="00F35D50" w:rsidRDefault="00F35D50">
      <w:r w:rsidRPr="00F35D50">
        <w:rPr>
          <w:noProof/>
        </w:rPr>
        <w:lastRenderedPageBreak/>
        <w:drawing>
          <wp:inline distT="0" distB="0" distL="0" distR="0" wp14:anchorId="11311023" wp14:editId="2244C5CA">
            <wp:extent cx="8026813" cy="2457576"/>
            <wp:effectExtent l="0" t="0" r="0" b="0"/>
            <wp:docPr id="41" name="Picture 4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bar chart&#10;&#10;Description automatically generated"/>
                    <pic:cNvPicPr/>
                  </pic:nvPicPr>
                  <pic:blipFill>
                    <a:blip r:embed="rId22"/>
                    <a:stretch>
                      <a:fillRect/>
                    </a:stretch>
                  </pic:blipFill>
                  <pic:spPr>
                    <a:xfrm>
                      <a:off x="0" y="0"/>
                      <a:ext cx="8026813" cy="2457576"/>
                    </a:xfrm>
                    <a:prstGeom prst="rect">
                      <a:avLst/>
                    </a:prstGeom>
                  </pic:spPr>
                </pic:pic>
              </a:graphicData>
            </a:graphic>
          </wp:inline>
        </w:drawing>
      </w:r>
    </w:p>
    <w:p w14:paraId="4525082B" w14:textId="387758F2" w:rsidR="003E3B64" w:rsidRDefault="003E3B64" w:rsidP="006F4694">
      <w:pPr>
        <w:rPr>
          <w:rFonts w:ascii="Times New Roman" w:hAnsi="Times New Roman" w:cs="Times New Roman"/>
          <w:sz w:val="24"/>
          <w:szCs w:val="24"/>
        </w:rPr>
      </w:pPr>
      <w:r>
        <w:rPr>
          <w:rFonts w:ascii="Times New Roman" w:hAnsi="Times New Roman" w:cs="Times New Roman"/>
          <w:sz w:val="24"/>
          <w:szCs w:val="24"/>
        </w:rPr>
        <w:t xml:space="preserve">In 2018, the </w:t>
      </w:r>
      <w:r w:rsidR="000D33FD">
        <w:rPr>
          <w:rFonts w:ascii="Times New Roman" w:hAnsi="Times New Roman" w:cs="Times New Roman"/>
          <w:sz w:val="24"/>
          <w:szCs w:val="24"/>
        </w:rPr>
        <w:t xml:space="preserve">wholesale price </w:t>
      </w:r>
      <w:r>
        <w:rPr>
          <w:rFonts w:ascii="Times New Roman" w:hAnsi="Times New Roman" w:cs="Times New Roman"/>
          <w:sz w:val="24"/>
          <w:szCs w:val="24"/>
        </w:rPr>
        <w:t>is at its highest for the following States:</w:t>
      </w:r>
    </w:p>
    <w:p w14:paraId="7A8B2749" w14:textId="15AE3AEA" w:rsidR="006311F2" w:rsidRDefault="006D3F82" w:rsidP="006F4694">
      <w:pPr>
        <w:rPr>
          <w:rFonts w:ascii="Times New Roman" w:hAnsi="Times New Roman" w:cs="Times New Roman"/>
          <w:sz w:val="24"/>
          <w:szCs w:val="24"/>
        </w:rPr>
      </w:pPr>
      <w:r>
        <w:rPr>
          <w:rFonts w:ascii="Times New Roman" w:hAnsi="Times New Roman" w:cs="Times New Roman"/>
          <w:sz w:val="24"/>
          <w:szCs w:val="24"/>
        </w:rPr>
        <w:t xml:space="preserve">Queensland: </w:t>
      </w:r>
      <w:r w:rsidR="00AD4A43">
        <w:rPr>
          <w:rFonts w:ascii="Times New Roman" w:hAnsi="Times New Roman" w:cs="Times New Roman"/>
          <w:sz w:val="24"/>
          <w:szCs w:val="24"/>
        </w:rPr>
        <w:t>T</w:t>
      </w:r>
      <w:r w:rsidR="004744B0">
        <w:rPr>
          <w:rFonts w:ascii="Times New Roman" w:hAnsi="Times New Roman" w:cs="Times New Roman"/>
          <w:sz w:val="24"/>
          <w:szCs w:val="24"/>
        </w:rPr>
        <w:t>he price and quantity sold fell between 2018 and 2019. Between 2019 and 2020, the price fell and the quantity sold</w:t>
      </w:r>
      <w:r w:rsidR="003E3B64">
        <w:rPr>
          <w:rFonts w:ascii="Times New Roman" w:hAnsi="Times New Roman" w:cs="Times New Roman"/>
          <w:sz w:val="24"/>
          <w:szCs w:val="24"/>
        </w:rPr>
        <w:t xml:space="preserve"> rose.</w:t>
      </w:r>
    </w:p>
    <w:p w14:paraId="5816D9EE" w14:textId="724247D6" w:rsidR="00671E75" w:rsidRDefault="00671E75" w:rsidP="006F4694">
      <w:pPr>
        <w:rPr>
          <w:rFonts w:ascii="Times New Roman" w:hAnsi="Times New Roman" w:cs="Times New Roman"/>
          <w:sz w:val="24"/>
          <w:szCs w:val="24"/>
        </w:rPr>
      </w:pPr>
      <w:r>
        <w:rPr>
          <w:rFonts w:ascii="Times New Roman" w:hAnsi="Times New Roman" w:cs="Times New Roman"/>
          <w:sz w:val="24"/>
          <w:szCs w:val="24"/>
        </w:rPr>
        <w:t>Tasmania and Victoria: The price and the quantity sold fell from 2018 to 2019. Between 2019 and 2020 the price fell and the quantity sold rose.</w:t>
      </w:r>
    </w:p>
    <w:p w14:paraId="73CAC916" w14:textId="4A78F938" w:rsidR="00671E75" w:rsidRDefault="00671E75" w:rsidP="006F4694">
      <w:pPr>
        <w:rPr>
          <w:rFonts w:ascii="Times New Roman" w:hAnsi="Times New Roman" w:cs="Times New Roman"/>
          <w:sz w:val="24"/>
          <w:szCs w:val="24"/>
        </w:rPr>
      </w:pPr>
      <w:r>
        <w:rPr>
          <w:rFonts w:ascii="Times New Roman" w:hAnsi="Times New Roman" w:cs="Times New Roman"/>
          <w:sz w:val="24"/>
          <w:szCs w:val="24"/>
        </w:rPr>
        <w:t xml:space="preserve">Northern Territory: The price </w:t>
      </w:r>
      <w:r w:rsidR="00325A93">
        <w:rPr>
          <w:rFonts w:ascii="Times New Roman" w:hAnsi="Times New Roman" w:cs="Times New Roman"/>
          <w:sz w:val="24"/>
          <w:szCs w:val="24"/>
        </w:rPr>
        <w:t>and quantity sold fell from 2018 to 2019. Then from 2019 to 2020</w:t>
      </w:r>
      <w:r w:rsidR="000706B5">
        <w:rPr>
          <w:rFonts w:ascii="Times New Roman" w:hAnsi="Times New Roman" w:cs="Times New Roman"/>
          <w:sz w:val="24"/>
          <w:szCs w:val="24"/>
        </w:rPr>
        <w:t>, the price rose and the quantity fell.</w:t>
      </w:r>
    </w:p>
    <w:p w14:paraId="5455AC57" w14:textId="77777777" w:rsidR="00CE722B" w:rsidRDefault="000706B5" w:rsidP="006F4694">
      <w:pPr>
        <w:rPr>
          <w:rFonts w:ascii="Times New Roman" w:hAnsi="Times New Roman" w:cs="Times New Roman"/>
          <w:sz w:val="24"/>
          <w:szCs w:val="24"/>
        </w:rPr>
      </w:pPr>
      <w:r>
        <w:rPr>
          <w:rFonts w:ascii="Times New Roman" w:hAnsi="Times New Roman" w:cs="Times New Roman"/>
          <w:sz w:val="24"/>
          <w:szCs w:val="24"/>
        </w:rPr>
        <w:t xml:space="preserve">Australian Capital Territory: </w:t>
      </w:r>
      <w:r w:rsidR="00CE722B">
        <w:rPr>
          <w:rFonts w:ascii="Times New Roman" w:hAnsi="Times New Roman" w:cs="Times New Roman"/>
          <w:sz w:val="24"/>
          <w:szCs w:val="24"/>
        </w:rPr>
        <w:t>The price and the quantity sold fell between 2018 and 2019. Then from 2019 and 2020, the price and quantity sold rose.</w:t>
      </w:r>
    </w:p>
    <w:p w14:paraId="1DFDC2C5" w14:textId="7851CCDC" w:rsidR="000706B5" w:rsidRDefault="00FA220A" w:rsidP="006F4694">
      <w:pPr>
        <w:rPr>
          <w:rFonts w:ascii="Times New Roman" w:hAnsi="Times New Roman" w:cs="Times New Roman"/>
          <w:sz w:val="24"/>
          <w:szCs w:val="24"/>
        </w:rPr>
      </w:pPr>
      <w:r>
        <w:rPr>
          <w:rFonts w:ascii="Times New Roman" w:hAnsi="Times New Roman" w:cs="Times New Roman"/>
          <w:sz w:val="24"/>
          <w:szCs w:val="24"/>
        </w:rPr>
        <w:t xml:space="preserve">New South Wales: In 2018 the </w:t>
      </w:r>
      <w:r w:rsidR="000D33FD">
        <w:rPr>
          <w:rFonts w:ascii="Times New Roman" w:hAnsi="Times New Roman" w:cs="Times New Roman"/>
          <w:sz w:val="24"/>
          <w:szCs w:val="24"/>
        </w:rPr>
        <w:t xml:space="preserve">wholesale price </w:t>
      </w:r>
      <w:r>
        <w:rPr>
          <w:rFonts w:ascii="Times New Roman" w:hAnsi="Times New Roman" w:cs="Times New Roman"/>
          <w:sz w:val="24"/>
          <w:szCs w:val="24"/>
        </w:rPr>
        <w:t>w</w:t>
      </w:r>
      <w:r w:rsidR="000D33FD">
        <w:rPr>
          <w:rFonts w:ascii="Times New Roman" w:hAnsi="Times New Roman" w:cs="Times New Roman"/>
          <w:sz w:val="24"/>
          <w:szCs w:val="24"/>
        </w:rPr>
        <w:t>as</w:t>
      </w:r>
      <w:r>
        <w:rPr>
          <w:rFonts w:ascii="Times New Roman" w:hAnsi="Times New Roman" w:cs="Times New Roman"/>
          <w:sz w:val="24"/>
          <w:szCs w:val="24"/>
        </w:rPr>
        <w:t xml:space="preserve"> not at </w:t>
      </w:r>
      <w:r w:rsidR="000D33FD">
        <w:rPr>
          <w:rFonts w:ascii="Times New Roman" w:hAnsi="Times New Roman" w:cs="Times New Roman"/>
          <w:sz w:val="24"/>
          <w:szCs w:val="24"/>
        </w:rPr>
        <w:t>its</w:t>
      </w:r>
      <w:r>
        <w:rPr>
          <w:rFonts w:ascii="Times New Roman" w:hAnsi="Times New Roman" w:cs="Times New Roman"/>
          <w:sz w:val="24"/>
          <w:szCs w:val="24"/>
        </w:rPr>
        <w:t xml:space="preserve"> highest. From 2018 to 2019, the price rose and the quantity sold fell. Then from 2019 to 2020, the price fell and the quantity sold rose.</w:t>
      </w:r>
      <w:r w:rsidR="00CE722B">
        <w:rPr>
          <w:rFonts w:ascii="Times New Roman" w:hAnsi="Times New Roman" w:cs="Times New Roman"/>
          <w:sz w:val="24"/>
          <w:szCs w:val="24"/>
        </w:rPr>
        <w:t xml:space="preserve"> </w:t>
      </w:r>
    </w:p>
    <w:p w14:paraId="68EF7228" w14:textId="33C81877" w:rsidR="003E3B64" w:rsidRDefault="003E3B64" w:rsidP="006F4694">
      <w:pPr>
        <w:rPr>
          <w:rFonts w:ascii="Times New Roman" w:hAnsi="Times New Roman" w:cs="Times New Roman"/>
          <w:sz w:val="24"/>
          <w:szCs w:val="24"/>
        </w:rPr>
      </w:pPr>
    </w:p>
    <w:p w14:paraId="1E5F6E1D" w14:textId="4E10230E" w:rsidR="006879FA" w:rsidRDefault="006879FA" w:rsidP="006F4694">
      <w:pPr>
        <w:rPr>
          <w:rFonts w:ascii="Times New Roman" w:hAnsi="Times New Roman" w:cs="Times New Roman"/>
          <w:sz w:val="24"/>
          <w:szCs w:val="24"/>
        </w:rPr>
      </w:pPr>
    </w:p>
    <w:p w14:paraId="5C1DA5BA" w14:textId="786BC202" w:rsidR="006879FA" w:rsidRDefault="006879FA" w:rsidP="006F4694">
      <w:pPr>
        <w:rPr>
          <w:rFonts w:ascii="Times New Roman" w:hAnsi="Times New Roman" w:cs="Times New Roman"/>
          <w:sz w:val="24"/>
          <w:szCs w:val="24"/>
        </w:rPr>
      </w:pPr>
    </w:p>
    <w:p w14:paraId="58FEC714" w14:textId="412829F3" w:rsidR="006879FA" w:rsidRDefault="006879FA" w:rsidP="006F4694">
      <w:pPr>
        <w:rPr>
          <w:rFonts w:ascii="Times New Roman" w:hAnsi="Times New Roman" w:cs="Times New Roman"/>
          <w:sz w:val="24"/>
          <w:szCs w:val="24"/>
        </w:rPr>
      </w:pPr>
    </w:p>
    <w:p w14:paraId="3CDE2765" w14:textId="77777777" w:rsidR="006879FA" w:rsidRPr="006D3F82" w:rsidRDefault="006879FA" w:rsidP="006F4694">
      <w:pPr>
        <w:rPr>
          <w:rFonts w:ascii="Times New Roman" w:hAnsi="Times New Roman" w:cs="Times New Roman"/>
          <w:sz w:val="24"/>
          <w:szCs w:val="24"/>
        </w:rPr>
      </w:pPr>
    </w:p>
    <w:p w14:paraId="553C88D3" w14:textId="245CE19D" w:rsidR="003E5A93" w:rsidRPr="007A7839" w:rsidRDefault="00D54A75">
      <w:pPr>
        <w:rPr>
          <w:rFonts w:ascii="Times New Roman" w:hAnsi="Times New Roman" w:cs="Times New Roman"/>
          <w:noProof/>
          <w:sz w:val="24"/>
          <w:szCs w:val="24"/>
        </w:rPr>
      </w:pPr>
      <w:r w:rsidRPr="007A7839">
        <w:rPr>
          <w:rFonts w:ascii="Times New Roman" w:hAnsi="Times New Roman" w:cs="Times New Roman"/>
          <w:noProof/>
          <w:sz w:val="24"/>
          <w:szCs w:val="24"/>
        </w:rPr>
        <w:lastRenderedPageBreak/>
        <w:t xml:space="preserve">The conclusions we can deduce from the yearly figures of </w:t>
      </w:r>
      <w:r w:rsidR="000D33FD">
        <w:rPr>
          <w:rFonts w:ascii="Times New Roman" w:hAnsi="Times New Roman" w:cs="Times New Roman"/>
          <w:noProof/>
          <w:sz w:val="24"/>
          <w:szCs w:val="24"/>
        </w:rPr>
        <w:t xml:space="preserve">the Average </w:t>
      </w:r>
      <w:r w:rsidRPr="007A7839">
        <w:rPr>
          <w:rFonts w:ascii="Times New Roman" w:hAnsi="Times New Roman" w:cs="Times New Roman"/>
          <w:noProof/>
          <w:sz w:val="24"/>
          <w:szCs w:val="24"/>
        </w:rPr>
        <w:t>Wholesale Price and Units Sold are as follows:</w:t>
      </w:r>
    </w:p>
    <w:p w14:paraId="0D63AD91" w14:textId="655365FA" w:rsidR="00D54A75" w:rsidRPr="000D33FD" w:rsidRDefault="00D54A75" w:rsidP="000D33FD">
      <w:pPr>
        <w:rPr>
          <w:rFonts w:ascii="Times New Roman" w:hAnsi="Times New Roman" w:cs="Times New Roman"/>
          <w:sz w:val="24"/>
          <w:szCs w:val="24"/>
        </w:rPr>
      </w:pPr>
    </w:p>
    <w:p w14:paraId="443224D2" w14:textId="18DC1559" w:rsidR="00D54A75" w:rsidRPr="007A7839" w:rsidRDefault="00D54A75" w:rsidP="00D54A75">
      <w:pPr>
        <w:pStyle w:val="ListParagraph"/>
        <w:numPr>
          <w:ilvl w:val="0"/>
          <w:numId w:val="2"/>
        </w:numPr>
        <w:rPr>
          <w:rFonts w:ascii="Times New Roman" w:hAnsi="Times New Roman" w:cs="Times New Roman"/>
          <w:sz w:val="24"/>
          <w:szCs w:val="24"/>
        </w:rPr>
      </w:pPr>
      <w:r w:rsidRPr="007A7839">
        <w:rPr>
          <w:rFonts w:ascii="Times New Roman" w:hAnsi="Times New Roman" w:cs="Times New Roman"/>
          <w:sz w:val="24"/>
          <w:szCs w:val="24"/>
        </w:rPr>
        <w:t xml:space="preserve">Although the Wholesale Prices were at their highest in 2018, the Units Sold </w:t>
      </w:r>
      <w:r w:rsidR="00AB2E00">
        <w:rPr>
          <w:rFonts w:ascii="Times New Roman" w:hAnsi="Times New Roman" w:cs="Times New Roman"/>
          <w:sz w:val="24"/>
          <w:szCs w:val="24"/>
        </w:rPr>
        <w:t xml:space="preserve">in the majority of cases </w:t>
      </w:r>
      <w:r w:rsidRPr="007A7839">
        <w:rPr>
          <w:rFonts w:ascii="Times New Roman" w:hAnsi="Times New Roman" w:cs="Times New Roman"/>
          <w:sz w:val="24"/>
          <w:szCs w:val="24"/>
        </w:rPr>
        <w:t>were also at their highest</w:t>
      </w:r>
      <w:r w:rsidR="00B95BAD" w:rsidRPr="007A7839">
        <w:rPr>
          <w:rFonts w:ascii="Times New Roman" w:hAnsi="Times New Roman" w:cs="Times New Roman"/>
          <w:sz w:val="24"/>
          <w:szCs w:val="24"/>
        </w:rPr>
        <w:t xml:space="preserve">, which indicates that the demand for these products was also at </w:t>
      </w:r>
      <w:r w:rsidR="006879FA">
        <w:rPr>
          <w:rFonts w:ascii="Times New Roman" w:hAnsi="Times New Roman" w:cs="Times New Roman"/>
          <w:sz w:val="24"/>
          <w:szCs w:val="24"/>
        </w:rPr>
        <w:t>their</w:t>
      </w:r>
      <w:r w:rsidR="00B95BAD" w:rsidRPr="007A7839">
        <w:rPr>
          <w:rFonts w:ascii="Times New Roman" w:hAnsi="Times New Roman" w:cs="Times New Roman"/>
          <w:sz w:val="24"/>
          <w:szCs w:val="24"/>
        </w:rPr>
        <w:t xml:space="preserve"> highest.</w:t>
      </w:r>
      <w:r w:rsidR="006879FA">
        <w:rPr>
          <w:rFonts w:ascii="Times New Roman" w:hAnsi="Times New Roman" w:cs="Times New Roman"/>
          <w:sz w:val="24"/>
          <w:szCs w:val="24"/>
        </w:rPr>
        <w:t xml:space="preserve"> In view of this, I also saw that once the demand for a particular product was satisfied in 2018, its supplies were maintained in 2019 and 2020 but not at the same high levels.</w:t>
      </w:r>
    </w:p>
    <w:p w14:paraId="51AFC711" w14:textId="353C874E" w:rsidR="00B95BAD" w:rsidRPr="00981C64" w:rsidRDefault="00B95BAD" w:rsidP="00D54A75">
      <w:pPr>
        <w:pStyle w:val="ListParagraph"/>
        <w:numPr>
          <w:ilvl w:val="0"/>
          <w:numId w:val="2"/>
        </w:numPr>
        <w:rPr>
          <w:rFonts w:ascii="Times New Roman" w:hAnsi="Times New Roman" w:cs="Times New Roman"/>
          <w:sz w:val="24"/>
          <w:szCs w:val="24"/>
        </w:rPr>
      </w:pPr>
      <w:r w:rsidRPr="007A7839">
        <w:rPr>
          <w:rFonts w:ascii="Times New Roman" w:hAnsi="Times New Roman" w:cs="Times New Roman"/>
          <w:sz w:val="24"/>
          <w:szCs w:val="24"/>
        </w:rPr>
        <w:t xml:space="preserve">The data shows that </w:t>
      </w:r>
      <w:r w:rsidR="00832FBB" w:rsidRPr="007A7839">
        <w:rPr>
          <w:rFonts w:ascii="Times New Roman" w:hAnsi="Times New Roman" w:cs="Times New Roman"/>
          <w:sz w:val="24"/>
          <w:szCs w:val="24"/>
        </w:rPr>
        <w:t xml:space="preserve">the </w:t>
      </w:r>
      <w:r w:rsidRPr="007A7839">
        <w:rPr>
          <w:rFonts w:ascii="Times New Roman" w:hAnsi="Times New Roman" w:cs="Times New Roman"/>
          <w:sz w:val="24"/>
          <w:szCs w:val="24"/>
        </w:rPr>
        <w:t>relationship between Wholesale Price and Quantities Sold is not mutually exclusive because whe</w:t>
      </w:r>
      <w:r w:rsidR="00832FBB" w:rsidRPr="007A7839">
        <w:rPr>
          <w:rFonts w:ascii="Times New Roman" w:hAnsi="Times New Roman" w:cs="Times New Roman"/>
          <w:sz w:val="24"/>
          <w:szCs w:val="24"/>
        </w:rPr>
        <w:t>n</w:t>
      </w:r>
      <w:r w:rsidRPr="007A7839">
        <w:rPr>
          <w:rFonts w:ascii="Times New Roman" w:hAnsi="Times New Roman" w:cs="Times New Roman"/>
          <w:sz w:val="24"/>
          <w:szCs w:val="24"/>
        </w:rPr>
        <w:t xml:space="preserve"> there is a </w:t>
      </w:r>
      <w:r w:rsidR="00A348E8">
        <w:rPr>
          <w:rFonts w:ascii="Times New Roman" w:hAnsi="Times New Roman" w:cs="Times New Roman"/>
          <w:sz w:val="24"/>
          <w:szCs w:val="24"/>
        </w:rPr>
        <w:t>D</w:t>
      </w:r>
      <w:r w:rsidRPr="007A7839">
        <w:rPr>
          <w:rFonts w:ascii="Times New Roman" w:hAnsi="Times New Roman" w:cs="Times New Roman"/>
          <w:sz w:val="24"/>
          <w:szCs w:val="24"/>
        </w:rPr>
        <w:t>emand for a particular product at given time</w:t>
      </w:r>
      <w:r w:rsidR="00832FBB" w:rsidRPr="007A7839">
        <w:rPr>
          <w:rFonts w:ascii="Times New Roman" w:hAnsi="Times New Roman" w:cs="Times New Roman"/>
          <w:sz w:val="24"/>
          <w:szCs w:val="24"/>
        </w:rPr>
        <w:t>, even if there was increase in price quantities were sold.</w:t>
      </w:r>
      <w:r w:rsidR="00832FBB" w:rsidRPr="007A7839">
        <w:rPr>
          <w:noProof/>
          <w:sz w:val="24"/>
          <w:szCs w:val="24"/>
        </w:rPr>
        <w:t xml:space="preserve"> </w:t>
      </w:r>
      <w:r w:rsidR="00A348E8">
        <w:rPr>
          <w:rFonts w:ascii="Times New Roman" w:hAnsi="Times New Roman" w:cs="Times New Roman"/>
          <w:noProof/>
          <w:sz w:val="24"/>
          <w:szCs w:val="24"/>
        </w:rPr>
        <w:t>This highlights the potential shortage in Supply, which results in a rise in price.</w:t>
      </w:r>
    </w:p>
    <w:p w14:paraId="704092C4" w14:textId="37C95575" w:rsidR="00981C64" w:rsidRDefault="00981C64" w:rsidP="00D54A75">
      <w:pPr>
        <w:pStyle w:val="ListParagraph"/>
        <w:numPr>
          <w:ilvl w:val="0"/>
          <w:numId w:val="2"/>
        </w:numPr>
        <w:rPr>
          <w:rFonts w:ascii="Times New Roman" w:hAnsi="Times New Roman" w:cs="Times New Roman"/>
          <w:sz w:val="24"/>
          <w:szCs w:val="24"/>
        </w:rPr>
      </w:pPr>
      <w:r>
        <w:rPr>
          <w:rFonts w:ascii="Times New Roman" w:hAnsi="Times New Roman" w:cs="Times New Roman"/>
          <w:noProof/>
          <w:sz w:val="24"/>
          <w:szCs w:val="24"/>
        </w:rPr>
        <w:t>On some occasions a rise in price was reflected by a fall in the units sold and a fall in price was reflected in an increase in units sold</w:t>
      </w:r>
      <w:r w:rsidR="00A348E8">
        <w:rPr>
          <w:rFonts w:ascii="Times New Roman" w:hAnsi="Times New Roman" w:cs="Times New Roman"/>
          <w:noProof/>
          <w:sz w:val="24"/>
          <w:szCs w:val="24"/>
        </w:rPr>
        <w:t>, which is what you would logically</w:t>
      </w:r>
      <w:r w:rsidR="00936FF9">
        <w:rPr>
          <w:rFonts w:ascii="Times New Roman" w:hAnsi="Times New Roman" w:cs="Times New Roman"/>
          <w:noProof/>
          <w:sz w:val="24"/>
          <w:szCs w:val="24"/>
        </w:rPr>
        <w:t xml:space="preserve"> expect</w:t>
      </w:r>
      <w:r w:rsidR="00A348E8">
        <w:rPr>
          <w:rFonts w:ascii="Times New Roman" w:hAnsi="Times New Roman" w:cs="Times New Roman"/>
          <w:noProof/>
          <w:sz w:val="24"/>
          <w:szCs w:val="24"/>
        </w:rPr>
        <w:t>.</w:t>
      </w:r>
    </w:p>
    <w:p w14:paraId="7F0F7B1F" w14:textId="2FB2D56A" w:rsidR="00981C64" w:rsidRDefault="00981C64" w:rsidP="00D54A75">
      <w:pPr>
        <w:pStyle w:val="ListParagraph"/>
        <w:numPr>
          <w:ilvl w:val="0"/>
          <w:numId w:val="2"/>
        </w:numPr>
        <w:rPr>
          <w:rFonts w:ascii="Times New Roman" w:hAnsi="Times New Roman" w:cs="Times New Roman"/>
          <w:sz w:val="24"/>
          <w:szCs w:val="24"/>
        </w:rPr>
      </w:pPr>
      <w:r>
        <w:rPr>
          <w:rFonts w:ascii="Times New Roman" w:hAnsi="Times New Roman" w:cs="Times New Roman"/>
          <w:noProof/>
          <w:sz w:val="24"/>
          <w:szCs w:val="24"/>
        </w:rPr>
        <w:t xml:space="preserve">It was evident from the </w:t>
      </w:r>
      <w:r w:rsidR="00DB4EC0">
        <w:rPr>
          <w:rFonts w:ascii="Times New Roman" w:hAnsi="Times New Roman" w:cs="Times New Roman"/>
          <w:noProof/>
          <w:sz w:val="24"/>
          <w:szCs w:val="24"/>
        </w:rPr>
        <w:t xml:space="preserve">data when it was broken down </w:t>
      </w:r>
      <w:r w:rsidR="00A348E8">
        <w:rPr>
          <w:rFonts w:ascii="Times New Roman" w:hAnsi="Times New Roman" w:cs="Times New Roman"/>
          <w:noProof/>
          <w:sz w:val="24"/>
          <w:szCs w:val="24"/>
        </w:rPr>
        <w:t xml:space="preserve">to </w:t>
      </w:r>
      <w:r w:rsidR="00DB4EC0">
        <w:rPr>
          <w:rFonts w:ascii="Times New Roman" w:hAnsi="Times New Roman" w:cs="Times New Roman"/>
          <w:noProof/>
          <w:sz w:val="24"/>
          <w:szCs w:val="24"/>
        </w:rPr>
        <w:t>daily</w:t>
      </w:r>
      <w:r w:rsidR="00A348E8">
        <w:rPr>
          <w:rFonts w:ascii="Times New Roman" w:hAnsi="Times New Roman" w:cs="Times New Roman"/>
          <w:noProof/>
          <w:sz w:val="24"/>
          <w:szCs w:val="24"/>
        </w:rPr>
        <w:t xml:space="preserve"> figures</w:t>
      </w:r>
      <w:r w:rsidR="00DB4EC0">
        <w:rPr>
          <w:rFonts w:ascii="Times New Roman" w:hAnsi="Times New Roman" w:cs="Times New Roman"/>
          <w:noProof/>
          <w:sz w:val="24"/>
          <w:szCs w:val="24"/>
        </w:rPr>
        <w:t xml:space="preserve"> that products were frequently bought at higher wholesale prices, therefore the demand for the product was more important than the price</w:t>
      </w:r>
      <w:r w:rsidR="00A348E8">
        <w:rPr>
          <w:rFonts w:ascii="Times New Roman" w:hAnsi="Times New Roman" w:cs="Times New Roman"/>
          <w:noProof/>
          <w:sz w:val="24"/>
          <w:szCs w:val="24"/>
        </w:rPr>
        <w:t xml:space="preserve"> that was paid for it</w:t>
      </w:r>
      <w:r w:rsidR="00936FF9">
        <w:rPr>
          <w:rFonts w:ascii="Times New Roman" w:hAnsi="Times New Roman" w:cs="Times New Roman"/>
          <w:noProof/>
          <w:sz w:val="24"/>
          <w:szCs w:val="24"/>
        </w:rPr>
        <w:t xml:space="preserve"> and may reflect a shortage in supply</w:t>
      </w:r>
      <w:r w:rsidR="00DB4EC0">
        <w:rPr>
          <w:rFonts w:ascii="Times New Roman" w:hAnsi="Times New Roman" w:cs="Times New Roman"/>
          <w:noProof/>
          <w:sz w:val="24"/>
          <w:szCs w:val="24"/>
        </w:rPr>
        <w:t>. Some states were more cost conscious and purchased more products at cheaper prices</w:t>
      </w:r>
      <w:r w:rsidR="00AF55D1">
        <w:rPr>
          <w:rFonts w:ascii="Times New Roman" w:hAnsi="Times New Roman" w:cs="Times New Roman"/>
          <w:noProof/>
          <w:sz w:val="24"/>
          <w:szCs w:val="24"/>
        </w:rPr>
        <w:t xml:space="preserve"> consistently</w:t>
      </w:r>
      <w:r w:rsidR="00DB4EC0">
        <w:rPr>
          <w:rFonts w:ascii="Times New Roman" w:hAnsi="Times New Roman" w:cs="Times New Roman"/>
          <w:noProof/>
          <w:sz w:val="24"/>
          <w:szCs w:val="24"/>
        </w:rPr>
        <w:t xml:space="preserve">, however at times they did make purchases at higher prices, which reflects the need for particular products at </w:t>
      </w:r>
      <w:r w:rsidR="00AF55D1">
        <w:rPr>
          <w:rFonts w:ascii="Times New Roman" w:hAnsi="Times New Roman" w:cs="Times New Roman"/>
          <w:noProof/>
          <w:sz w:val="24"/>
          <w:szCs w:val="24"/>
        </w:rPr>
        <w:t xml:space="preserve">a specific </w:t>
      </w:r>
      <w:r w:rsidR="00DB4EC0">
        <w:rPr>
          <w:rFonts w:ascii="Times New Roman" w:hAnsi="Times New Roman" w:cs="Times New Roman"/>
          <w:noProof/>
          <w:sz w:val="24"/>
          <w:szCs w:val="24"/>
        </w:rPr>
        <w:t>time.</w:t>
      </w:r>
    </w:p>
    <w:p w14:paraId="54F8D04E" w14:textId="3D267C9C" w:rsidR="00DB4EC0" w:rsidRPr="007A7839" w:rsidRDefault="00DB4EC0" w:rsidP="00D54A75">
      <w:pPr>
        <w:pStyle w:val="ListParagraph"/>
        <w:numPr>
          <w:ilvl w:val="0"/>
          <w:numId w:val="2"/>
        </w:numPr>
        <w:rPr>
          <w:rFonts w:ascii="Times New Roman" w:hAnsi="Times New Roman" w:cs="Times New Roman"/>
          <w:sz w:val="24"/>
          <w:szCs w:val="24"/>
        </w:rPr>
      </w:pPr>
      <w:r>
        <w:rPr>
          <w:rFonts w:ascii="Times New Roman" w:hAnsi="Times New Roman" w:cs="Times New Roman"/>
          <w:noProof/>
          <w:sz w:val="24"/>
          <w:szCs w:val="24"/>
        </w:rPr>
        <w:t>The mode unit sold per purchase was 6 units closely followed by 5 units.</w:t>
      </w:r>
    </w:p>
    <w:p w14:paraId="00C25982" w14:textId="263E33C7" w:rsidR="00832FBB" w:rsidRPr="007A7839" w:rsidRDefault="00832FBB" w:rsidP="00D54A75">
      <w:pPr>
        <w:pStyle w:val="ListParagraph"/>
        <w:numPr>
          <w:ilvl w:val="0"/>
          <w:numId w:val="2"/>
        </w:numPr>
        <w:rPr>
          <w:rFonts w:ascii="Times New Roman" w:hAnsi="Times New Roman" w:cs="Times New Roman"/>
          <w:sz w:val="24"/>
          <w:szCs w:val="24"/>
        </w:rPr>
      </w:pPr>
      <w:r w:rsidRPr="007A7839">
        <w:rPr>
          <w:rFonts w:ascii="Times New Roman" w:hAnsi="Times New Roman" w:cs="Times New Roman"/>
          <w:sz w:val="24"/>
          <w:szCs w:val="24"/>
        </w:rPr>
        <w:t>Overall, the highest number of products were sold in 2018</w:t>
      </w:r>
      <w:r w:rsidR="002C06F5" w:rsidRPr="007A7839">
        <w:rPr>
          <w:rFonts w:ascii="Times New Roman" w:hAnsi="Times New Roman" w:cs="Times New Roman"/>
          <w:sz w:val="24"/>
          <w:szCs w:val="24"/>
        </w:rPr>
        <w:t xml:space="preserve">, followed a reduced amount in </w:t>
      </w:r>
      <w:r w:rsidRPr="007A7839">
        <w:rPr>
          <w:rFonts w:ascii="Times New Roman" w:hAnsi="Times New Roman" w:cs="Times New Roman"/>
          <w:sz w:val="24"/>
          <w:szCs w:val="24"/>
        </w:rPr>
        <w:t>2019</w:t>
      </w:r>
      <w:r w:rsidR="002C06F5" w:rsidRPr="007A7839">
        <w:rPr>
          <w:rFonts w:ascii="Times New Roman" w:hAnsi="Times New Roman" w:cs="Times New Roman"/>
          <w:sz w:val="24"/>
          <w:szCs w:val="24"/>
        </w:rPr>
        <w:t xml:space="preserve">, with this level </w:t>
      </w:r>
      <w:r w:rsidR="000243FD">
        <w:rPr>
          <w:rFonts w:ascii="Times New Roman" w:hAnsi="Times New Roman" w:cs="Times New Roman"/>
          <w:sz w:val="24"/>
          <w:szCs w:val="24"/>
        </w:rPr>
        <w:t>was</w:t>
      </w:r>
      <w:r w:rsidR="002C06F5" w:rsidRPr="007A7839">
        <w:rPr>
          <w:rFonts w:ascii="Times New Roman" w:hAnsi="Times New Roman" w:cs="Times New Roman"/>
          <w:sz w:val="24"/>
          <w:szCs w:val="24"/>
        </w:rPr>
        <w:t xml:space="preserve"> maintained in 2020.</w:t>
      </w:r>
    </w:p>
    <w:p w14:paraId="6FD21203" w14:textId="6909FF76" w:rsidR="002C06F5" w:rsidRDefault="002C06F5" w:rsidP="002C06F5">
      <w:pPr>
        <w:pStyle w:val="ListParagraph"/>
        <w:rPr>
          <w:rFonts w:ascii="Times New Roman" w:hAnsi="Times New Roman" w:cs="Times New Roman"/>
          <w:sz w:val="32"/>
          <w:szCs w:val="32"/>
        </w:rPr>
      </w:pPr>
    </w:p>
    <w:p w14:paraId="3F9A542B" w14:textId="5FB5F2B9" w:rsidR="002C06F5" w:rsidRDefault="002C06F5" w:rsidP="002C06F5">
      <w:pPr>
        <w:pStyle w:val="ListParagraph"/>
        <w:rPr>
          <w:rFonts w:ascii="Times New Roman" w:hAnsi="Times New Roman" w:cs="Times New Roman"/>
          <w:sz w:val="32"/>
          <w:szCs w:val="32"/>
        </w:rPr>
      </w:pPr>
    </w:p>
    <w:p w14:paraId="622D9911" w14:textId="0A5616AB" w:rsidR="002D2D13" w:rsidRDefault="002D2D13" w:rsidP="002C06F5">
      <w:pPr>
        <w:pStyle w:val="ListParagraph"/>
        <w:rPr>
          <w:rFonts w:ascii="Times New Roman" w:hAnsi="Times New Roman" w:cs="Times New Roman"/>
          <w:sz w:val="32"/>
          <w:szCs w:val="32"/>
        </w:rPr>
      </w:pPr>
    </w:p>
    <w:p w14:paraId="23B04A68" w14:textId="3D2338AB" w:rsidR="002D2D13" w:rsidRDefault="002D2D13" w:rsidP="002C06F5">
      <w:pPr>
        <w:pStyle w:val="ListParagraph"/>
        <w:rPr>
          <w:rFonts w:ascii="Times New Roman" w:hAnsi="Times New Roman" w:cs="Times New Roman"/>
          <w:sz w:val="32"/>
          <w:szCs w:val="32"/>
        </w:rPr>
      </w:pPr>
    </w:p>
    <w:p w14:paraId="0B41DD81" w14:textId="78DB481F" w:rsidR="002D2D13" w:rsidRDefault="002D2D13" w:rsidP="002C06F5">
      <w:pPr>
        <w:pStyle w:val="ListParagraph"/>
        <w:rPr>
          <w:rFonts w:ascii="Times New Roman" w:hAnsi="Times New Roman" w:cs="Times New Roman"/>
          <w:sz w:val="32"/>
          <w:szCs w:val="32"/>
        </w:rPr>
      </w:pPr>
    </w:p>
    <w:p w14:paraId="0F6AB830" w14:textId="0C28C4B6" w:rsidR="002D2D13" w:rsidRDefault="002D2D13" w:rsidP="002C06F5">
      <w:pPr>
        <w:pStyle w:val="ListParagraph"/>
        <w:rPr>
          <w:rFonts w:ascii="Times New Roman" w:hAnsi="Times New Roman" w:cs="Times New Roman"/>
          <w:sz w:val="32"/>
          <w:szCs w:val="32"/>
        </w:rPr>
      </w:pPr>
    </w:p>
    <w:p w14:paraId="130F213C" w14:textId="467AA73B" w:rsidR="002D2D13" w:rsidRDefault="002D2D13" w:rsidP="002C06F5">
      <w:pPr>
        <w:pStyle w:val="ListParagraph"/>
        <w:rPr>
          <w:rFonts w:ascii="Times New Roman" w:hAnsi="Times New Roman" w:cs="Times New Roman"/>
          <w:sz w:val="32"/>
          <w:szCs w:val="32"/>
        </w:rPr>
      </w:pPr>
    </w:p>
    <w:p w14:paraId="6A6E5142" w14:textId="77777777" w:rsidR="002D2D13" w:rsidRDefault="002D2D13" w:rsidP="002C06F5">
      <w:pPr>
        <w:pStyle w:val="ListParagraph"/>
        <w:rPr>
          <w:rFonts w:ascii="Times New Roman" w:hAnsi="Times New Roman" w:cs="Times New Roman"/>
          <w:sz w:val="32"/>
          <w:szCs w:val="32"/>
        </w:rPr>
      </w:pPr>
    </w:p>
    <w:p w14:paraId="1B47D44A" w14:textId="3E3DA497" w:rsidR="002D5AF9" w:rsidRDefault="00832FBB" w:rsidP="00832FBB">
      <w:pPr>
        <w:ind w:left="360"/>
      </w:pPr>
      <w:r w:rsidRPr="00832FBB">
        <w:rPr>
          <w:rFonts w:ascii="Times New Roman" w:hAnsi="Times New Roman" w:cs="Times New Roman"/>
          <w:sz w:val="32"/>
          <w:szCs w:val="32"/>
        </w:rPr>
        <w:t xml:space="preserve"> </w:t>
      </w:r>
    </w:p>
    <w:p w14:paraId="2F897FB3" w14:textId="5DE00434" w:rsidR="002D5AF9" w:rsidRDefault="002D5AF9"/>
    <w:p w14:paraId="7F1A561D" w14:textId="2977043B" w:rsidR="008C2CEA" w:rsidRDefault="008C2CEA"/>
    <w:p w14:paraId="40AE9450" w14:textId="4C7321DB" w:rsidR="008C2CEA" w:rsidRDefault="008C2CEA"/>
    <w:p w14:paraId="77E69A9C" w14:textId="64C63A85" w:rsidR="008C2CEA" w:rsidRDefault="008C2CEA"/>
    <w:p w14:paraId="23BFF73B" w14:textId="5C265E90" w:rsidR="008C2CEA" w:rsidRDefault="008C2CEA"/>
    <w:p w14:paraId="3A16DBDC" w14:textId="1C88F9F2" w:rsidR="008C2CEA" w:rsidRDefault="008C2CEA"/>
    <w:p w14:paraId="39F7D236" w14:textId="4DE967F8" w:rsidR="001C1B70" w:rsidRDefault="001C1B70"/>
    <w:p w14:paraId="4B3C3612" w14:textId="5FF3323E" w:rsidR="00C56027" w:rsidRDefault="00C56027"/>
    <w:p w14:paraId="0FDB6F56" w14:textId="704ADE8D" w:rsidR="00C56027" w:rsidRDefault="00C56027"/>
    <w:p w14:paraId="0348BCCA" w14:textId="187F44B6" w:rsidR="00C56027" w:rsidRDefault="00C56027"/>
    <w:p w14:paraId="657BBDDA" w14:textId="572F4CD4" w:rsidR="00C56027" w:rsidRDefault="00C56027"/>
    <w:p w14:paraId="4CA34BCA" w14:textId="7C3FFD96" w:rsidR="00C56027" w:rsidRDefault="00C56027"/>
    <w:p w14:paraId="1920683E" w14:textId="0B4BCB9F" w:rsidR="002672A2" w:rsidRDefault="002672A2"/>
    <w:p w14:paraId="75CF55F8" w14:textId="2E2208AD" w:rsidR="002672A2" w:rsidRDefault="002672A2"/>
    <w:p w14:paraId="6AB398CE" w14:textId="06FA0D60" w:rsidR="002672A2" w:rsidRDefault="002672A2"/>
    <w:p w14:paraId="057AE9FE" w14:textId="576F68AC" w:rsidR="008F6396" w:rsidRDefault="008F6396"/>
    <w:p w14:paraId="680F7F8D" w14:textId="359D21BC" w:rsidR="008F6396" w:rsidRDefault="008F6396"/>
    <w:p w14:paraId="6823F725" w14:textId="46CD3C14" w:rsidR="008F6396" w:rsidRDefault="008F6396"/>
    <w:p w14:paraId="4A86ABD9" w14:textId="2B7B82D8" w:rsidR="008F6396" w:rsidRDefault="008F6396"/>
    <w:p w14:paraId="3C57583C" w14:textId="11D27009" w:rsidR="008F6396" w:rsidRDefault="008F6396"/>
    <w:p w14:paraId="10C95D9E" w14:textId="5120B866" w:rsidR="008F6396" w:rsidRDefault="008F6396"/>
    <w:sectPr w:rsidR="008F6396" w:rsidSect="00FD2821">
      <w:pgSz w:w="16838" w:h="11906"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E54BF"/>
    <w:multiLevelType w:val="hybridMultilevel"/>
    <w:tmpl w:val="9A9AA9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697273"/>
    <w:multiLevelType w:val="hybridMultilevel"/>
    <w:tmpl w:val="E3443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746191">
    <w:abstractNumId w:val="0"/>
  </w:num>
  <w:num w:numId="2" w16cid:durableId="116339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1D5"/>
    <w:rsid w:val="000038F0"/>
    <w:rsid w:val="000067F3"/>
    <w:rsid w:val="00007A10"/>
    <w:rsid w:val="00020FC8"/>
    <w:rsid w:val="000243FD"/>
    <w:rsid w:val="00043562"/>
    <w:rsid w:val="0005150F"/>
    <w:rsid w:val="0005513D"/>
    <w:rsid w:val="0005763D"/>
    <w:rsid w:val="00062F5B"/>
    <w:rsid w:val="000706B5"/>
    <w:rsid w:val="000A43EB"/>
    <w:rsid w:val="000C2CB6"/>
    <w:rsid w:val="000C30EC"/>
    <w:rsid w:val="000D00EB"/>
    <w:rsid w:val="000D33FD"/>
    <w:rsid w:val="000E342A"/>
    <w:rsid w:val="00105A7B"/>
    <w:rsid w:val="001202B0"/>
    <w:rsid w:val="00121E1F"/>
    <w:rsid w:val="00155E41"/>
    <w:rsid w:val="00166DBA"/>
    <w:rsid w:val="00192C39"/>
    <w:rsid w:val="001B1073"/>
    <w:rsid w:val="001B36A6"/>
    <w:rsid w:val="001C1B70"/>
    <w:rsid w:val="001C5BC7"/>
    <w:rsid w:val="001D24A0"/>
    <w:rsid w:val="001D73AC"/>
    <w:rsid w:val="002044FC"/>
    <w:rsid w:val="002139DE"/>
    <w:rsid w:val="002262A7"/>
    <w:rsid w:val="00231699"/>
    <w:rsid w:val="0023790B"/>
    <w:rsid w:val="00265B8D"/>
    <w:rsid w:val="002672A2"/>
    <w:rsid w:val="00270B07"/>
    <w:rsid w:val="00272908"/>
    <w:rsid w:val="002A0A01"/>
    <w:rsid w:val="002A3D50"/>
    <w:rsid w:val="002C06F5"/>
    <w:rsid w:val="002D1D92"/>
    <w:rsid w:val="002D2D13"/>
    <w:rsid w:val="002D5AF9"/>
    <w:rsid w:val="002E0D44"/>
    <w:rsid w:val="00325A93"/>
    <w:rsid w:val="00345FF7"/>
    <w:rsid w:val="00346EC2"/>
    <w:rsid w:val="003776C0"/>
    <w:rsid w:val="00393672"/>
    <w:rsid w:val="003D2CF5"/>
    <w:rsid w:val="003E3B64"/>
    <w:rsid w:val="003E3D1C"/>
    <w:rsid w:val="003E54DB"/>
    <w:rsid w:val="003E5A93"/>
    <w:rsid w:val="003F5F77"/>
    <w:rsid w:val="0044637B"/>
    <w:rsid w:val="00454680"/>
    <w:rsid w:val="00455F45"/>
    <w:rsid w:val="004600EA"/>
    <w:rsid w:val="004605AD"/>
    <w:rsid w:val="004664B7"/>
    <w:rsid w:val="004744B0"/>
    <w:rsid w:val="00480D96"/>
    <w:rsid w:val="0048405F"/>
    <w:rsid w:val="00487C38"/>
    <w:rsid w:val="00495EE7"/>
    <w:rsid w:val="004B58F1"/>
    <w:rsid w:val="004C3B9D"/>
    <w:rsid w:val="004D122B"/>
    <w:rsid w:val="004E2BAF"/>
    <w:rsid w:val="004E342D"/>
    <w:rsid w:val="004E54BF"/>
    <w:rsid w:val="00523628"/>
    <w:rsid w:val="00531143"/>
    <w:rsid w:val="005343AF"/>
    <w:rsid w:val="0054661F"/>
    <w:rsid w:val="00563263"/>
    <w:rsid w:val="005656A0"/>
    <w:rsid w:val="005B493D"/>
    <w:rsid w:val="005F3E84"/>
    <w:rsid w:val="00602069"/>
    <w:rsid w:val="00621B6E"/>
    <w:rsid w:val="006250B7"/>
    <w:rsid w:val="006311F2"/>
    <w:rsid w:val="00637032"/>
    <w:rsid w:val="00647B26"/>
    <w:rsid w:val="00671E75"/>
    <w:rsid w:val="00681F8C"/>
    <w:rsid w:val="006879FA"/>
    <w:rsid w:val="00691C6F"/>
    <w:rsid w:val="006A3FA2"/>
    <w:rsid w:val="006B74A4"/>
    <w:rsid w:val="006C5FB8"/>
    <w:rsid w:val="006D3F82"/>
    <w:rsid w:val="006D6DE7"/>
    <w:rsid w:val="006E33E7"/>
    <w:rsid w:val="006F1266"/>
    <w:rsid w:val="006F4694"/>
    <w:rsid w:val="007427F2"/>
    <w:rsid w:val="00745393"/>
    <w:rsid w:val="0077384C"/>
    <w:rsid w:val="007756D0"/>
    <w:rsid w:val="00775AE8"/>
    <w:rsid w:val="00790372"/>
    <w:rsid w:val="007A7839"/>
    <w:rsid w:val="007B76EC"/>
    <w:rsid w:val="007C592D"/>
    <w:rsid w:val="00805CDC"/>
    <w:rsid w:val="00810C1E"/>
    <w:rsid w:val="00827B21"/>
    <w:rsid w:val="00832FBB"/>
    <w:rsid w:val="0083754A"/>
    <w:rsid w:val="008407A4"/>
    <w:rsid w:val="00867205"/>
    <w:rsid w:val="008722B5"/>
    <w:rsid w:val="008A4211"/>
    <w:rsid w:val="008A5723"/>
    <w:rsid w:val="008A7B68"/>
    <w:rsid w:val="008B7BE4"/>
    <w:rsid w:val="008C2CEA"/>
    <w:rsid w:val="008D7A54"/>
    <w:rsid w:val="008F4A22"/>
    <w:rsid w:val="008F6396"/>
    <w:rsid w:val="00936FF9"/>
    <w:rsid w:val="009513BE"/>
    <w:rsid w:val="00981C64"/>
    <w:rsid w:val="009A141D"/>
    <w:rsid w:val="009F1041"/>
    <w:rsid w:val="00A0397E"/>
    <w:rsid w:val="00A12281"/>
    <w:rsid w:val="00A348E8"/>
    <w:rsid w:val="00A51E39"/>
    <w:rsid w:val="00AA6B52"/>
    <w:rsid w:val="00AB2E00"/>
    <w:rsid w:val="00AC4598"/>
    <w:rsid w:val="00AD158C"/>
    <w:rsid w:val="00AD4A43"/>
    <w:rsid w:val="00AD6A98"/>
    <w:rsid w:val="00AF55D1"/>
    <w:rsid w:val="00B4058A"/>
    <w:rsid w:val="00B86CE3"/>
    <w:rsid w:val="00B91DF1"/>
    <w:rsid w:val="00B94183"/>
    <w:rsid w:val="00B95BAD"/>
    <w:rsid w:val="00BC258F"/>
    <w:rsid w:val="00C55490"/>
    <w:rsid w:val="00C56027"/>
    <w:rsid w:val="00C87F9C"/>
    <w:rsid w:val="00CA42E3"/>
    <w:rsid w:val="00CC3101"/>
    <w:rsid w:val="00CD0A70"/>
    <w:rsid w:val="00CD35E1"/>
    <w:rsid w:val="00CD7B59"/>
    <w:rsid w:val="00CE722B"/>
    <w:rsid w:val="00CF3963"/>
    <w:rsid w:val="00CF3D1C"/>
    <w:rsid w:val="00D059E1"/>
    <w:rsid w:val="00D11052"/>
    <w:rsid w:val="00D111E1"/>
    <w:rsid w:val="00D13FD6"/>
    <w:rsid w:val="00D250C2"/>
    <w:rsid w:val="00D2789B"/>
    <w:rsid w:val="00D302AC"/>
    <w:rsid w:val="00D32563"/>
    <w:rsid w:val="00D54A75"/>
    <w:rsid w:val="00D7002B"/>
    <w:rsid w:val="00DA09BE"/>
    <w:rsid w:val="00DA0DFA"/>
    <w:rsid w:val="00DA40FB"/>
    <w:rsid w:val="00DB0033"/>
    <w:rsid w:val="00DB4EC0"/>
    <w:rsid w:val="00DD26CE"/>
    <w:rsid w:val="00EB1472"/>
    <w:rsid w:val="00F35D50"/>
    <w:rsid w:val="00F428C3"/>
    <w:rsid w:val="00F641DB"/>
    <w:rsid w:val="00F87732"/>
    <w:rsid w:val="00F9069E"/>
    <w:rsid w:val="00FA0300"/>
    <w:rsid w:val="00FA220A"/>
    <w:rsid w:val="00FA61D5"/>
    <w:rsid w:val="00FD043B"/>
    <w:rsid w:val="00FD2821"/>
    <w:rsid w:val="00FE2AB6"/>
    <w:rsid w:val="00FF3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7B917"/>
  <w15:chartTrackingRefBased/>
  <w15:docId w15:val="{74CA4E45-2402-4C58-95C8-B578A26F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A61D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54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2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C4640-4FCF-4ED9-84FE-3FF714F6D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1956</Words>
  <Characters>11154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Magnani</dc:creator>
  <cp:keywords/>
  <dc:description/>
  <cp:lastModifiedBy>Bruno Magnani</cp:lastModifiedBy>
  <cp:revision>2</cp:revision>
  <dcterms:created xsi:type="dcterms:W3CDTF">2022-04-07T16:00:00Z</dcterms:created>
  <dcterms:modified xsi:type="dcterms:W3CDTF">2022-04-07T16:00:00Z</dcterms:modified>
</cp:coreProperties>
</file>