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de Decisión Técnica Animaciones</w:t>
      </w:r>
    </w:p>
    <w:p>
      <w:pPr>
        <w:pStyle w:val="Subtitle"/>
      </w:pPr>
      <w:r>
        <w:t>Registro de decisiones de arquitectura del jugador</w:t>
      </w:r>
    </w:p>
    <w:p>
      <w:pPr>
        <w:spacing w:after="120" w:line="269" w:lineRule="auto"/>
      </w:pPr>
      <w:r>
        <w:t>Este documento registra una decisión sobre el equipamiento inicial y dos definiciones pendientes: la arquitectura de animaciones y la elección del personaje. Cada ADR usa la misma estructura para dejar claras las opciones y sus efectos.</w:t>
      </w:r>
    </w:p>
    <w:p>
      <w:pPr>
        <w:pStyle w:val="Heading1"/>
        <w:keepNext/>
      </w:pPr>
      <w:r>
        <w:t>ADR 1 Equipamiento inicial</w:t>
      </w:r>
    </w:p>
    <w:p>
      <w:pPr>
        <w:spacing w:after="120"/>
      </w:pPr>
      <w:r>
        <w:rPr>
          <w:rFonts w:ascii="Arial" w:hAnsi="Arial"/>
          <w:b/>
          <w:color w:val="000000"/>
          <w:sz w:val="20"/>
        </w:rPr>
        <w:t xml:space="preserve">Referencia  </w:t>
      </w:r>
      <w:r>
        <w:rPr>
          <w:rFonts w:ascii="Arial" w:hAnsi="Arial"/>
          <w:b w:val="0"/>
          <w:color w:val="000000"/>
          <w:sz w:val="20"/>
        </w:rPr>
        <w:t>COG-342</w:t>
      </w:r>
    </w:p>
    <w:p>
      <w:pPr>
        <w:pStyle w:val="Heading2"/>
        <w:keepNext/>
      </w:pPr>
      <w:r>
        <w:t>Contexto y problema</w:t>
      </w:r>
    </w:p>
    <w:p>
      <w:pPr>
        <w:spacing w:after="120" w:line="269" w:lineRule="auto"/>
      </w:pPr>
      <w:r>
        <w:rPr>
          <w:rFonts w:ascii="Arial" w:hAnsi="Arial"/>
          <w:b w:val="0"/>
          <w:color w:val="000000"/>
          <w:sz w:val="22"/>
        </w:rPr>
        <w:t>El juego es un FPS con estilo Counter Strike 1.6. El personaje debe aparecer preparado para combatir y no existe una animación prevista para mostrarlo con las manos vacías. Se necesita definir qué ocurre cuando comienza la partida o cuando la selección de arma inicial no es válida.</w:t>
      </w:r>
    </w:p>
    <w:p>
      <w:pPr>
        <w:pStyle w:val="Heading2"/>
        <w:keepNext/>
      </w:pPr>
      <w:r>
        <w:t>Opciones evaluadas</w:t>
      </w:r>
    </w:p>
    <w:p>
      <w:pPr>
        <w:pStyle w:val="ListBullet"/>
        <w:spacing w:after="60" w:line="259" w:lineRule="auto"/>
      </w:pPr>
      <w:r>
        <w:rPr>
          <w:rFonts w:ascii="Arial" w:hAnsi="Arial"/>
          <w:b w:val="0"/>
          <w:color w:val="000000"/>
          <w:sz w:val="22"/>
        </w:rPr>
        <w:t>Aparecer sin arma y equiparla después de iniciar la partida.</w:t>
      </w:r>
    </w:p>
    <w:p>
      <w:pPr>
        <w:pStyle w:val="ListBullet"/>
        <w:spacing w:after="60" w:line="259" w:lineRule="auto"/>
      </w:pPr>
      <w:r>
        <w:rPr>
          <w:rFonts w:ascii="Arial" w:hAnsi="Arial"/>
          <w:b w:val="0"/>
          <w:color w:val="000000"/>
          <w:sz w:val="22"/>
        </w:rPr>
        <w:t>Aparecer con el arma inicial seleccionada y quedar sin arma si la selección falla.</w:t>
      </w:r>
    </w:p>
    <w:p>
      <w:pPr>
        <w:pStyle w:val="ListBullet"/>
        <w:spacing w:after="60" w:line="259" w:lineRule="auto"/>
      </w:pPr>
      <w:r>
        <w:rPr>
          <w:rFonts w:ascii="Arial" w:hAnsi="Arial"/>
          <w:b w:val="0"/>
          <w:color w:val="000000"/>
          <w:sz w:val="22"/>
        </w:rPr>
        <w:t>Aparecer con el arma inicial seleccionada y usar el cuchillo como respaldo si la selección falla.</w:t>
      </w:r>
    </w:p>
    <w:p>
      <w:pPr>
        <w:pStyle w:val="Heading2"/>
        <w:keepNext/>
      </w:pPr>
      <w:r>
        <w:t>Decisión</w:t>
      </w:r>
    </w:p>
    <w:p>
      <w:pPr>
        <w:spacing w:after="120" w:line="269" w:lineRule="auto"/>
      </w:pPr>
      <w:r>
        <w:rPr>
          <w:rFonts w:ascii="Arial" w:hAnsi="Arial"/>
          <w:b/>
          <w:color w:val="000000"/>
          <w:sz w:val="22"/>
        </w:rPr>
        <w:t>El personaje nunca queda con las manos vacías. Al aparecer, se equipa el arma inicial definida por el sistema de equipamiento. Si esa selección no está disponible, se usa el cuchillo como respaldo.</w:t>
      </w:r>
    </w:p>
    <w:p>
      <w:pPr>
        <w:pStyle w:val="Heading2"/>
        <w:keepNext/>
      </w:pPr>
      <w:r>
        <w:t>Justificación</w:t>
      </w:r>
    </w:p>
    <w:p>
      <w:pPr>
        <w:spacing w:after="120" w:line="269" w:lineRule="auto"/>
      </w:pPr>
      <w:r>
        <w:rPr>
          <w:rFonts w:ascii="Arial" w:hAnsi="Arial"/>
          <w:b w:val="0"/>
          <w:color w:val="000000"/>
          <w:sz w:val="22"/>
        </w:rPr>
        <w:t>La decisión mantiene la presentación esperada de un FPS de este estilo y evita agregar un estado visual sin arma que el juego no necesita. El cuchillo ofrece un resultado definido cuando la selección inicial falla.</w:t>
      </w:r>
    </w:p>
    <w:p>
      <w:pPr>
        <w:pStyle w:val="Heading2"/>
        <w:keepNext/>
      </w:pPr>
      <w:r>
        <w:t>Consecuencias</w:t>
      </w:r>
    </w:p>
    <w:p>
      <w:pPr>
        <w:pStyle w:val="ListBullet"/>
        <w:spacing w:after="60" w:line="259" w:lineRule="auto"/>
      </w:pPr>
      <w:r>
        <w:rPr>
          <w:rFonts w:ascii="Arial" w:hAnsi="Arial"/>
          <w:b w:val="0"/>
          <w:color w:val="000000"/>
          <w:sz w:val="22"/>
        </w:rPr>
        <w:t>El sistema de equipamiento debe seleccionar el arma activa antes de mostrar al personaje.</w:t>
      </w:r>
    </w:p>
    <w:p>
      <w:pPr>
        <w:pStyle w:val="ListBullet"/>
        <w:spacing w:after="60" w:line="259" w:lineRule="auto"/>
      </w:pPr>
      <w:r>
        <w:rPr>
          <w:rFonts w:ascii="Arial" w:hAnsi="Arial"/>
          <w:b w:val="0"/>
          <w:color w:val="000000"/>
          <w:sz w:val="22"/>
        </w:rPr>
        <w:t>El cuchillo debe estar siempre disponible como respaldo.</w:t>
      </w:r>
    </w:p>
    <w:p>
      <w:pPr>
        <w:pStyle w:val="ListBullet"/>
        <w:spacing w:after="60" w:line="259" w:lineRule="auto"/>
      </w:pPr>
      <w:r>
        <w:rPr>
          <w:rFonts w:ascii="Arial" w:hAnsi="Arial"/>
          <w:b w:val="0"/>
          <w:color w:val="000000"/>
          <w:sz w:val="22"/>
        </w:rPr>
        <w:t>El Animator no necesita un estado Unarmed.</w:t>
      </w:r>
    </w:p>
    <w:p>
      <w:pPr>
        <w:pStyle w:val="ListBullet"/>
        <w:spacing w:after="60" w:line="259" w:lineRule="auto"/>
      </w:pPr>
      <w:r>
        <w:rPr>
          <w:rFonts w:ascii="Arial" w:hAnsi="Arial"/>
          <w:b w:val="0"/>
          <w:color w:val="000000"/>
          <w:sz w:val="22"/>
        </w:rPr>
        <w:t>Las pruebas deben cubrir una selección válida y el uso del cuchillo cuando la selección falla.</w:t>
      </w:r>
    </w:p>
    <w:p>
      <w:pPr>
        <w:pStyle w:val="Heading1"/>
        <w:keepNext/>
      </w:pPr>
      <w:r>
        <w:t>ADR 2 Arquitectura de animaciones</w:t>
      </w:r>
    </w:p>
    <w:p>
      <w:pPr>
        <w:pStyle w:val="Heading2"/>
        <w:keepNext/>
      </w:pPr>
      <w:r>
        <w:t>Contexto y problema</w:t>
      </w:r>
    </w:p>
    <w:p>
      <w:pPr>
        <w:spacing w:after="120" w:line="269" w:lineRule="auto"/>
      </w:pPr>
      <w:r>
        <w:rPr>
          <w:rFonts w:ascii="Arial" w:hAnsi="Arial"/>
          <w:b w:val="0"/>
          <w:color w:val="000000"/>
          <w:sz w:val="22"/>
        </w:rPr>
        <w:t>El personaje siempre sostiene una pistola, un rifle o un cuchillo. Debemos decidir si cada combinación de movimiento y arma tendrá una animación completa o si la locomoción se compartirá entre todas las armas. La solución debe permitir agregar armas sin multiplicar los clips de caminar, correr y saltar.</w:t>
      </w:r>
    </w:p>
    <w:p>
      <w:pPr>
        <w:pStyle w:val="Heading2"/>
        <w:keepNext/>
      </w:pPr>
      <w:r>
        <w:t>Opciones evaluadas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800"/>
            <w:tcMar>
              <w:top w:w="120" w:type="dxa"/>
              <w:start w:w="120" w:type="dxa"/>
              <w:bottom w:w="120" w:type="dxa"/>
              <w:end w:w="120" w:type="dxa"/>
            </w:tcMar>
            <w:vAlign w:val="center"/>
            <w:shd w:fill="243B53"/>
          </w:tcPr>
          <w:p>
            <w:pPr>
              <w:keepNext/>
              <w:spacing w:after="0" w:line="252" w:lineRule="auto"/>
            </w:pPr>
            <w:r>
              <w:rPr>
                <w:rFonts w:ascii="Arial" w:hAnsi="Arial"/>
                <w:b/>
                <w:color w:val="FFFFFF"/>
                <w:sz w:val="19"/>
              </w:rPr>
              <w:t>Aspecto</w:t>
            </w:r>
          </w:p>
        </w:tc>
        <w:tc>
          <w:tcPr>
            <w:tcW w:type="dxa" w:w="3960"/>
            <w:tcMar>
              <w:top w:w="120" w:type="dxa"/>
              <w:start w:w="120" w:type="dxa"/>
              <w:bottom w:w="120" w:type="dxa"/>
              <w:end w:w="120" w:type="dxa"/>
            </w:tcMar>
            <w:vAlign w:val="center"/>
            <w:shd w:fill="243B53"/>
          </w:tcPr>
          <w:p>
            <w:pPr>
              <w:keepNext/>
              <w:spacing w:after="0" w:line="252" w:lineRule="auto"/>
            </w:pPr>
            <w:r>
              <w:rPr>
                <w:rFonts w:ascii="Arial" w:hAnsi="Arial"/>
                <w:b/>
                <w:color w:val="FFFFFF"/>
                <w:sz w:val="19"/>
              </w:rPr>
              <w:t>Método retro</w:t>
            </w:r>
          </w:p>
        </w:tc>
        <w:tc>
          <w:tcPr>
            <w:tcW w:type="dxa" w:w="4031"/>
            <w:tcMar>
              <w:top w:w="120" w:type="dxa"/>
              <w:start w:w="120" w:type="dxa"/>
              <w:bottom w:w="120" w:type="dxa"/>
              <w:end w:w="120" w:type="dxa"/>
            </w:tcMar>
            <w:vAlign w:val="center"/>
            <w:shd w:fill="243B53"/>
          </w:tcPr>
          <w:p>
            <w:pPr>
              <w:keepNext/>
              <w:spacing w:after="0" w:line="252" w:lineRule="auto"/>
            </w:pPr>
            <w:r>
              <w:rPr>
                <w:rFonts w:ascii="Arial" w:hAnsi="Arial"/>
                <w:b/>
                <w:color w:val="FFFFFF"/>
                <w:sz w:val="19"/>
              </w:rPr>
              <w:t>Método moderno</w:t>
            </w:r>
          </w:p>
        </w:tc>
      </w:tr>
      <w:tr>
        <w:tc>
          <w:tcPr>
            <w:tcW w:type="dxa" w:w="1800"/>
            <w:tcMar>
              <w:top w:w="120" w:type="dxa"/>
              <w:start w:w="120" w:type="dxa"/>
              <w:bottom w:w="120" w:type="dxa"/>
              <w:end w:w="120" w:type="dxa"/>
            </w:tcMar>
            <w:vAlign w:val="center"/>
            <w:shd w:fill="FFFFFF"/>
          </w:tcPr>
          <w:p>
            <w:pPr>
              <w:spacing w:after="0" w:line="252" w:lineRule="auto"/>
            </w:pPr>
            <w:r>
              <w:rPr>
                <w:rFonts w:ascii="Arial" w:hAnsi="Arial"/>
                <w:b w:val="0"/>
                <w:color w:val="000000"/>
                <w:sz w:val="19"/>
              </w:rPr>
              <w:t>Estructura</w:t>
            </w:r>
          </w:p>
        </w:tc>
        <w:tc>
          <w:tcPr>
            <w:tcW w:type="dxa" w:w="3960"/>
            <w:tcMar>
              <w:top w:w="120" w:type="dxa"/>
              <w:start w:w="120" w:type="dxa"/>
              <w:bottom w:w="120" w:type="dxa"/>
              <w:end w:w="120" w:type="dxa"/>
            </w:tcMar>
            <w:vAlign w:val="center"/>
            <w:shd w:fill="FFFFFF"/>
          </w:tcPr>
          <w:p>
            <w:pPr>
              <w:spacing w:after="0" w:line="252" w:lineRule="auto"/>
            </w:pPr>
            <w:r>
              <w:rPr>
                <w:rFonts w:ascii="Arial" w:hAnsi="Arial"/>
                <w:b w:val="0"/>
                <w:color w:val="000000"/>
                <w:sz w:val="19"/>
              </w:rPr>
              <w:t>Un clip completo por movimiento y por arma</w:t>
            </w:r>
          </w:p>
        </w:tc>
        <w:tc>
          <w:tcPr>
            <w:tcW w:type="dxa" w:w="4031"/>
            <w:tcMar>
              <w:top w:w="120" w:type="dxa"/>
              <w:start w:w="120" w:type="dxa"/>
              <w:bottom w:w="120" w:type="dxa"/>
              <w:end w:w="120" w:type="dxa"/>
            </w:tcMar>
            <w:vAlign w:val="center"/>
            <w:shd w:fill="FFFFFF"/>
          </w:tcPr>
          <w:p>
            <w:pPr>
              <w:spacing w:after="0" w:line="252" w:lineRule="auto"/>
            </w:pPr>
            <w:r>
              <w:rPr>
                <w:rFonts w:ascii="Arial" w:hAnsi="Arial"/>
                <w:b w:val="0"/>
                <w:color w:val="000000"/>
                <w:sz w:val="19"/>
              </w:rPr>
              <w:t>Locomoción base más una capa superior por arma</w:t>
            </w:r>
          </w:p>
        </w:tc>
      </w:tr>
      <w:tr>
        <w:tc>
          <w:tcPr>
            <w:tcW w:type="dxa" w:w="1800"/>
            <w:tcMar>
              <w:top w:w="120" w:type="dxa"/>
              <w:start w:w="120" w:type="dxa"/>
              <w:bottom w:w="120" w:type="dxa"/>
              <w:end w:w="120" w:type="dxa"/>
            </w:tcMar>
            <w:vAlign w:val="center"/>
            <w:shd w:fill="F2F6FA"/>
          </w:tcPr>
          <w:p>
            <w:pPr>
              <w:spacing w:after="0" w:line="252" w:lineRule="auto"/>
            </w:pPr>
            <w:r>
              <w:rPr>
                <w:rFonts w:ascii="Arial" w:hAnsi="Arial"/>
                <w:b w:val="0"/>
                <w:color w:val="000000"/>
                <w:sz w:val="19"/>
              </w:rPr>
              <w:t>Ejemplo</w:t>
            </w:r>
          </w:p>
        </w:tc>
        <w:tc>
          <w:tcPr>
            <w:tcW w:type="dxa" w:w="3960"/>
            <w:tcMar>
              <w:top w:w="120" w:type="dxa"/>
              <w:start w:w="120" w:type="dxa"/>
              <w:bottom w:w="120" w:type="dxa"/>
              <w:end w:w="120" w:type="dxa"/>
            </w:tcMar>
            <w:vAlign w:val="center"/>
            <w:shd w:fill="F2F6FA"/>
          </w:tcPr>
          <w:p>
            <w:pPr>
              <w:spacing w:after="0" w:line="252" w:lineRule="auto"/>
            </w:pPr>
            <w:r>
              <w:rPr>
                <w:rFonts w:ascii="Arial" w:hAnsi="Arial"/>
                <w:b w:val="0"/>
                <w:color w:val="000000"/>
                <w:sz w:val="19"/>
              </w:rPr>
              <w:t>Walk Pistol, Walk Rifle y Walk Knife</w:t>
            </w:r>
          </w:p>
        </w:tc>
        <w:tc>
          <w:tcPr>
            <w:tcW w:type="dxa" w:w="4031"/>
            <w:tcMar>
              <w:top w:w="120" w:type="dxa"/>
              <w:start w:w="120" w:type="dxa"/>
              <w:bottom w:w="120" w:type="dxa"/>
              <w:end w:w="120" w:type="dxa"/>
            </w:tcMar>
            <w:vAlign w:val="center"/>
            <w:shd w:fill="F2F6FA"/>
          </w:tcPr>
          <w:p>
            <w:pPr>
              <w:spacing w:after="0" w:line="252" w:lineRule="auto"/>
            </w:pPr>
            <w:r>
              <w:rPr>
                <w:rFonts w:ascii="Arial" w:hAnsi="Arial"/>
                <w:b w:val="0"/>
                <w:color w:val="000000"/>
                <w:sz w:val="19"/>
              </w:rPr>
              <w:t>Un solo Walk con posturas Pistol, Rifle y Knife</w:t>
            </w:r>
          </w:p>
        </w:tc>
      </w:tr>
      <w:tr>
        <w:tc>
          <w:tcPr>
            <w:tcW w:type="dxa" w:w="1800"/>
            <w:tcMar>
              <w:top w:w="120" w:type="dxa"/>
              <w:start w:w="120" w:type="dxa"/>
              <w:bottom w:w="120" w:type="dxa"/>
              <w:end w:w="120" w:type="dxa"/>
            </w:tcMar>
            <w:vAlign w:val="center"/>
            <w:shd w:fill="FFFFFF"/>
          </w:tcPr>
          <w:p>
            <w:pPr>
              <w:spacing w:after="0" w:line="252" w:lineRule="auto"/>
            </w:pPr>
            <w:r>
              <w:rPr>
                <w:rFonts w:ascii="Arial" w:hAnsi="Arial"/>
                <w:b w:val="0"/>
                <w:color w:val="000000"/>
                <w:sz w:val="19"/>
              </w:rPr>
              <w:t>Ventaja</w:t>
            </w:r>
          </w:p>
        </w:tc>
        <w:tc>
          <w:tcPr>
            <w:tcW w:type="dxa" w:w="3960"/>
            <w:tcMar>
              <w:top w:w="120" w:type="dxa"/>
              <w:start w:w="120" w:type="dxa"/>
              <w:bottom w:w="120" w:type="dxa"/>
              <w:end w:w="120" w:type="dxa"/>
            </w:tcMar>
            <w:vAlign w:val="center"/>
            <w:shd w:fill="FFFFFF"/>
          </w:tcPr>
          <w:p>
            <w:pPr>
              <w:spacing w:after="0" w:line="252" w:lineRule="auto"/>
            </w:pPr>
            <w:r>
              <w:rPr>
                <w:rFonts w:ascii="Arial" w:hAnsi="Arial"/>
                <w:b w:val="0"/>
                <w:color w:val="000000"/>
                <w:sz w:val="19"/>
              </w:rPr>
              <w:t>Control total de la pose de cada combinación</w:t>
            </w:r>
          </w:p>
        </w:tc>
        <w:tc>
          <w:tcPr>
            <w:tcW w:type="dxa" w:w="4031"/>
            <w:tcMar>
              <w:top w:w="120" w:type="dxa"/>
              <w:start w:w="120" w:type="dxa"/>
              <w:bottom w:w="120" w:type="dxa"/>
              <w:end w:w="120" w:type="dxa"/>
            </w:tcMar>
            <w:vAlign w:val="center"/>
            <w:shd w:fill="FFFFFF"/>
          </w:tcPr>
          <w:p>
            <w:pPr>
              <w:spacing w:after="0" w:line="252" w:lineRule="auto"/>
            </w:pPr>
            <w:r>
              <w:rPr>
                <w:rFonts w:ascii="Arial" w:hAnsi="Arial"/>
                <w:b w:val="0"/>
                <w:color w:val="000000"/>
                <w:sz w:val="19"/>
              </w:rPr>
              <w:t>Reutiliza animaciones y facilita agregar armas</w:t>
            </w:r>
          </w:p>
        </w:tc>
      </w:tr>
      <w:tr>
        <w:tc>
          <w:tcPr>
            <w:tcW w:type="dxa" w:w="1800"/>
            <w:tcMar>
              <w:top w:w="120" w:type="dxa"/>
              <w:start w:w="120" w:type="dxa"/>
              <w:bottom w:w="120" w:type="dxa"/>
              <w:end w:w="120" w:type="dxa"/>
            </w:tcMar>
            <w:vAlign w:val="center"/>
            <w:shd w:fill="F2F6FA"/>
          </w:tcPr>
          <w:p>
            <w:pPr>
              <w:spacing w:after="0" w:line="252" w:lineRule="auto"/>
            </w:pPr>
            <w:r>
              <w:rPr>
                <w:rFonts w:ascii="Arial" w:hAnsi="Arial"/>
                <w:b w:val="0"/>
                <w:color w:val="000000"/>
                <w:sz w:val="19"/>
              </w:rPr>
              <w:t>Costo</w:t>
            </w:r>
          </w:p>
        </w:tc>
        <w:tc>
          <w:tcPr>
            <w:tcW w:type="dxa" w:w="3960"/>
            <w:tcMar>
              <w:top w:w="120" w:type="dxa"/>
              <w:start w:w="120" w:type="dxa"/>
              <w:bottom w:w="120" w:type="dxa"/>
              <w:end w:w="120" w:type="dxa"/>
            </w:tcMar>
            <w:vAlign w:val="center"/>
            <w:shd w:fill="F2F6FA"/>
          </w:tcPr>
          <w:p>
            <w:pPr>
              <w:spacing w:after="0" w:line="252" w:lineRule="auto"/>
            </w:pPr>
            <w:r>
              <w:rPr>
                <w:rFonts w:ascii="Arial" w:hAnsi="Arial"/>
                <w:b w:val="0"/>
                <w:color w:val="000000"/>
                <w:sz w:val="19"/>
              </w:rPr>
              <w:t>La cantidad de clips crece rápidamente</w:t>
            </w:r>
          </w:p>
        </w:tc>
        <w:tc>
          <w:tcPr>
            <w:tcW w:type="dxa" w:w="4031"/>
            <w:tcMar>
              <w:top w:w="120" w:type="dxa"/>
              <w:start w:w="120" w:type="dxa"/>
              <w:bottom w:w="120" w:type="dxa"/>
              <w:end w:w="120" w:type="dxa"/>
            </w:tcMar>
            <w:vAlign w:val="center"/>
            <w:shd w:fill="F2F6FA"/>
          </w:tcPr>
          <w:p>
            <w:pPr>
              <w:spacing w:after="0" w:line="252" w:lineRule="auto"/>
            </w:pPr>
            <w:r>
              <w:rPr>
                <w:rFonts w:ascii="Arial" w:hAnsi="Arial"/>
                <w:b w:val="0"/>
                <w:color w:val="000000"/>
                <w:sz w:val="19"/>
              </w:rPr>
              <w:t>Requiere configurar capas y un Avatar Mask</w:t>
            </w:r>
          </w:p>
        </w:tc>
      </w:tr>
      <w:tr>
        <w:tc>
          <w:tcPr>
            <w:tcW w:type="dxa" w:w="1800"/>
            <w:tcMar>
              <w:top w:w="120" w:type="dxa"/>
              <w:start w:w="120" w:type="dxa"/>
              <w:bottom w:w="120" w:type="dxa"/>
              <w:end w:w="120" w:type="dxa"/>
            </w:tcMar>
            <w:vAlign w:val="center"/>
            <w:shd w:fill="FFFFFF"/>
          </w:tcPr>
          <w:p>
            <w:pPr>
              <w:spacing w:after="0" w:line="252" w:lineRule="auto"/>
            </w:pPr>
            <w:r>
              <w:rPr>
                <w:rFonts w:ascii="Arial" w:hAnsi="Arial"/>
                <w:b w:val="0"/>
                <w:color w:val="000000"/>
                <w:sz w:val="19"/>
              </w:rPr>
              <w:t>Mantenimiento</w:t>
            </w:r>
          </w:p>
        </w:tc>
        <w:tc>
          <w:tcPr>
            <w:tcW w:type="dxa" w:w="3960"/>
            <w:tcMar>
              <w:top w:w="120" w:type="dxa"/>
              <w:start w:w="120" w:type="dxa"/>
              <w:bottom w:w="120" w:type="dxa"/>
              <w:end w:w="120" w:type="dxa"/>
            </w:tcMar>
            <w:vAlign w:val="center"/>
            <w:shd w:fill="FFFFFF"/>
          </w:tcPr>
          <w:p>
            <w:pPr>
              <w:spacing w:after="0" w:line="252" w:lineRule="auto"/>
            </w:pPr>
            <w:r>
              <w:rPr>
                <w:rFonts w:ascii="Arial" w:hAnsi="Arial"/>
                <w:b w:val="0"/>
                <w:color w:val="000000"/>
                <w:sz w:val="19"/>
              </w:rPr>
              <w:t>Más archivos y ajustes repetidos</w:t>
            </w:r>
          </w:p>
        </w:tc>
        <w:tc>
          <w:tcPr>
            <w:tcW w:type="dxa" w:w="4031"/>
            <w:tcMar>
              <w:top w:w="120" w:type="dxa"/>
              <w:start w:w="120" w:type="dxa"/>
              <w:bottom w:w="120" w:type="dxa"/>
              <w:end w:w="120" w:type="dxa"/>
            </w:tcMar>
            <w:vAlign w:val="center"/>
            <w:shd w:fill="FFFFFF"/>
          </w:tcPr>
          <w:p>
            <w:pPr>
              <w:spacing w:after="0" w:line="252" w:lineRule="auto"/>
            </w:pPr>
            <w:r>
              <w:rPr>
                <w:rFonts w:ascii="Arial" w:hAnsi="Arial"/>
                <w:b w:val="0"/>
                <w:color w:val="000000"/>
                <w:sz w:val="19"/>
              </w:rPr>
              <w:t>Responsabilidades separadas y menos duplicación</w:t>
            </w:r>
          </w:p>
        </w:tc>
      </w:tr>
    </w:tbl>
    <w:p>
      <w:pPr>
        <w:pStyle w:val="Heading2"/>
        <w:keepNext/>
      </w:pPr>
      <w:r>
        <w:t>Decisión</w:t>
      </w:r>
    </w:p>
    <w:p>
      <w:pPr>
        <w:spacing w:after="120" w:line="269" w:lineRule="auto"/>
      </w:pPr>
      <w:r>
        <w:t>Pendiente. El equipo debe decidir si conserva para el MVP el método retro de animaciones de cuerpo completo, que ya funciona con Pistol Idle, Pistol Walk y Pistol Run, o si migra ahora al enfoque moderno con Animation Layers y Avatar Masks. El enfoque moderno reduce la duplicación al sumar armas, pero requiere configuración, integración y pruebas adicionales. Debido al tiempo disponible y al resto de tareas del proyecto, todavía no se confirmó si conviene asumir ese trabajo en esta etapa.</w:t>
      </w:r>
    </w:p>
    <w:p>
      <w:pPr>
        <w:pStyle w:val="Heading2"/>
        <w:keepNext/>
      </w:pPr>
      <w:r>
        <w:t>Justificación</w:t>
      </w:r>
    </w:p>
    <w:p>
      <w:pPr>
        <w:spacing w:after="120" w:line="269" w:lineRule="auto"/>
      </w:pPr>
      <w:r>
        <w:t>La decisión permanece abierta porque ambas opciones responden a necesidades distintas. El método retro reduce el riesgo inmediato y permite avanzar con el sistema de armas usando las animaciones ya integradas. El método moderno mejora la reutilización y el mantenimiento cuando existen varias armas y acciones combinadas, pero agrega complejidad y puede afectar el cronograma. La elección se resolverá según el alcance mínimo de armas y el tiempo real disponible.</w:t>
      </w:r>
    </w:p>
    <w:p>
      <w:pPr>
        <w:pStyle w:val="Heading2"/>
        <w:keepNext/>
      </w:pPr>
      <w:r>
        <w:t>Consecuencias</w:t>
      </w:r>
    </w:p>
    <w:p>
      <w:pPr>
        <w:pStyle w:val="ListBullet"/>
        <w:spacing w:after="60" w:line="259" w:lineRule="auto"/>
      </w:pPr>
      <w:r>
        <w:t>La implementación actual de cuerpo completo para pistola se mantiene como base funcional mientras el ADR esté pendiente.</w:t>
      </w:r>
    </w:p>
    <w:p>
      <w:pPr>
        <w:pStyle w:val="ListBullet"/>
        <w:spacing w:after="60" w:line="259" w:lineRule="auto"/>
      </w:pPr>
      <w:r>
        <w:t>El desarrollo de la lógica del arma y del sistema de salud puede continuar sin depender de esta decisión.</w:t>
      </w:r>
    </w:p>
    <w:p>
      <w:pPr>
        <w:pStyle w:val="ListBullet"/>
        <w:spacing w:after="60" w:line="259" w:lineRule="auto"/>
      </w:pPr>
      <w:r>
        <w:t>Si se mantiene el método retro para el MVP, cada arma que necesite una pose distinta requerirá sus propios clips de Idle, Walk y Run.</w:t>
      </w:r>
    </w:p>
    <w:p>
      <w:pPr>
        <w:pStyle w:val="ListBullet"/>
        <w:spacing w:after="60" w:line="259" w:lineRule="auto"/>
      </w:pPr>
      <w:r>
        <w:t>Si se adopta el método moderno, será necesario crear una capa de locomoción, una capa superior para armas, un Avatar Mask y pruebas de todas las transiciones.</w:t>
      </w:r>
    </w:p>
    <w:p>
      <w:pPr>
        <w:pStyle w:val="ListBullet"/>
        <w:spacing w:after="60" w:line="259" w:lineRule="auto"/>
      </w:pPr>
      <w:r>
        <w:t>La decisión deberá revisarse antes de integrar una segunda familia completa de animaciones para rifle o cuchillo.</w:t>
      </w:r>
    </w:p>
    <w:p>
      <w:pPr>
        <w:spacing w:after="120" w:line="269" w:lineRule="auto"/>
      </w:pPr>
      <w:r>
        <w:t>Si se elige el enfoque moderno, su implementación mantiene como referencia una estimación de 25 horas u 8 Story Points. El cálculo PERT usa 18 horas como estimación optimista, 24 horas como probable y 36 horas como pesimista: (18 + 4 x 24 + 36) / 6 = 25 horas. Esta estimación sirve para evaluar la decisión y no implica que el enfoque moderno haya sido aprobado.</w:t>
      </w:r>
    </w:p>
    <w:p>
      <w:pPr>
        <w:pStyle w:val="Heading1"/>
        <w:keepNext/>
      </w:pPr>
      <w:r>
        <w:t>ADR 3 Elección del personaje</w:t>
      </w:r>
    </w:p>
    <w:p>
      <w:pPr>
        <w:pStyle w:val="Heading2"/>
        <w:keepNext/>
      </w:pPr>
      <w:r>
        <w:t>Contexto y problema</w:t>
      </w:r>
    </w:p>
    <w:p>
      <w:pPr>
        <w:spacing w:after="120" w:line="269" w:lineRule="auto"/>
      </w:pPr>
      <w:r>
        <w:rPr>
          <w:rFonts w:ascii="Arial" w:hAnsi="Arial"/>
          <w:b w:val="0"/>
          <w:color w:val="000000"/>
          <w:sz w:val="22"/>
        </w:rPr>
        <w:t>El equipo debe definir si todos los jugadores usarán el mismo personaje o si habrá una segunda opción visual. La revisión de los assets confirma que Apocalyptic character es el único modelo humanoide con malla y esqueleto. Jugador usa ese modelo. Los prefabs con casco, capucha y máscara de gas son variantes del mismo personaje, no personajes diferentes. Los archivos X Bot y Human Animations contienen animaciones sin cuerpo visible. Player es una cápsula de prueba sin esqueleto ni Animator. Por lo tanto, el proyecto no incluye actualmente un segundo personaje humanoide listo para usar.</w:t>
      </w:r>
    </w:p>
    <w:p>
      <w:pPr>
        <w:pStyle w:val="Heading2"/>
        <w:keepNext/>
      </w:pPr>
      <w:r>
        <w:t>Opciones evaluadas</w:t>
      </w:r>
    </w:p>
    <w:p>
      <w:pPr>
        <w:pStyle w:val="ListBullet"/>
        <w:spacing w:after="60" w:line="259" w:lineRule="auto"/>
      </w:pPr>
      <w:r>
        <w:rPr>
          <w:rFonts w:ascii="Arial" w:hAnsi="Arial"/>
          <w:b w:val="0"/>
          <w:color w:val="000000"/>
          <w:sz w:val="22"/>
        </w:rPr>
        <w:t>Mantener un único personaje: todos los jugadores usan Apocalyptic character.</w:t>
      </w:r>
    </w:p>
    <w:p>
      <w:pPr>
        <w:pStyle w:val="ListBullet"/>
        <w:spacing w:after="60" w:line="259" w:lineRule="auto"/>
      </w:pPr>
      <w:r>
        <w:rPr>
          <w:rFonts w:ascii="Arial" w:hAnsi="Arial"/>
          <w:b w:val="0"/>
          <w:color w:val="000000"/>
          <w:sz w:val="22"/>
        </w:rPr>
        <w:t>Usar las variantes incluidas del mismo modelo: casco, capucha o máscara de gas permiten diferencias visuales, pero conservan el mismo cuerpo y esqueleto.</w:t>
      </w:r>
    </w:p>
    <w:p>
      <w:pPr>
        <w:pStyle w:val="ListBullet"/>
        <w:spacing w:after="60" w:line="259" w:lineRule="auto"/>
      </w:pPr>
      <w:r>
        <w:rPr>
          <w:rFonts w:ascii="Arial" w:hAnsi="Arial"/>
          <w:b w:val="0"/>
          <w:color w:val="000000"/>
          <w:sz w:val="22"/>
        </w:rPr>
        <w:t>Importar un segundo personaje humanoide: agrega una opción realmente distinta, pero exige revisar la licencia del asset e integrar su rig, materiales, animaciones, armas y prefab de red.</w:t>
      </w:r>
    </w:p>
    <w:p>
      <w:pPr>
        <w:pStyle w:val="ListBullet"/>
        <w:spacing w:after="60" w:line="259" w:lineRule="auto"/>
      </w:pPr>
      <w:r>
        <w:rPr>
          <w:rFonts w:ascii="Arial" w:hAnsi="Arial"/>
          <w:b w:val="0"/>
          <w:color w:val="000000"/>
          <w:sz w:val="22"/>
        </w:rPr>
        <w:t>Usar X Bot o Human Animations como segundo personaje: no es viable con los archivos actuales porque esos FBX contienen animaciones y esqueleto, pero no una malla visible.</w:t>
      </w:r>
    </w:p>
    <w:p>
      <w:pPr>
        <w:pStyle w:val="Heading2"/>
        <w:keepNext/>
      </w:pPr>
      <w:r>
        <w:t>Decisión</w:t>
      </w:r>
    </w:p>
    <w:p>
      <w:pPr>
        <w:spacing w:after="120" w:line="269" w:lineRule="auto"/>
      </w:pPr>
      <w:r>
        <w:rPr>
          <w:rFonts w:ascii="Arial" w:hAnsi="Arial"/>
          <w:b/>
          <w:color w:val="000000"/>
          <w:sz w:val="22"/>
        </w:rPr>
        <w:t>Pendiente. El equipo todavía no eligió si mantendrá un solo personaje, usará variantes del modelo actual o importará un segundo personaje.</w:t>
      </w:r>
    </w:p>
    <w:p>
      <w:pPr>
        <w:pStyle w:val="Heading2"/>
        <w:keepNext/>
      </w:pPr>
      <w:r>
        <w:t>Justificación</w:t>
      </w:r>
    </w:p>
    <w:p>
      <w:pPr>
        <w:spacing w:after="120" w:line="269" w:lineRule="auto"/>
      </w:pPr>
      <w:r>
        <w:rPr>
          <w:rFonts w:ascii="Arial" w:hAnsi="Arial"/>
          <w:b w:val="0"/>
          <w:color w:val="000000"/>
          <w:sz w:val="22"/>
        </w:rPr>
        <w:t>La decisión queda abierta porque primero se debe definir si las variantes de vestimenta son suficientes o si el juego necesita un personaje con una identidad visual diferente.</w:t>
      </w:r>
    </w:p>
    <w:p>
      <w:pPr>
        <w:pStyle w:val="Heading2"/>
        <w:keepNext/>
      </w:pPr>
      <w:r>
        <w:t>Consecuencias</w:t>
      </w:r>
    </w:p>
    <w:p>
      <w:pPr>
        <w:pStyle w:val="ListBullet"/>
        <w:spacing w:after="60" w:line="259" w:lineRule="auto"/>
      </w:pPr>
      <w:r>
        <w:rPr>
          <w:rFonts w:ascii="Arial" w:hAnsi="Arial"/>
          <w:b w:val="0"/>
          <w:color w:val="000000"/>
          <w:sz w:val="22"/>
        </w:rPr>
        <w:t>Hasta resolver este ADR, todos los jugadores pueden seguir usando el personaje actual sin que esto se considere la decisión final.</w:t>
      </w:r>
    </w:p>
    <w:p>
      <w:pPr>
        <w:pStyle w:val="ListBullet"/>
        <w:spacing w:after="60" w:line="259" w:lineRule="auto"/>
      </w:pPr>
      <w:r>
        <w:rPr>
          <w:rFonts w:ascii="Arial" w:hAnsi="Arial"/>
          <w:b w:val="0"/>
          <w:color w:val="000000"/>
          <w:sz w:val="22"/>
        </w:rPr>
        <w:t>Usar variantes del modelo actual reduce el trabajo técnico, pero no incorpora un personaje nuevo.</w:t>
      </w:r>
    </w:p>
    <w:p>
      <w:pPr>
        <w:pStyle w:val="ListBullet"/>
        <w:spacing w:after="60" w:line="259" w:lineRule="auto"/>
      </w:pPr>
      <w:r>
        <w:rPr>
          <w:rFonts w:ascii="Arial" w:hAnsi="Arial"/>
          <w:b w:val="0"/>
          <w:color w:val="000000"/>
          <w:sz w:val="22"/>
        </w:rPr>
        <w:t>Importar otro personaje requerirá comprobar que su rig Humanoid funciona con las animaciones, las capas, el Avatar Mask y los puntos donde se sujetan las armas.</w:t>
      </w:r>
    </w:p>
    <w:p>
      <w:pPr>
        <w:pStyle w:val="ListBullet"/>
        <w:spacing w:after="60" w:line="259" w:lineRule="auto"/>
      </w:pPr>
      <w:r>
        <w:rPr>
          <w:rFonts w:ascii="Arial" w:hAnsi="Arial"/>
          <w:b w:val="0"/>
          <w:color w:val="000000"/>
          <w:sz w:val="22"/>
        </w:rPr>
        <w:t>El segundo personaje también necesitará materiales, colisiones y configuración de red equivalentes a las del prefab Jugador.</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color w:val="5A5A5A"/>
        <w:sz w:val="16"/>
      </w:rPr>
      <w:t>Documento de Decisión Técnica Animaciones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Arial" w:hAnsi="Arial"/>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Decisión Técnica Animaciones</dc:title>
  <dc:subject>Equipamiento inicial, arquitectura de animaciones y elección del personaje</dc:subject>
  <dc:creator>Equipo COG</dc:creator>
  <cp:keywords>Unity, Animator, Animation Layers, Avatar Mask, personaje</cp:keywords>
  <dc:description>generated by python-docx</dc:description>
  <cp:lastModifiedBy/>
  <cp:revision>1</cp:revision>
  <dcterms:created xsi:type="dcterms:W3CDTF">2013-12-23T23:15:00Z</dcterms:created>
  <dcterms:modified xsi:type="dcterms:W3CDTF">2013-12-23T23:15:00Z</dcterms:modified>
  <cp:category/>
</cp:coreProperties>
</file>