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11827"/>
            <w:tcMar>
              <w:top w:w="240" w:type="dxa"/>
              <w:bottom w:w="240" w:type="dxa"/>
              <w:left w:w="240" w:type="dxa"/>
              <w:right w:w="240" w:type="dxa"/>
            </w:tcMar>
          </w:tcPr>
          <w:p>
            <w:pPr>
              <w:spacing w:after="40"/>
            </w:pPr>
            <w:r>
              <w:rPr>
                <w:rFonts w:ascii="Calibri" w:hAnsi="Calibri"/>
                <w:b/>
                <w:color w:val="EF4444"/>
                <w:sz w:val="20"/>
              </w:rPr>
              <w:t>DESIGN BEST PRINCIPLES &amp; VISUAL GUIDELINE</w:t>
            </w:r>
          </w:p>
          <w:p>
            <w:pPr>
              <w:spacing w:after="120"/>
            </w:pPr>
            <w:r>
              <w:rPr>
                <w:rFonts w:ascii="Calibri" w:hAnsi="Calibri"/>
                <w:b/>
                <w:color w:val="FFFFFF"/>
                <w:sz w:val="40"/>
              </w:rPr>
              <w:t>Color Theory for Designers: Practical Rules, Visual Hierarchy &amp; Production Workflows</w:t>
            </w:r>
          </w:p>
          <w:p>
            <w:pPr>
              <w:spacing w:after="0"/>
            </w:pPr>
            <w:r>
              <w:rPr>
                <w:rFonts w:ascii="Calibri" w:hAnsi="Calibri"/>
                <w:i/>
                <w:color w:val="D1D5DB"/>
                <w:sz w:val="21"/>
              </w:rPr>
              <w:t>Synthesized from Visual Frame Inspection &amp; Audio Analysis of 'Color Theory for Designers (Pro Tips You Must Know!)' by GraphiqVibe</w:t>
            </w:r>
          </w:p>
        </w:tc>
      </w:tr>
    </w:tbl>
    <w:p/>
    <w:p>
      <w:pPr>
        <w:spacing w:before="320" w:after="120"/>
        <w:pBdr>
          <w:bottom w:val="single" w:sz="8" w:space="4" w:color="C61818"/>
        </w:pBdr>
      </w:pPr>
      <w:r>
        <w:rPr>
          <w:rFonts w:ascii="Calibri" w:hAnsi="Calibri"/>
          <w:b/>
          <w:color w:val="C61818"/>
          <w:sz w:val="32"/>
        </w:rPr>
        <w:t>1. Executive Overview &amp; Video Presentation Analysis</w:t>
      </w:r>
    </w:p>
    <w:p>
      <w:r>
        <w:t>This guideline distills the actionable color theory rules, visual case studies, and digital production workflows demonstrated in GraphiqVibe's tutorial. Rather than treating color theory as abstract geometry, this framework focuses on how color establishes hierarchy, readability, emotional tone, and brand cohesion in real-world poster and UI layouts.</w:t>
      </w:r>
    </w:p>
    <w:p>
      <w:pPr>
        <w:spacing w:before="240" w:after="120"/>
      </w:pPr>
      <w:r>
        <w:rPr>
          <w:rFonts w:ascii="Calibri" w:hAnsi="Calibri"/>
          <w:b/>
          <w:color w:val="1F2937"/>
          <w:sz w:val="26"/>
        </w:rPr>
        <w:t>Visual &amp; Verbal Direction of the Video Itself</w:t>
      </w:r>
    </w:p>
    <w:p>
      <w:pPr>
        <w:pStyle w:val="ListBullet"/>
        <w:spacing w:after="80"/>
      </w:pPr>
      <w:r>
        <w:rPr>
          <w:b/>
          <w:color w:val="111827"/>
        </w:rPr>
        <w:t xml:space="preserve">Visual Identity &amp; Motion Graphics System: </w:t>
      </w:r>
      <w:r>
        <w:rPr>
          <w:color w:val="222222"/>
        </w:rPr>
        <w:t>The video practices what it preaches by using a strict 3-color presentation system throughout its animated segments: a vibrant red perspective-grid background (60%), clean white cards and condensed display typography (30%), and black structural accents (10%).</w:t>
      </w:r>
    </w:p>
    <w:p>
      <w:pPr>
        <w:pStyle w:val="ListBullet"/>
        <w:spacing w:after="80"/>
      </w:pPr>
      <w:r>
        <w:rPr>
          <w:b/>
          <w:color w:val="111827"/>
        </w:rPr>
        <w:t xml:space="preserve">Studio A-Roll Framing: </w:t>
      </w:r>
      <w:r>
        <w:rPr>
          <w:color w:val="222222"/>
        </w:rPr>
        <w:t>Talking-head segments feature warm key/back lighting against a dark room, a condenser microphone in the foreground, and a secondary monitor displaying red-and-black artwork that echoes the video's color palette.</w:t>
      </w:r>
    </w:p>
    <w:p>
      <w:pPr>
        <w:pStyle w:val="ListBullet"/>
        <w:spacing w:after="80"/>
      </w:pPr>
      <w:r>
        <w:rPr>
          <w:b/>
          <w:color w:val="111827"/>
        </w:rPr>
        <w:t xml:space="preserve">Pedagogical Flow: </w:t>
      </w:r>
      <w:r>
        <w:rPr>
          <w:color w:val="222222"/>
        </w:rPr>
        <w:t>The video opens with a 5-node visual mind map centered on 'COLOR THEORY' (00:16) and a showcase of six editorial posters (00:21), progresses through six core color principles using side-by-side 'before/after' critiques, and concludes with a live 6-minute Adobe Photoshop poster build (05:47–11:31).</w:t>
      </w:r>
    </w:p>
    <w:p>
      <w:pPr>
        <w:spacing w:before="320" w:after="120"/>
        <w:pBdr>
          <w:bottom w:val="single" w:sz="8" w:space="4" w:color="C61818"/>
        </w:pBdr>
      </w:pPr>
      <w:r>
        <w:rPr>
          <w:rFonts w:ascii="Calibri" w:hAnsi="Calibri"/>
          <w:b/>
          <w:color w:val="C61818"/>
          <w:sz w:val="32"/>
        </w:rPr>
        <w:t>2. Core Color Theory Principles — Quick Reference Matrix</w:t>
      </w:r>
    </w:p>
    <w:tbl>
      <w:tblPr>
        <w:tblW w:type="auto" w:w="0"/>
        <w:jc w:val="center"/>
        <w:tblLook w:firstColumn="1" w:firstRow="1" w:lastColumn="0" w:lastRow="0" w:noHBand="0" w:noVBand="1" w:val="04A0"/>
      </w:tblPr>
      <w:tblGrid>
        <w:gridCol w:w="2484"/>
        <w:gridCol w:w="2484"/>
        <w:gridCol w:w="2484"/>
        <w:gridCol w:w="2484"/>
      </w:tblGrid>
      <w:tr>
        <w:tc>
          <w:tcPr>
            <w:tcW w:type="dxa" w:w="2160"/>
            <w:tcMar>
              <w:top w:w="80" w:type="dxa"/>
              <w:bottom w:w="80" w:type="dxa"/>
              <w:left w:w="100" w:type="dxa"/>
              <w:right w:w="100" w:type="dxa"/>
            </w:tcMar>
            <w:shd w:fill="C61818"/>
          </w:tcPr>
          <w:p>
            <w:pPr>
              <w:spacing w:after="0"/>
            </w:pPr>
            <w:r>
              <w:rPr>
                <w:b/>
                <w:color w:val="FFFFFF"/>
                <w:sz w:val="19"/>
              </w:rPr>
              <w:t>Principle</w:t>
            </w:r>
          </w:p>
        </w:tc>
        <w:tc>
          <w:tcPr>
            <w:tcW w:type="dxa" w:w="2304"/>
            <w:tcMar>
              <w:top w:w="80" w:type="dxa"/>
              <w:bottom w:w="80" w:type="dxa"/>
              <w:left w:w="100" w:type="dxa"/>
              <w:right w:w="100" w:type="dxa"/>
            </w:tcMar>
            <w:shd w:fill="C61818"/>
          </w:tcPr>
          <w:p>
            <w:pPr>
              <w:spacing w:after="0"/>
            </w:pPr>
            <w:r>
              <w:rPr>
                <w:b/>
                <w:color w:val="FFFFFF"/>
                <w:sz w:val="19"/>
              </w:rPr>
              <w:t>Core Rule / Ratio</w:t>
            </w:r>
          </w:p>
        </w:tc>
        <w:tc>
          <w:tcPr>
            <w:tcW w:type="dxa" w:w="2592"/>
            <w:tcMar>
              <w:top w:w="80" w:type="dxa"/>
              <w:bottom w:w="80" w:type="dxa"/>
              <w:left w:w="100" w:type="dxa"/>
              <w:right w:w="100" w:type="dxa"/>
            </w:tcMar>
            <w:shd w:fill="C61818"/>
          </w:tcPr>
          <w:p>
            <w:pPr>
              <w:spacing w:after="0"/>
            </w:pPr>
            <w:r>
              <w:rPr>
                <w:b/>
                <w:color w:val="FFFFFF"/>
                <w:sz w:val="19"/>
              </w:rPr>
              <w:t>Primary Purpose</w:t>
            </w:r>
          </w:p>
        </w:tc>
        <w:tc>
          <w:tcPr>
            <w:tcW w:type="dxa" w:w="2880"/>
            <w:tcMar>
              <w:top w:w="80" w:type="dxa"/>
              <w:bottom w:w="80" w:type="dxa"/>
              <w:left w:w="100" w:type="dxa"/>
              <w:right w:w="100" w:type="dxa"/>
            </w:tcMar>
            <w:shd w:fill="C61818"/>
          </w:tcPr>
          <w:p>
            <w:pPr>
              <w:spacing w:after="0"/>
            </w:pPr>
            <w:r>
              <w:rPr>
                <w:b/>
                <w:color w:val="FFFFFF"/>
                <w:sz w:val="19"/>
              </w:rPr>
              <w:t>Visual Case Studies in Video</w:t>
            </w:r>
          </w:p>
        </w:tc>
      </w:tr>
      <w:tr>
        <w:tc>
          <w:tcPr>
            <w:tcW w:type="dxa" w:w="2160"/>
            <w:tcMar>
              <w:top w:w="80" w:type="dxa"/>
              <w:bottom w:w="80" w:type="dxa"/>
              <w:left w:w="100" w:type="dxa"/>
              <w:right w:w="100" w:type="dxa"/>
            </w:tcMar>
            <w:shd w:fill="F9FAFB"/>
          </w:tcPr>
          <w:p>
            <w:pPr>
              <w:spacing w:after="0"/>
            </w:pPr>
            <w:r>
              <w:rPr>
                <w:b/>
                <w:color w:val="111827"/>
                <w:sz w:val="19"/>
              </w:rPr>
              <w:t>1. The 60-30-10 Rule</w:t>
            </w:r>
          </w:p>
        </w:tc>
        <w:tc>
          <w:tcPr>
            <w:tcW w:type="dxa" w:w="2304"/>
            <w:tcMar>
              <w:top w:w="80" w:type="dxa"/>
              <w:bottom w:w="80" w:type="dxa"/>
              <w:left w:w="100" w:type="dxa"/>
              <w:right w:w="100" w:type="dxa"/>
            </w:tcMar>
            <w:shd w:fill="F9FAFB"/>
          </w:tcPr>
          <w:p>
            <w:pPr>
              <w:spacing w:after="0"/>
            </w:pPr>
            <w:r>
              <w:rPr>
                <w:sz w:val="19"/>
              </w:rPr>
              <w:t>60% Background</w:t>
              <w:br/>
              <w:t>30% Main Elements &amp; Text</w:t>
              <w:br/>
              <w:t>10% Accent / Highlight</w:t>
            </w:r>
          </w:p>
        </w:tc>
        <w:tc>
          <w:tcPr>
            <w:tcW w:type="dxa" w:w="2592"/>
            <w:tcMar>
              <w:top w:w="80" w:type="dxa"/>
              <w:bottom w:w="80" w:type="dxa"/>
              <w:left w:w="100" w:type="dxa"/>
              <w:right w:w="100" w:type="dxa"/>
            </w:tcMar>
            <w:shd w:fill="F9FAFB"/>
          </w:tcPr>
          <w:p>
            <w:pPr>
              <w:spacing w:after="0"/>
            </w:pPr>
            <w:r>
              <w:rPr>
                <w:sz w:val="19"/>
              </w:rPr>
              <w:t>Establishes clear visual hierarchy and prevents colors from competing for attention.</w:t>
            </w:r>
          </w:p>
        </w:tc>
        <w:tc>
          <w:tcPr>
            <w:tcW w:type="dxa" w:w="2880"/>
            <w:tcMar>
              <w:top w:w="80" w:type="dxa"/>
              <w:bottom w:w="80" w:type="dxa"/>
              <w:left w:w="100" w:type="dxa"/>
              <w:right w:w="100" w:type="dxa"/>
            </w:tcMar>
            <w:shd w:fill="F9FAFB"/>
          </w:tcPr>
          <w:p>
            <w:pPr>
              <w:spacing w:after="0"/>
            </w:pPr>
            <w:r>
              <w:rPr>
                <w:sz w:val="19"/>
              </w:rPr>
              <w:t>'rise' minimalist poster; 'WELCOME MAJOR' poster; '10 Reasons to Say NO' 3D red typography poster; 'Mark the tasks' poster.</w:t>
            </w:r>
          </w:p>
        </w:tc>
      </w:tr>
      <w:tr>
        <w:tc>
          <w:tcPr>
            <w:tcW w:type="dxa" w:w="2160"/>
            <w:tcMar>
              <w:top w:w="80" w:type="dxa"/>
              <w:bottom w:w="80" w:type="dxa"/>
              <w:left w:w="100" w:type="dxa"/>
              <w:right w:w="100" w:type="dxa"/>
            </w:tcMar>
            <w:shd w:fill="FFFFFF"/>
          </w:tcPr>
          <w:p>
            <w:pPr>
              <w:spacing w:after="0"/>
            </w:pPr>
            <w:r>
              <w:rPr>
                <w:b/>
                <w:color w:val="111827"/>
                <w:sz w:val="19"/>
              </w:rPr>
              <w:t>2. Limit Your Palette</w:t>
            </w:r>
          </w:p>
        </w:tc>
        <w:tc>
          <w:tcPr>
            <w:tcW w:type="dxa" w:w="2304"/>
            <w:tcMar>
              <w:top w:w="80" w:type="dxa"/>
              <w:bottom w:w="80" w:type="dxa"/>
              <w:left w:w="100" w:type="dxa"/>
              <w:right w:w="100" w:type="dxa"/>
            </w:tcMar>
            <w:shd w:fill="FFFFFF"/>
          </w:tcPr>
          <w:p>
            <w:pPr>
              <w:spacing w:after="0"/>
            </w:pPr>
            <w:r>
              <w:rPr>
                <w:sz w:val="19"/>
              </w:rPr>
              <w:t>Maximum 2 to 3 Colors</w:t>
              <w:br/>
              <w:t>(2 Primary/Base + 1 Secondary)</w:t>
            </w:r>
          </w:p>
        </w:tc>
        <w:tc>
          <w:tcPr>
            <w:tcW w:type="dxa" w:w="2592"/>
            <w:tcMar>
              <w:top w:w="80" w:type="dxa"/>
              <w:bottom w:w="80" w:type="dxa"/>
              <w:left w:w="100" w:type="dxa"/>
              <w:right w:w="100" w:type="dxa"/>
            </w:tcMar>
            <w:shd w:fill="FFFFFF"/>
          </w:tcPr>
          <w:p>
            <w:pPr>
              <w:spacing w:after="0"/>
            </w:pPr>
            <w:r>
              <w:rPr>
                <w:sz w:val="19"/>
              </w:rPr>
              <w:t>Eliminates visual clutter, prevents an amateur look, and guides viewer eye movement.</w:t>
            </w:r>
          </w:p>
        </w:tc>
        <w:tc>
          <w:tcPr>
            <w:tcW w:type="dxa" w:w="2880"/>
            <w:tcMar>
              <w:top w:w="80" w:type="dxa"/>
              <w:bottom w:w="80" w:type="dxa"/>
              <w:left w:w="100" w:type="dxa"/>
              <w:right w:w="100" w:type="dxa"/>
            </w:tcMar>
            <w:shd w:fill="FFFFFF"/>
          </w:tcPr>
          <w:p>
            <w:pPr>
              <w:spacing w:after="0"/>
            </w:pPr>
            <w:r>
              <w:rPr>
                <w:sz w:val="19"/>
              </w:rPr>
              <w:t>'BALKONKA SALE' armchair poster (6 colors reduced to 3); 'HOODIE' streetwear poster (3 variations compared).</w:t>
            </w:r>
          </w:p>
        </w:tc>
      </w:tr>
      <w:tr>
        <w:tc>
          <w:tcPr>
            <w:tcW w:type="dxa" w:w="2160"/>
            <w:tcMar>
              <w:top w:w="80" w:type="dxa"/>
              <w:bottom w:w="80" w:type="dxa"/>
              <w:left w:w="100" w:type="dxa"/>
              <w:right w:w="100" w:type="dxa"/>
            </w:tcMar>
            <w:shd w:fill="F9FAFB"/>
          </w:tcPr>
          <w:p>
            <w:pPr>
              <w:spacing w:after="0"/>
            </w:pPr>
            <w:r>
              <w:rPr>
                <w:b/>
                <w:color w:val="111827"/>
                <w:sz w:val="19"/>
              </w:rPr>
              <w:t>3. Color Context &amp; Contrast Illusion</w:t>
            </w:r>
          </w:p>
        </w:tc>
        <w:tc>
          <w:tcPr>
            <w:tcW w:type="dxa" w:w="2304"/>
            <w:tcMar>
              <w:top w:w="80" w:type="dxa"/>
              <w:bottom w:w="80" w:type="dxa"/>
              <w:left w:w="100" w:type="dxa"/>
              <w:right w:w="100" w:type="dxa"/>
            </w:tcMar>
            <w:shd w:fill="F9FAFB"/>
          </w:tcPr>
          <w:p>
            <w:pPr>
              <w:spacing w:after="0"/>
            </w:pPr>
            <w:r>
              <w:rPr>
                <w:sz w:val="19"/>
              </w:rPr>
              <w:t>Evaluate foreground contrast relative to background luminance &amp; opposite wheel hues.</w:t>
            </w:r>
          </w:p>
        </w:tc>
        <w:tc>
          <w:tcPr>
            <w:tcW w:type="dxa" w:w="2592"/>
            <w:tcMar>
              <w:top w:w="80" w:type="dxa"/>
              <w:bottom w:w="80" w:type="dxa"/>
              <w:left w:w="100" w:type="dxa"/>
              <w:right w:w="100" w:type="dxa"/>
            </w:tcMar>
            <w:shd w:fill="F9FAFB"/>
          </w:tcPr>
          <w:p>
            <w:pPr>
              <w:spacing w:after="0"/>
            </w:pPr>
            <w:r>
              <w:rPr>
                <w:sz w:val="19"/>
              </w:rPr>
              <w:t>Prevents mid-tone elements or text from disappearing against dark or low-contrast backgrounds.</w:t>
            </w:r>
          </w:p>
        </w:tc>
        <w:tc>
          <w:tcPr>
            <w:tcW w:type="dxa" w:w="2880"/>
            <w:tcMar>
              <w:top w:w="80" w:type="dxa"/>
              <w:bottom w:w="80" w:type="dxa"/>
              <w:left w:w="100" w:type="dxa"/>
              <w:right w:w="100" w:type="dxa"/>
            </w:tcMar>
            <w:shd w:fill="F9FAFB"/>
          </w:tcPr>
          <w:p>
            <w:pPr>
              <w:spacing w:after="0"/>
            </w:pPr>
            <w:r>
              <w:rPr>
                <w:sz w:val="19"/>
              </w:rPr>
              <w:t>Blue star on white/gray/yellow cards; Gray duck on white vs. black; 'Do it now' poster; Blue-to-Yellow gradient text strip.</w:t>
            </w:r>
          </w:p>
        </w:tc>
      </w:tr>
      <w:tr>
        <w:tc>
          <w:tcPr>
            <w:tcW w:type="dxa" w:w="2160"/>
            <w:tcMar>
              <w:top w:w="80" w:type="dxa"/>
              <w:bottom w:w="80" w:type="dxa"/>
              <w:left w:w="100" w:type="dxa"/>
              <w:right w:w="100" w:type="dxa"/>
            </w:tcMar>
            <w:shd w:fill="FFFFFF"/>
          </w:tcPr>
          <w:p>
            <w:pPr>
              <w:spacing w:after="0"/>
            </w:pPr>
            <w:r>
              <w:rPr>
                <w:b/>
                <w:color w:val="111827"/>
                <w:sz w:val="19"/>
              </w:rPr>
              <w:t>4. Intentional Contrast</w:t>
            </w:r>
          </w:p>
        </w:tc>
        <w:tc>
          <w:tcPr>
            <w:tcW w:type="dxa" w:w="2304"/>
            <w:tcMar>
              <w:top w:w="80" w:type="dxa"/>
              <w:bottom w:w="80" w:type="dxa"/>
              <w:left w:w="100" w:type="dxa"/>
              <w:right w:w="100" w:type="dxa"/>
            </w:tcMar>
            <w:shd w:fill="FFFFFF"/>
          </w:tcPr>
          <w:p>
            <w:pPr>
              <w:spacing w:after="0"/>
            </w:pPr>
            <w:r>
              <w:rPr>
                <w:sz w:val="19"/>
              </w:rPr>
              <w:t>Balance Light/Dark, Warm/Cool, and Saturated/Muted axes.</w:t>
            </w:r>
          </w:p>
        </w:tc>
        <w:tc>
          <w:tcPr>
            <w:tcW w:type="dxa" w:w="2592"/>
            <w:tcMar>
              <w:top w:w="80" w:type="dxa"/>
              <w:bottom w:w="80" w:type="dxa"/>
              <w:left w:w="100" w:type="dxa"/>
              <w:right w:w="100" w:type="dxa"/>
            </w:tcMar>
            <w:shd w:fill="FFFFFF"/>
          </w:tcPr>
          <w:p>
            <w:pPr>
              <w:spacing w:after="0"/>
            </w:pPr>
            <w:r>
              <w:rPr>
                <w:sz w:val="19"/>
              </w:rPr>
              <w:t>Aligns background and accent choices with brand mood, readability, and CTA conversion.</w:t>
            </w:r>
          </w:p>
        </w:tc>
        <w:tc>
          <w:tcPr>
            <w:tcW w:type="dxa" w:w="2880"/>
            <w:tcMar>
              <w:top w:w="80" w:type="dxa"/>
              <w:bottom w:w="80" w:type="dxa"/>
              <w:left w:w="100" w:type="dxa"/>
              <w:right w:w="100" w:type="dxa"/>
            </w:tcMar>
            <w:shd w:fill="FFFFFF"/>
          </w:tcPr>
          <w:p>
            <w:pPr>
              <w:spacing w:after="0"/>
            </w:pPr>
            <w:r>
              <w:rPr>
                <w:sz w:val="19"/>
              </w:rPr>
              <w:t>Corporate light vs. Luxury dark ('FASHION'); 'DUNE' (warm) vs. 'DAY 248' (cool); Red CTA button; 'ORANGE FRESH' can on blue; 'N.370' vs. 'TRACK 09'.</w:t>
            </w:r>
          </w:p>
        </w:tc>
      </w:tr>
      <w:tr>
        <w:tc>
          <w:tcPr>
            <w:tcW w:type="dxa" w:w="2160"/>
            <w:tcMar>
              <w:top w:w="80" w:type="dxa"/>
              <w:bottom w:w="80" w:type="dxa"/>
              <w:left w:w="100" w:type="dxa"/>
              <w:right w:w="100" w:type="dxa"/>
            </w:tcMar>
            <w:shd w:fill="F9FAFB"/>
          </w:tcPr>
          <w:p>
            <w:pPr>
              <w:spacing w:after="0"/>
            </w:pPr>
            <w:r>
              <w:rPr>
                <w:b/>
                <w:color w:val="111827"/>
                <w:sz w:val="19"/>
              </w:rPr>
              <w:t>5. One Dominant Color</w:t>
            </w:r>
          </w:p>
        </w:tc>
        <w:tc>
          <w:tcPr>
            <w:tcW w:type="dxa" w:w="2304"/>
            <w:tcMar>
              <w:top w:w="80" w:type="dxa"/>
              <w:bottom w:w="80" w:type="dxa"/>
              <w:left w:w="100" w:type="dxa"/>
              <w:right w:w="100" w:type="dxa"/>
            </w:tcMar>
            <w:shd w:fill="F9FAFB"/>
          </w:tcPr>
          <w:p>
            <w:pPr>
              <w:spacing w:after="0"/>
            </w:pPr>
            <w:r>
              <w:rPr>
                <w:sz w:val="19"/>
              </w:rPr>
              <w:t>2 Neutral Base Colors (e.g., Black &amp; White) + 1 Dominant Accent Color.</w:t>
            </w:r>
          </w:p>
        </w:tc>
        <w:tc>
          <w:tcPr>
            <w:tcW w:type="dxa" w:w="2592"/>
            <w:tcMar>
              <w:top w:w="80" w:type="dxa"/>
              <w:bottom w:w="80" w:type="dxa"/>
              <w:left w:w="100" w:type="dxa"/>
              <w:right w:w="100" w:type="dxa"/>
            </w:tcMar>
            <w:shd w:fill="F9FAFB"/>
          </w:tcPr>
          <w:p>
            <w:pPr>
              <w:spacing w:after="0"/>
            </w:pPr>
            <w:r>
              <w:rPr>
                <w:sz w:val="19"/>
              </w:rPr>
              <w:t>Creates high-impact, memorable Swiss-style focal points with minimal complexity.</w:t>
            </w:r>
          </w:p>
        </w:tc>
        <w:tc>
          <w:tcPr>
            <w:tcW w:type="dxa" w:w="2880"/>
            <w:tcMar>
              <w:top w:w="80" w:type="dxa"/>
              <w:bottom w:w="80" w:type="dxa"/>
              <w:left w:w="100" w:type="dxa"/>
              <w:right w:w="100" w:type="dxa"/>
            </w:tcMar>
            <w:shd w:fill="F9FAFB"/>
          </w:tcPr>
          <w:p>
            <w:pPr>
              <w:spacing w:after="0"/>
            </w:pPr>
            <w:r>
              <w:rPr>
                <w:sz w:val="19"/>
              </w:rPr>
              <w:t>Armin Hofmann linocut hands poster; Japanese 'Oppenheimer' poster; 'WICK IS PAIN' poster; Yellow/Black/Red duck diagram.</w:t>
            </w:r>
          </w:p>
        </w:tc>
      </w:tr>
      <w:tr>
        <w:tc>
          <w:tcPr>
            <w:tcW w:type="dxa" w:w="2160"/>
            <w:tcMar>
              <w:top w:w="80" w:type="dxa"/>
              <w:bottom w:w="80" w:type="dxa"/>
              <w:left w:w="100" w:type="dxa"/>
              <w:right w:w="100" w:type="dxa"/>
            </w:tcMar>
            <w:shd w:fill="FFFFFF"/>
          </w:tcPr>
          <w:p>
            <w:pPr>
              <w:spacing w:after="0"/>
            </w:pPr>
            <w:r>
              <w:rPr>
                <w:b/>
                <w:color w:val="111827"/>
                <w:sz w:val="19"/>
              </w:rPr>
              <w:t>6. Smart Neutrals</w:t>
            </w:r>
          </w:p>
        </w:tc>
        <w:tc>
          <w:tcPr>
            <w:tcW w:type="dxa" w:w="2304"/>
            <w:tcMar>
              <w:top w:w="80" w:type="dxa"/>
              <w:bottom w:w="80" w:type="dxa"/>
              <w:left w:w="100" w:type="dxa"/>
              <w:right w:w="100" w:type="dxa"/>
            </w:tcMar>
            <w:shd w:fill="FFFFFF"/>
          </w:tcPr>
          <w:p>
            <w:pPr>
              <w:spacing w:after="0"/>
            </w:pPr>
            <w:r>
              <w:rPr>
                <w:sz w:val="19"/>
              </w:rPr>
              <w:t>Default to White, Light Gray, or Warm Cream/Beige backgrounds.</w:t>
            </w:r>
          </w:p>
        </w:tc>
        <w:tc>
          <w:tcPr>
            <w:tcW w:type="dxa" w:w="2592"/>
            <w:tcMar>
              <w:top w:w="80" w:type="dxa"/>
              <w:bottom w:w="80" w:type="dxa"/>
              <w:left w:w="100" w:type="dxa"/>
              <w:right w:w="100" w:type="dxa"/>
            </w:tcMar>
            <w:shd w:fill="FFFFFF"/>
          </w:tcPr>
          <w:p>
            <w:pPr>
              <w:spacing w:after="0"/>
            </w:pPr>
            <w:r>
              <w:rPr>
                <w:sz w:val="19"/>
              </w:rPr>
              <w:t>Saves time and guarantees that saturated foreground colors (red, blue, black) pop cleanly.</w:t>
            </w:r>
          </w:p>
        </w:tc>
        <w:tc>
          <w:tcPr>
            <w:tcW w:type="dxa" w:w="2880"/>
            <w:tcMar>
              <w:top w:w="80" w:type="dxa"/>
              <w:bottom w:w="80" w:type="dxa"/>
              <w:left w:w="100" w:type="dxa"/>
              <w:right w:w="100" w:type="dxa"/>
            </w:tcMar>
            <w:shd w:fill="FFFFFF"/>
          </w:tcPr>
          <w:p>
            <w:pPr>
              <w:spacing w:after="0"/>
            </w:pPr>
            <w:r>
              <w:rPr>
                <w:sz w:val="19"/>
              </w:rPr>
              <w:t>'RECEIVED' 3D chrome poster; 'The Neighbourhood' collage; 'PUSHKIN' poster; Red duck, Blue cat, and Black dog on neutral cards.</w:t>
            </w:r>
          </w:p>
        </w:tc>
      </w:tr>
    </w:tbl>
    <w:p/>
    <w:p>
      <w:pPr>
        <w:spacing w:before="320" w:after="120"/>
        <w:pBdr>
          <w:bottom w:val="single" w:sz="8" w:space="4" w:color="C61818"/>
        </w:pBdr>
      </w:pPr>
      <w:r>
        <w:rPr>
          <w:rFonts w:ascii="Calibri" w:hAnsi="Calibri"/>
          <w:b/>
          <w:color w:val="C61818"/>
          <w:sz w:val="32"/>
        </w:rPr>
        <w:t>3. Detailed Design Guidelines &amp; Visual Lessons Learned</w:t>
      </w:r>
    </w:p>
    <w:p>
      <w:pPr>
        <w:spacing w:before="240" w:after="120"/>
      </w:pPr>
      <w:r>
        <w:rPr>
          <w:rFonts w:ascii="Calibri" w:hAnsi="Calibri"/>
          <w:b/>
          <w:color w:val="1F2937"/>
          <w:sz w:val="26"/>
        </w:rPr>
        <w:t>Principle 1: Master Hierarchy with the 60-30-10 Rule</w:t>
      </w:r>
    </w:p>
    <w:p>
      <w:r>
        <w:t>The 60-30-10 rule is a foundational proportional system that assigns a distinct structural role to every color in a layout:</w:t>
      </w:r>
    </w:p>
    <w:p>
      <w:pPr>
        <w:pStyle w:val="ListBullet"/>
        <w:spacing w:after="80"/>
      </w:pPr>
      <w:r>
        <w:rPr>
          <w:b/>
          <w:color w:val="111827"/>
        </w:rPr>
        <w:t xml:space="preserve">60% Dominant / Background Color: </w:t>
      </w:r>
      <w:r>
        <w:rPr>
          <w:color w:val="222222"/>
        </w:rPr>
        <w:t>Sets the overall atmosphere and provides negative space so the viewer's eyes can rest (e.g., the pure white canvas in the 'rise' poster or the light gray background in 'WELCOME MAJOR').</w:t>
      </w:r>
    </w:p>
    <w:p>
      <w:pPr>
        <w:pStyle w:val="ListBullet"/>
        <w:spacing w:after="80"/>
      </w:pPr>
      <w:r>
        <w:rPr>
          <w:b/>
          <w:color w:val="111827"/>
        </w:rPr>
        <w:t xml:space="preserve">30% Secondary / Structural Color: </w:t>
      </w:r>
      <w:r>
        <w:rPr>
          <w:color w:val="222222"/>
        </w:rPr>
        <w:t>Used for the primary subject matter, main graphic shapes, and core typography (e.g., the black silhouette, rock island, and bold 'rise' title).</w:t>
      </w:r>
    </w:p>
    <w:p>
      <w:pPr>
        <w:pStyle w:val="ListBullet"/>
        <w:spacing w:after="80"/>
      </w:pPr>
      <w:r>
        <w:rPr>
          <w:b/>
          <w:color w:val="111827"/>
        </w:rPr>
        <w:t xml:space="preserve">10% Accent / Highlight Color: </w:t>
      </w:r>
      <w:r>
        <w:rPr>
          <w:color w:val="222222"/>
        </w:rPr>
        <w:t>Reserved strictly for the focal point or call-to-action (e.g., the crimson sun circle behind the lone figure in 'rise' or the red graffiti overlays in 'WELCOME MAJOR').</w:t>
      </w:r>
    </w:p>
    <w:p>
      <w:pPr>
        <w:pStyle w:val="ListBullet"/>
        <w:spacing w:after="80"/>
      </w:pPr>
      <w:r>
        <w:rPr>
          <w:b/>
          <w:color w:val="111827"/>
        </w:rPr>
        <w:t xml:space="preserve">Crucial Nuance — Visual Weight vs. Surface Area: </w:t>
      </w:r>
      <w:r>
        <w:rPr>
          <w:color w:val="222222"/>
        </w:rPr>
        <w:t>In the Russian typographic poster ('10 Reasons to Say NO to a Client'), black and red appear to occupy nearly equal 2D area. However, because the red 'НЕТ' blocks are rendered as three-dimensional objects while the black background is flat, the red visually dominates as the 60% color while black acts as 30% and white headline text acts as 10%.</w:t>
      </w:r>
    </w:p>
    <w:p>
      <w:pPr>
        <w:pStyle w:val="ListBullet"/>
        <w:spacing w:after="80"/>
      </w:pPr>
      <w:r>
        <w:rPr>
          <w:b/>
          <w:color w:val="111827"/>
        </w:rPr>
        <w:t xml:space="preserve">When to Bend the Rule: </w:t>
      </w:r>
      <w:r>
        <w:rPr>
          <w:color w:val="222222"/>
        </w:rPr>
        <w:t>Exact mathematical percentages (60/30/10) are not mandatory in every layout. As long as there is an unmistakable visual hierarchy and size differentiation between your primary, secondary, and accent colors, the design will succeed.</w:t>
      </w:r>
    </w:p>
    <w:p>
      <w:pPr>
        <w:spacing w:before="240" w:after="120"/>
      </w:pPr>
      <w:r>
        <w:rPr>
          <w:rFonts w:ascii="Calibri" w:hAnsi="Calibri"/>
          <w:b/>
          <w:color w:val="1F2937"/>
          <w:sz w:val="26"/>
        </w:rPr>
        <w:t>Principle 2: Limit Your Color Palette (The 2-to-3 Color Rule)</w:t>
      </w:r>
    </w:p>
    <w:p>
      <w:r>
        <w:t>One of the most frequent mistakes among beginner designers is introducing five or six unrelated colors into a single composition, which fragments visual hierarchy and makes the work look cluttered and amateurish.</w:t>
      </w:r>
    </w:p>
    <w:p>
      <w:pPr>
        <w:pStyle w:val="ListBullet"/>
        <w:spacing w:after="80"/>
      </w:pPr>
      <w:r>
        <w:rPr>
          <w:b/>
          <w:color w:val="111827"/>
        </w:rPr>
        <w:t xml:space="preserve">The 3-Color Cap: </w:t>
      </w:r>
      <w:r>
        <w:rPr>
          <w:color w:val="222222"/>
        </w:rPr>
        <w:t>Restrict single layouts to a maximum of two or three colors—typically two primary base colors for the background and structure, plus one secondary color for emphasis.</w:t>
      </w:r>
    </w:p>
    <w:p>
      <w:pPr>
        <w:pStyle w:val="ListBullet"/>
        <w:spacing w:after="80"/>
      </w:pPr>
      <w:r>
        <w:rPr>
          <w:b/>
          <w:color w:val="111827"/>
        </w:rPr>
        <w:t xml:space="preserve">Visual Case Study — 'BALKONKA SALE' Poster Redesign: </w:t>
      </w:r>
      <w:r>
        <w:rPr>
          <w:color w:val="222222"/>
        </w:rPr>
        <w:t>The original poster used 6 distinct colors (split bright pink and coral-red backgrounds, white text, black text, bright yellow badges, and the dark gray armchair). Consolidating the background into a single coral-red tone, unifying all typography in white, and keeping the dark gray chair (3 colors total) immediately elevated the poster's maturity and legibility.</w:t>
      </w:r>
    </w:p>
    <w:p>
      <w:pPr>
        <w:pStyle w:val="ListBullet"/>
        <w:spacing w:after="80"/>
      </w:pPr>
      <w:r>
        <w:rPr>
          <w:b/>
          <w:color w:val="111827"/>
        </w:rPr>
        <w:t xml:space="preserve">Visual Case Study — 'HOODIE' Poster Eye-Tracking Critique: </w:t>
      </w:r>
      <w:r>
        <w:rPr>
          <w:color w:val="222222"/>
        </w:rPr>
        <w:t>Comparing three color variations of the 'HOODIE' poster demonstrated that adding extra lavender bars and split white/blue background blocks causes the viewer's eye to dart around aimlessly. The winning variation used only solid cobalt blue, crisp white typography, and the black hoodie.</w:t>
      </w:r>
    </w:p>
    <w:p>
      <w:pPr>
        <w:spacing w:before="240" w:after="120"/>
      </w:pPr>
      <w:r>
        <w:rPr>
          <w:rFonts w:ascii="Calibri" w:hAnsi="Calibri"/>
          <w:b/>
          <w:color w:val="1F2937"/>
          <w:sz w:val="26"/>
        </w:rPr>
        <w:t>Principle 3: Understand Color Context &amp; Avoid the Contrast Illusion</w:t>
      </w:r>
    </w:p>
    <w:p>
      <w:r>
        <w:t>Human perception of brightness, saturation, and contrast changes dramatically depending on the surrounding background color—a phenomenon known as simultaneous contrast or the contrast illusion.</w:t>
      </w:r>
    </w:p>
    <w:p>
      <w:pPr>
        <w:pStyle w:val="ListBullet"/>
        <w:spacing w:after="80"/>
      </w:pPr>
      <w:r>
        <w:rPr>
          <w:b/>
          <w:color w:val="111827"/>
        </w:rPr>
        <w:t xml:space="preserve">The Mid-Tone Trap: </w:t>
      </w:r>
      <w:r>
        <w:rPr>
          <w:color w:val="222222"/>
        </w:rPr>
        <w:t>As shown in the gray duck silhouette and 'Do it now' poster demonstrations, a medium-to-dark gray element produces crisp, high contrast against a pure white background, but loses its separation and looks muddy when placed on a medium gray or pure black background.</w:t>
      </w:r>
    </w:p>
    <w:p>
      <w:pPr>
        <w:pStyle w:val="ListBullet"/>
        <w:spacing w:after="80"/>
      </w:pPr>
      <w:r>
        <w:rPr>
          <w:b/>
          <w:color w:val="111827"/>
        </w:rPr>
        <w:t xml:space="preserve">Complementary Color Wheel Opposites: </w:t>
      </w:r>
      <w:r>
        <w:rPr>
          <w:color w:val="222222"/>
        </w:rPr>
        <w:t>Colors positioned directly opposite each other on the color wheel (such as dark blue and bright yellow) generate maximum chromatic contrast.</w:t>
      </w:r>
    </w:p>
    <w:p>
      <w:pPr>
        <w:pStyle w:val="ListBullet"/>
        <w:spacing w:after="80"/>
      </w:pPr>
      <w:r>
        <w:rPr>
          <w:b/>
          <w:color w:val="111827"/>
        </w:rPr>
        <w:t xml:space="preserve">Luminance Scaling Across Palettes: </w:t>
      </w:r>
      <w:r>
        <w:rPr>
          <w:color w:val="222222"/>
        </w:rPr>
        <w:t>When blending dark blue and yellow to create an 8-step palette strip, white text reads with high contrast on the dark blue end but becomes completely illegible as the background transitions toward bright yellow. Always verify luminance contrast before locking in text colors.</w:t>
      </w:r>
    </w:p>
    <w:p>
      <w:pPr>
        <w:spacing w:before="240" w:after="120"/>
      </w:pPr>
      <w:r>
        <w:rPr>
          <w:rFonts w:ascii="Calibri" w:hAnsi="Calibri"/>
          <w:b/>
          <w:color w:val="1F2937"/>
          <w:sz w:val="26"/>
        </w:rPr>
        <w:t>Principle 4: Use Contrast Intentionally Across Three Dimensions</w:t>
      </w:r>
    </w:p>
    <w:p>
      <w:r>
        <w:t>Contrast extends far beyond scaling elements larger or smaller. Designers should intentionally manipulate three color contrast axes based on project goals:</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80" w:type="dxa"/>
              <w:bottom w:w="80" w:type="dxa"/>
              <w:left w:w="100" w:type="dxa"/>
              <w:right w:w="100" w:type="dxa"/>
            </w:tcMar>
            <w:shd w:fill="1F2937"/>
          </w:tcPr>
          <w:p>
            <w:pPr>
              <w:spacing w:after="0"/>
            </w:pPr>
            <w:r>
              <w:rPr>
                <w:b/>
                <w:color w:val="FFFFFF"/>
                <w:sz w:val="19"/>
              </w:rPr>
              <w:t>Contrast Dimension</w:t>
            </w:r>
          </w:p>
        </w:tc>
        <w:tc>
          <w:tcPr>
            <w:tcW w:type="dxa" w:w="2484"/>
            <w:tcMar>
              <w:top w:w="80" w:type="dxa"/>
              <w:bottom w:w="80" w:type="dxa"/>
              <w:left w:w="100" w:type="dxa"/>
              <w:right w:w="100" w:type="dxa"/>
            </w:tcMar>
            <w:shd w:fill="1F2937"/>
          </w:tcPr>
          <w:p>
            <w:pPr>
              <w:spacing w:after="0"/>
            </w:pPr>
            <w:r>
              <w:rPr>
                <w:b/>
                <w:color w:val="FFFFFF"/>
                <w:sz w:val="19"/>
              </w:rPr>
              <w:t>Pole A: Characteristics &amp; Best Use</w:t>
            </w:r>
          </w:p>
        </w:tc>
        <w:tc>
          <w:tcPr>
            <w:tcW w:type="dxa" w:w="2484"/>
            <w:tcMar>
              <w:top w:w="80" w:type="dxa"/>
              <w:bottom w:w="80" w:type="dxa"/>
              <w:left w:w="100" w:type="dxa"/>
              <w:right w:w="100" w:type="dxa"/>
            </w:tcMar>
            <w:shd w:fill="1F2937"/>
          </w:tcPr>
          <w:p>
            <w:pPr>
              <w:spacing w:after="0"/>
            </w:pPr>
            <w:r>
              <w:rPr>
                <w:b/>
                <w:color w:val="FFFFFF"/>
                <w:sz w:val="19"/>
              </w:rPr>
              <w:t>Pole B: Characteristics &amp; Best Use</w:t>
            </w:r>
          </w:p>
        </w:tc>
        <w:tc>
          <w:tcPr>
            <w:tcW w:type="dxa" w:w="2484"/>
            <w:tcMar>
              <w:top w:w="80" w:type="dxa"/>
              <w:bottom w:w="80" w:type="dxa"/>
              <w:left w:w="100" w:type="dxa"/>
              <w:right w:w="100" w:type="dxa"/>
            </w:tcMar>
            <w:shd w:fill="1F2937"/>
          </w:tcPr>
          <w:p>
            <w:pPr>
              <w:spacing w:after="0"/>
            </w:pPr>
            <w:r>
              <w:rPr>
                <w:b/>
                <w:color w:val="FFFFFF"/>
                <w:sz w:val="19"/>
              </w:rPr>
              <w:t>Practical Application Tip</w:t>
            </w:r>
          </w:p>
        </w:tc>
      </w:tr>
      <w:tr>
        <w:tc>
          <w:tcPr>
            <w:tcW w:type="dxa" w:w="2484"/>
            <w:tcMar>
              <w:top w:w="80" w:type="dxa"/>
              <w:bottom w:w="80" w:type="dxa"/>
              <w:left w:w="100" w:type="dxa"/>
              <w:right w:w="100" w:type="dxa"/>
            </w:tcMar>
            <w:shd w:fill="F3F4F6"/>
          </w:tcPr>
          <w:p>
            <w:pPr>
              <w:spacing w:after="0"/>
            </w:pPr>
            <w:r>
              <w:rPr>
                <w:b/>
                <w:sz w:val="19"/>
              </w:rPr>
              <w:t>1. Light vs. Dark</w:t>
            </w:r>
          </w:p>
        </w:tc>
        <w:tc>
          <w:tcPr>
            <w:tcW w:type="dxa" w:w="2484"/>
            <w:tcMar>
              <w:top w:w="80" w:type="dxa"/>
              <w:bottom w:w="80" w:type="dxa"/>
              <w:left w:w="100" w:type="dxa"/>
              <w:right w:w="100" w:type="dxa"/>
            </w:tcMar>
            <w:shd w:fill="F3F4F6"/>
          </w:tcPr>
          <w:p>
            <w:pPr>
              <w:spacing w:after="0"/>
            </w:pPr>
            <w:r>
              <w:rPr>
                <w:sz w:val="19"/>
              </w:rPr>
              <w:t>Light Backgrounds:</w:t>
              <w:br/>
              <w:t>Clean, approachable, maximizes text readability. Ideal for corporate brands and editorial layouts.</w:t>
            </w:r>
          </w:p>
        </w:tc>
        <w:tc>
          <w:tcPr>
            <w:tcW w:type="dxa" w:w="2484"/>
            <w:tcMar>
              <w:top w:w="80" w:type="dxa"/>
              <w:bottom w:w="80" w:type="dxa"/>
              <w:left w:w="100" w:type="dxa"/>
              <w:right w:w="100" w:type="dxa"/>
            </w:tcMar>
            <w:shd w:fill="F3F4F6"/>
          </w:tcPr>
          <w:p>
            <w:pPr>
              <w:spacing w:after="0"/>
            </w:pPr>
            <w:r>
              <w:rPr>
                <w:sz w:val="19"/>
              </w:rPr>
              <w:t>Dark Backgrounds:</w:t>
              <w:br/>
              <w:t>Intense, bold, dramatic, evokes a high-end luxury aesthetic (e.g., high-fashion posters).</w:t>
            </w:r>
          </w:p>
        </w:tc>
        <w:tc>
          <w:tcPr>
            <w:tcW w:type="dxa" w:w="2484"/>
            <w:tcMar>
              <w:top w:w="80" w:type="dxa"/>
              <w:bottom w:w="80" w:type="dxa"/>
              <w:left w:w="100" w:type="dxa"/>
              <w:right w:w="100" w:type="dxa"/>
            </w:tcMar>
            <w:shd w:fill="F3F4F6"/>
          </w:tcPr>
          <w:p>
            <w:pPr>
              <w:spacing w:after="0"/>
            </w:pPr>
            <w:r>
              <w:rPr>
                <w:sz w:val="19"/>
              </w:rPr>
              <w:t>Select light vs. dark at the start of a project based on brand positioning and reading distance.</w:t>
            </w:r>
          </w:p>
        </w:tc>
      </w:tr>
      <w:tr>
        <w:tc>
          <w:tcPr>
            <w:tcW w:type="dxa" w:w="2484"/>
            <w:tcMar>
              <w:top w:w="80" w:type="dxa"/>
              <w:bottom w:w="80" w:type="dxa"/>
              <w:left w:w="100" w:type="dxa"/>
              <w:right w:w="100" w:type="dxa"/>
            </w:tcMar>
            <w:shd w:fill="FFFFFF"/>
          </w:tcPr>
          <w:p>
            <w:pPr>
              <w:spacing w:after="0"/>
            </w:pPr>
            <w:r>
              <w:rPr>
                <w:b/>
                <w:sz w:val="19"/>
              </w:rPr>
              <w:t>2. Warm vs. Cool</w:t>
            </w:r>
          </w:p>
        </w:tc>
        <w:tc>
          <w:tcPr>
            <w:tcW w:type="dxa" w:w="2484"/>
            <w:tcMar>
              <w:top w:w="80" w:type="dxa"/>
              <w:bottom w:w="80" w:type="dxa"/>
              <w:left w:w="100" w:type="dxa"/>
              <w:right w:w="100" w:type="dxa"/>
            </w:tcMar>
            <w:shd w:fill="FFFFFF"/>
          </w:tcPr>
          <w:p>
            <w:pPr>
              <w:spacing w:after="0"/>
            </w:pPr>
            <w:r>
              <w:rPr>
                <w:sz w:val="19"/>
              </w:rPr>
              <w:t>Warm Colors (Red, Orange, Yellow):</w:t>
              <w:br/>
              <w:t>Energetic, advancing, immediately grabs human attention (e.g., 'DUNE' poster).</w:t>
            </w:r>
          </w:p>
        </w:tc>
        <w:tc>
          <w:tcPr>
            <w:tcW w:type="dxa" w:w="2484"/>
            <w:tcMar>
              <w:top w:w="80" w:type="dxa"/>
              <w:bottom w:w="80" w:type="dxa"/>
              <w:left w:w="100" w:type="dxa"/>
              <w:right w:w="100" w:type="dxa"/>
            </w:tcMar>
            <w:shd w:fill="FFFFFF"/>
          </w:tcPr>
          <w:p>
            <w:pPr>
              <w:spacing w:after="0"/>
            </w:pPr>
            <w:r>
              <w:rPr>
                <w:sz w:val="19"/>
              </w:rPr>
              <w:t>Cool Colors (Blue, Cyan, Purple):</w:t>
              <w:br/>
              <w:t>Calm, receding, minimal, atmospheric (e.g., 'DAY 248' poster).</w:t>
            </w:r>
          </w:p>
        </w:tc>
        <w:tc>
          <w:tcPr>
            <w:tcW w:type="dxa" w:w="2484"/>
            <w:tcMar>
              <w:top w:w="80" w:type="dxa"/>
              <w:bottom w:w="80" w:type="dxa"/>
              <w:left w:w="100" w:type="dxa"/>
              <w:right w:w="100" w:type="dxa"/>
            </w:tcMar>
            <w:shd w:fill="FFFFFF"/>
          </w:tcPr>
          <w:p>
            <w:pPr>
              <w:spacing w:after="0"/>
            </w:pPr>
            <w:r>
              <w:rPr>
                <w:sz w:val="19"/>
              </w:rPr>
              <w:t>Place warm accents (like a Red CTA button or Orange soda can) over a cool background to make focal elements pop.</w:t>
            </w:r>
          </w:p>
        </w:tc>
      </w:tr>
      <w:tr>
        <w:tc>
          <w:tcPr>
            <w:tcW w:type="dxa" w:w="2484"/>
            <w:tcMar>
              <w:top w:w="80" w:type="dxa"/>
              <w:bottom w:w="80" w:type="dxa"/>
              <w:left w:w="100" w:type="dxa"/>
              <w:right w:w="100" w:type="dxa"/>
            </w:tcMar>
            <w:shd w:fill="F3F4F6"/>
          </w:tcPr>
          <w:p>
            <w:pPr>
              <w:spacing w:after="0"/>
            </w:pPr>
            <w:r>
              <w:rPr>
                <w:b/>
                <w:sz w:val="19"/>
              </w:rPr>
              <w:t>3. Saturated vs. Muted</w:t>
            </w:r>
          </w:p>
        </w:tc>
        <w:tc>
          <w:tcPr>
            <w:tcW w:type="dxa" w:w="2484"/>
            <w:tcMar>
              <w:top w:w="80" w:type="dxa"/>
              <w:bottom w:w="80" w:type="dxa"/>
              <w:left w:w="100" w:type="dxa"/>
              <w:right w:w="100" w:type="dxa"/>
            </w:tcMar>
            <w:shd w:fill="F3F4F6"/>
          </w:tcPr>
          <w:p>
            <w:pPr>
              <w:spacing w:after="0"/>
            </w:pPr>
            <w:r>
              <w:rPr>
                <w:sz w:val="19"/>
              </w:rPr>
              <w:t>Saturated Colors:</w:t>
              <w:br/>
              <w:t>Vibrant, electric, high-energy, intense (e.g., 'N.370' sci-fi poster).</w:t>
            </w:r>
          </w:p>
        </w:tc>
        <w:tc>
          <w:tcPr>
            <w:tcW w:type="dxa" w:w="2484"/>
            <w:tcMar>
              <w:top w:w="80" w:type="dxa"/>
              <w:bottom w:w="80" w:type="dxa"/>
              <w:left w:w="100" w:type="dxa"/>
              <w:right w:w="100" w:type="dxa"/>
            </w:tcMar>
            <w:shd w:fill="F3F4F6"/>
          </w:tcPr>
          <w:p>
            <w:pPr>
              <w:spacing w:after="0"/>
            </w:pPr>
            <w:r>
              <w:rPr>
                <w:sz w:val="19"/>
              </w:rPr>
              <w:t>Muted / Desaturated Colors:</w:t>
              <w:br/>
              <w:t>Soft, understated, editorial, vintage (e.g., 'TRACK 09' terracotta poster).</w:t>
            </w:r>
          </w:p>
        </w:tc>
        <w:tc>
          <w:tcPr>
            <w:tcW w:type="dxa" w:w="2484"/>
            <w:tcMar>
              <w:top w:w="80" w:type="dxa"/>
              <w:bottom w:w="80" w:type="dxa"/>
              <w:left w:w="100" w:type="dxa"/>
              <w:right w:w="100" w:type="dxa"/>
            </w:tcMar>
            <w:shd w:fill="F3F4F6"/>
          </w:tcPr>
          <w:p>
            <w:pPr>
              <w:spacing w:after="0"/>
            </w:pPr>
            <w:r>
              <w:rPr>
                <w:sz w:val="19"/>
              </w:rPr>
              <w:t>In Adobe Illustrator, fine-tune intensity via Edit &gt; Edit Colors &gt; Adjust Saturation (Saturate).</w:t>
            </w:r>
          </w:p>
        </w:tc>
      </w:tr>
    </w:tbl>
    <w:p/>
    <w:p>
      <w:pPr>
        <w:spacing w:before="240" w:after="120"/>
      </w:pPr>
      <w:r>
        <w:rPr>
          <w:rFonts w:ascii="Calibri" w:hAnsi="Calibri"/>
          <w:b/>
          <w:color w:val="1F2937"/>
          <w:sz w:val="26"/>
        </w:rPr>
        <w:t>Principle 5: Choose One Dominant Color (The Armin Hofmann Swiss Style Method)</w:t>
      </w:r>
    </w:p>
    <w:p>
      <w:r>
        <w:t>Pioneered by legendary Swiss graphic designer Armin Hofmann, this discipline combines a monochromatic base with a single surgical strike of color:</w:t>
      </w:r>
    </w:p>
    <w:p>
      <w:pPr>
        <w:pStyle w:val="ListBullet"/>
        <w:spacing w:after="80"/>
      </w:pPr>
      <w:r>
        <w:rPr>
          <w:b/>
          <w:color w:val="111827"/>
        </w:rPr>
        <w:t xml:space="preserve">The Formula: </w:t>
      </w:r>
      <w:r>
        <w:rPr>
          <w:color w:val="222222"/>
        </w:rPr>
        <w:t>Build 90% of the layout using two achromatic base tones (typically pure black and pure white, or charcoal and light gray), then introduce one dominant color (such as crimson red) exclusively on the single most important element.</w:t>
      </w:r>
    </w:p>
    <w:p>
      <w:pPr>
        <w:pStyle w:val="ListBullet"/>
        <w:spacing w:after="80"/>
      </w:pPr>
      <w:r>
        <w:rPr>
          <w:b/>
          <w:color w:val="111827"/>
        </w:rPr>
        <w:t xml:space="preserve">Real-World Examples: </w:t>
      </w:r>
      <w:r>
        <w:rPr>
          <w:color w:val="222222"/>
        </w:rPr>
        <w:t>Hofmann's black-and-white hand poster with a tiny red text block; the Japanese 'Oppenheimer' poster pairing a monochrome portrait with a red katakana title; and the 'WICK IS PAIN' poster pairing black-and-white photography with giant red headline typography.</w:t>
      </w:r>
    </w:p>
    <w:p>
      <w:pPr>
        <w:spacing w:before="240" w:after="120"/>
      </w:pPr>
      <w:r>
        <w:rPr>
          <w:rFonts w:ascii="Calibri" w:hAnsi="Calibri"/>
          <w:b/>
          <w:color w:val="1F2937"/>
          <w:sz w:val="26"/>
        </w:rPr>
        <w:t>Principle 6: Use Neutral Backgrounds Smartly as a Time-Saver</w:t>
      </w:r>
    </w:p>
    <w:p>
      <w:r>
        <w:t>When undecided on a background color, professional designers rely on three versatile neutrals: Pure White (#FFFFFF), Soft Cool Gray (#EAEAEA), and Warm Cream/Beige (#FFF3D6).</w:t>
      </w:r>
    </w:p>
    <w:p>
      <w:pPr>
        <w:pStyle w:val="ListBullet"/>
        <w:spacing w:after="80"/>
      </w:pPr>
      <w:r>
        <w:rPr>
          <w:b/>
          <w:color w:val="111827"/>
        </w:rPr>
        <w:t xml:space="preserve">Why Neutrals Work: </w:t>
      </w:r>
      <w:r>
        <w:rPr>
          <w:color w:val="222222"/>
        </w:rPr>
        <w:t>Neutral backgrounds eliminate chromatic competition, allowing saturated foreground subjects—such as bright red, royal blue, metallic chrome, or deep black—to pop with zero friction.</w:t>
      </w:r>
    </w:p>
    <w:p>
      <w:pPr>
        <w:pStyle w:val="ListBullet"/>
        <w:spacing w:after="80"/>
      </w:pPr>
      <w:r>
        <w:rPr>
          <w:b/>
          <w:color w:val="111827"/>
        </w:rPr>
        <w:t xml:space="preserve">Speed &amp; Reliability: </w:t>
      </w:r>
      <w:r>
        <w:rPr>
          <w:color w:val="222222"/>
        </w:rPr>
        <w:t>Starting with a neutral canvas is a proven time-saver when working under tight deadlines or integrating complex photography.</w:t>
      </w:r>
    </w:p>
    <w:p>
      <w:pPr>
        <w:spacing w:before="320" w:after="120"/>
        <w:pBdr>
          <w:bottom w:val="single" w:sz="8" w:space="4" w:color="C61818"/>
        </w:pBdr>
      </w:pPr>
      <w:r>
        <w:rPr>
          <w:rFonts w:ascii="Calibri" w:hAnsi="Calibri"/>
          <w:b/>
          <w:color w:val="C61818"/>
          <w:sz w:val="32"/>
        </w:rPr>
        <w:t>4. Production Workflow: Designing a Unified 3-Color Poster in Photoshop</w:t>
      </w:r>
    </w:p>
    <w:p>
      <w:r>
        <w:t>The second half of the video (05:47–11:31) demonstrates a complete end-to-end workflow in Adobe Photoshop for creating a cohesive 3-color sports poster ('NIKE'), even when starting with multi-colored stock photography.</w:t>
      </w:r>
    </w:p>
    <w:p>
      <w:pPr>
        <w:pStyle w:val="ListBullet"/>
        <w:spacing w:after="80"/>
      </w:pPr>
      <w:r>
        <w:rPr>
          <w:b/>
          <w:color w:val="111827"/>
        </w:rPr>
        <w:t xml:space="preserve">Step 1: Document &amp; Canvas Setup (05:52) — </w:t>
      </w:r>
      <w:r>
        <w:rPr>
          <w:color w:val="222222"/>
        </w:rPr>
        <w:t>Create a new artboard in Photoshop set to 800 x 1132 pixels (vertical poster ratio), 200 PPI resolution, RGB 16-bit color mode. Create a new layer and fill the background with solid Black (#000000) using the Paint Bucket Tool (G).</w:t>
      </w:r>
    </w:p>
    <w:p>
      <w:pPr>
        <w:pStyle w:val="ListBullet"/>
        <w:spacing w:after="80"/>
      </w:pPr>
      <w:r>
        <w:rPr>
          <w:b/>
          <w:color w:val="111827"/>
        </w:rPr>
        <w:t xml:space="preserve">Step 2: Primary Subject Isolation &amp; Placement (06:15) — </w:t>
      </w:r>
      <w:r>
        <w:rPr>
          <w:color w:val="222222"/>
        </w:rPr>
        <w:t>Import a cutout subject (basketball player with background removed) and center it in the lower two-thirds of the canvas as the primary visual anchor.</w:t>
      </w:r>
    </w:p>
    <w:p>
      <w:pPr>
        <w:pStyle w:val="ListBullet"/>
        <w:spacing w:after="80"/>
      </w:pPr>
      <w:r>
        <w:rPr>
          <w:b/>
          <w:color w:val="111827"/>
        </w:rPr>
        <w:t xml:space="preserve">Step 3: Oversized Display Typography &amp; Vector Point Alignment (06:26) — </w:t>
      </w:r>
      <w:r>
        <w:rPr>
          <w:color w:val="222222"/>
        </w:rPr>
        <w:t>Type 'NIKE' in an ultra-condensed blocky typeface ('Fit' font) across the top of the canvas and place the layer behind the player. Right-click the text layer and select 'Convert to Shape'. Use the Direct Selection Tool (A) to select the bottom anchor points of individual letters and Shift-drag them vertically so the base of the letters rests cleanly against the athlete's shoulders. Apply a bright Red Color Overlay via Layer Styles.</w:t>
      </w:r>
    </w:p>
    <w:p>
      <w:pPr>
        <w:pStyle w:val="ListBullet"/>
        <w:spacing w:after="80"/>
      </w:pPr>
      <w:r>
        <w:rPr>
          <w:b/>
          <w:color w:val="111827"/>
        </w:rPr>
        <w:t xml:space="preserve">Step 4: 5x5 Modular Grid &amp; Secondary Copy Alignment (07:40) — </w:t>
      </w:r>
      <w:r>
        <w:rPr>
          <w:color w:val="222222"/>
        </w:rPr>
        <w:t>Go to View &gt; Guides &gt; New Guide Layout and configure a 5-Column by 5-Row grid with 4 px Gutters and 25 px Margins on all sides (save as a reusable preset). Add secondary motivational copy on the left and right flanks using the condensed font 'Heather Green' in matching red, snapping left-aligned and right-aligned text blocks precisely to the grid columns.</w:t>
      </w:r>
    </w:p>
    <w:p>
      <w:pPr>
        <w:pStyle w:val="ListBullet"/>
        <w:spacing w:after="80"/>
      </w:pPr>
      <w:r>
        <w:rPr>
          <w:b/>
          <w:color w:val="111827"/>
        </w:rPr>
        <w:t xml:space="preserve">Step 5: Framed Secondary Action Photos via Clipping Masks (08:46) — </w:t>
      </w:r>
      <w:r>
        <w:rPr>
          <w:color w:val="222222"/>
        </w:rPr>
        <w:t>Draw rectangular frames behind the main subject using the Rectangular Marquee Tool (M) on a new layer and fill them with White. Place secondary action photos above each rectangle layer and Alt-click (Option-click) between the layers to create a Clipping Mask, scaling the images proportionally with Alt+Shift+Drag. Add small editorial details (such as a corner barcode) for polish.</w:t>
      </w:r>
    </w:p>
    <w:p>
      <w:pPr>
        <w:pStyle w:val="ListBullet"/>
        <w:spacing w:after="80"/>
      </w:pPr>
      <w:r>
        <w:rPr>
          <w:b/>
          <w:color w:val="111827"/>
        </w:rPr>
        <w:t xml:space="preserve">Step 6: Unifying Mixed Colors with a Gradient Map Adjustment Layer (09:46) — </w:t>
      </w:r>
      <w:r>
        <w:rPr>
          <w:color w:val="222222"/>
        </w:rPr>
        <w:t>To eliminate competing photo colors (such as cyan rim lights and varied skin tones) and lock the entire poster into a strict 3-color theme, add a 'Gradient Map' Adjustment Layer at the top of the layer stack. Select a dark-to-warm tritone gradient (Black shadows &gt; Red midtones &gt; Yellow/Gold highlights) and fine-tune the gradient stops so every photograph and text element blends into a single unified palette.</w:t>
      </w:r>
    </w:p>
    <w:p>
      <w:pPr>
        <w:pStyle w:val="ListBullet"/>
        <w:spacing w:after="80"/>
      </w:pPr>
      <w:r>
        <w:rPr>
          <w:b/>
          <w:color w:val="111827"/>
        </w:rPr>
        <w:t xml:space="preserve">Step 7: Adding Tactile Vintage Grain via Smart Object Camera Raw Filter (10:45) — </w:t>
      </w:r>
      <w:r>
        <w:rPr>
          <w:color w:val="222222"/>
        </w:rPr>
        <w:t>Create a Solid Color fill layer set to mid-tone Gray (#666666), right-click it, and choose 'Convert to Smart Object'. Navigate to Filter &gt; Camera Raw Filter &gt; Effects, boost Grain (~65–72), lower Size (~18), and adjust Roughness (~36). Set the layer's Blend Mode to 'Overlay' and reduce Opacity to ~59% to impart a cohesive, screen-printed poster texture.</w:t>
      </w:r>
    </w:p>
    <w:p>
      <w:pPr>
        <w:spacing w:before="320" w:after="120"/>
        <w:pBdr>
          <w:bottom w:val="single" w:sz="8" w:space="4" w:color="C61818"/>
        </w:pBdr>
      </w:pPr>
      <w:r>
        <w:rPr>
          <w:rFonts w:ascii="Calibri" w:hAnsi="Calibri"/>
          <w:b/>
          <w:color w:val="C61818"/>
          <w:sz w:val="32"/>
        </w:rPr>
        <w:t>5. Designer's Pre-Flight Color Audit Checklist</w:t>
      </w:r>
    </w:p>
    <w:p>
      <w:pPr>
        <w:pStyle w:val="ListBullet"/>
        <w:spacing w:after="80"/>
      </w:pPr>
      <w:r>
        <w:rPr>
          <w:b/>
          <w:color w:val="111827"/>
        </w:rPr>
        <w:t xml:space="preserve">[  ] Hierarchy Check (60-30-10): </w:t>
      </w:r>
      <w:r>
        <w:rPr>
          <w:color w:val="222222"/>
        </w:rPr>
        <w:t>Can a viewer immediately tell which color is the 60% background, which is the 30% structure, and which is the 10% focal accent?</w:t>
      </w:r>
    </w:p>
    <w:p>
      <w:pPr>
        <w:pStyle w:val="ListBullet"/>
        <w:spacing w:after="80"/>
      </w:pPr>
      <w:r>
        <w:rPr>
          <w:b/>
          <w:color w:val="111827"/>
        </w:rPr>
        <w:t xml:space="preserve">[  ] Palette Restraint Check: </w:t>
      </w:r>
      <w:r>
        <w:rPr>
          <w:color w:val="222222"/>
        </w:rPr>
        <w:t>Does the layout use 3 or fewer core colors? If photography introduces extra hues, have you unified them with a Gradient Map or duotone treatment?</w:t>
      </w:r>
    </w:p>
    <w:p>
      <w:pPr>
        <w:pStyle w:val="ListBullet"/>
        <w:spacing w:after="80"/>
      </w:pPr>
      <w:r>
        <w:rPr>
          <w:b/>
          <w:color w:val="111827"/>
        </w:rPr>
        <w:t xml:space="preserve">[  ] Context &amp; Contrast Illusion Check: </w:t>
      </w:r>
      <w:r>
        <w:rPr>
          <w:color w:val="222222"/>
        </w:rPr>
        <w:t>Do mid-tone elements and typography maintain strong luminance separation against their immediate background?</w:t>
      </w:r>
    </w:p>
    <w:p>
      <w:pPr>
        <w:pStyle w:val="ListBullet"/>
        <w:spacing w:after="80"/>
      </w:pPr>
      <w:r>
        <w:rPr>
          <w:b/>
          <w:color w:val="111827"/>
        </w:rPr>
        <w:t xml:space="preserve">[  ] Intentional Mood &amp; CTA Check: </w:t>
      </w:r>
      <w:r>
        <w:rPr>
          <w:color w:val="222222"/>
        </w:rPr>
        <w:t>Does the background lightness/temperature match the brand goal, and do interactive CTAs use a contrasting warm/saturated hue to stand out?</w:t>
      </w:r>
    </w:p>
    <w:p>
      <w:pPr>
        <w:pStyle w:val="ListBullet"/>
        <w:spacing w:after="80"/>
      </w:pPr>
      <w:r>
        <w:rPr>
          <w:b/>
          <w:color w:val="111827"/>
        </w:rPr>
        <w:t xml:space="preserve">[  ] Neutral Fallback Check: </w:t>
      </w:r>
      <w:r>
        <w:rPr>
          <w:color w:val="222222"/>
        </w:rPr>
        <w:t>If a colored background feels overwhelming, have you tested Pure White, Soft Cool Gray, or Warm Cream to let the foreground elements breathe?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