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2E1A47"/>
            <w:tcMar>
              <w:top w:w="220" w:type="dxa"/>
              <w:bottom w:w="220" w:type="dxa"/>
              <w:left w:w="220" w:type="dxa"/>
              <w:right w:w="220" w:type="dxa"/>
            </w:tcMar>
          </w:tcPr>
          <w:p>
            <w:pPr>
              <w:spacing w:after="80"/>
              <w:jc w:val="left"/>
            </w:pPr>
            <w:r>
              <w:rPr>
                <w:b/>
                <w:color w:val="D6BCFA"/>
                <w:sz w:val="19"/>
              </w:rPr>
              <w:t>UI/UX DESIGN SYSTEM &amp; PRODUCT PAGE STANDARDS</w:t>
              <w:br/>
            </w:r>
            <w:r>
              <w:rPr>
                <w:b/>
                <w:color w:val="FFFFFF"/>
                <w:sz w:val="40"/>
              </w:rPr>
              <w:t>E-Commerce UI/UX Design Best Principles Guideline</w:t>
              <w:br/>
            </w:r>
            <w:r>
              <w:rPr>
                <w:color w:val="E2E8F0"/>
                <w:sz w:val="21"/>
              </w:rPr>
              <w:t>Comprehensive Visual &amp; Verbal Analysis distilled from uxpeak's Product Page Redesign Case Study</w:t>
            </w:r>
          </w:p>
        </w:tc>
      </w:tr>
    </w:tbl>
    <w:p>
      <w:pPr>
        <w:spacing w:after="80"/>
      </w:pPr>
    </w:p>
    <w:p>
      <w:pPr>
        <w:spacing w:before="320" w:after="120"/>
        <w:pBdr>
          <w:bottom w:val="single" w:sz="8" w:space="4" w:color="D6BCFA"/>
        </w:pBdr>
      </w:pPr>
      <w:r>
        <w:rPr>
          <w:rFonts w:ascii="Calibri" w:hAnsi="Calibri"/>
          <w:b/>
          <w:color w:val="3B1D82"/>
          <w:sz w:val="32"/>
        </w:rPr>
        <w:t>1. Core Design Philosophy: Systems Over Single Screens</w:t>
      </w:r>
    </w:p>
    <w:p>
      <w:r>
        <w:t>Great UI/UX design is not about making a single isolated mockup look attractive; it is about engineering a scalable product system that builds user trust, reduces cognitive load, and removes friction across the entire buying journey. Every visual decision—from icon containers and photography art direction to spacing proximity and sticky purchase controls—must answer three fundamental user questions effortlessly:</w:t>
      </w:r>
    </w:p>
    <w:p>
      <w:pPr>
        <w:spacing w:after="60"/>
        <w:ind w:left="360"/>
      </w:pPr>
      <w:r>
        <w:rPr>
          <w:b/>
          <w:color w:val="3B1D82"/>
        </w:rPr>
        <w:t>1. Identity: What is this product, and does it match my expectations?</w:t>
      </w:r>
    </w:p>
    <w:p>
      <w:pPr>
        <w:spacing w:after="60"/>
        <w:ind w:left="360"/>
      </w:pPr>
      <w:r>
        <w:rPr>
          <w:b/>
          <w:color w:val="3B1D82"/>
        </w:rPr>
        <w:t>2. Trust &amp; Value: Is it high quality, do other buyers trust it, and how much does it cost?</w:t>
      </w:r>
    </w:p>
    <w:p>
      <w:pPr>
        <w:spacing w:after="60"/>
        <w:ind w:left="360"/>
      </w:pPr>
      <w:r>
        <w:rPr>
          <w:b/>
          <w:color w:val="3B1D82"/>
        </w:rPr>
        <w:t>3. Actionability: How easily and confidently can I select my desired quantity and complete my purchase?</w:t>
      </w:r>
    </w:p>
    <w:tbl>
      <w:tblPr>
        <w:tblW w:type="auto" w:w="0"/>
        <w:jc w:val="center"/>
        <w:tblLook w:firstColumn="1" w:firstRow="1" w:lastColumn="0" w:lastRow="0" w:noHBand="0" w:noVBand="1" w:val="04A0"/>
      </w:tblPr>
      <w:tblGrid>
        <w:gridCol w:w="9936"/>
      </w:tblGrid>
      <w:tr>
        <w:tc>
          <w:tcPr>
            <w:tcW w:type="dxa" w:w="9936"/>
            <w:shd w:fill="F3E8FF"/>
            <w:tcMar>
              <w:top w:w="140" w:type="dxa"/>
              <w:bottom w:w="140" w:type="dxa"/>
              <w:left w:w="180" w:type="dxa"/>
              <w:right w:w="180" w:type="dxa"/>
            </w:tcMar>
            <w:tcBorders>
              <w:top w:val="none" w:sz="0" w:space="0" w:color="auto"/>
              <w:left w:val="single" w:sz="24" w:space="0" w:color="6B46C1"/>
              <w:bottom w:val="none" w:sz="0" w:space="0" w:color="auto"/>
              <w:right w:val="none" w:sz="0" w:space="0" w:color="auto"/>
            </w:tcBorders>
          </w:tcPr>
          <w:p>
            <w:pPr>
              <w:spacing w:after="40"/>
            </w:pPr>
            <w:r>
              <w:rPr>
                <w:b/>
                <w:color w:val="3B1D82"/>
                <w:sz w:val="22"/>
              </w:rPr>
              <w:t>Foundational Golden Rule</w:t>
              <w:br/>
            </w:r>
            <w:r>
              <w:rPr>
                <w:color w:val="2D3748"/>
                <w:sz w:val="20"/>
              </w:rPr>
              <w:t>"Design for systems, not screens. Strong product design is not just about fixing what is broken or making a screen look nicer—it is about placing information where the user needs it most and making the entire buying experience feel effortless."</w:t>
            </w:r>
          </w:p>
        </w:tc>
      </w:tr>
    </w:tbl>
    <w:p>
      <w:pPr>
        <w:spacing w:after="40"/>
      </w:pPr>
    </w:p>
    <w:p>
      <w:pPr>
        <w:spacing w:before="320" w:after="120"/>
        <w:pBdr>
          <w:bottom w:val="single" w:sz="8" w:space="4" w:color="D6BCFA"/>
        </w:pBdr>
      </w:pPr>
      <w:r>
        <w:rPr>
          <w:rFonts w:ascii="Calibri" w:hAnsi="Calibri"/>
          <w:b/>
          <w:color w:val="3B1D82"/>
          <w:sz w:val="32"/>
        </w:rPr>
        <w:t>2. Case Study Transformation: 'Disaster' vs. System-Ready UI</w:t>
      </w:r>
    </w:p>
    <w:p>
      <w:r>
        <w:t>The case study critiques an e-commerce mobile product page for 'Organic Strawberries' (DISASTER_01.png) containing 15 foundational UI/UX mistakes, followed by 3 behavioral UX enhancements.</w:t>
      </w:r>
    </w:p>
    <w:tbl>
      <w:tblPr>
        <w:tblW w:type="auto" w:w="0"/>
        <w:jc w:val="center"/>
        <w:tblLook w:firstColumn="1" w:firstRow="1" w:lastColumn="0" w:lastRow="0" w:noHBand="0" w:noVBand="1" w:val="04A0"/>
      </w:tblPr>
      <w:tblGrid>
        <w:gridCol w:w="3312"/>
        <w:gridCol w:w="3312"/>
        <w:gridCol w:w="3312"/>
      </w:tblGrid>
      <w:tr>
        <w:tc>
          <w:tcPr>
            <w:tcW w:type="dxa" w:w="3312"/>
            <w:shd w:fill="3B1D82"/>
            <w:tcMar>
              <w:top w:w="100" w:type="dxa"/>
              <w:bottom w:w="100" w:type="dxa"/>
              <w:left w:w="120" w:type="dxa"/>
              <w:right w:w="120" w:type="dxa"/>
            </w:tcMar>
          </w:tcPr>
          <w:p>
            <w:pPr>
              <w:spacing w:after="0"/>
            </w:pPr>
            <w:r>
              <w:rPr>
                <w:b/>
                <w:color w:val="FFFFFF"/>
                <w:sz w:val="20"/>
              </w:rPr>
              <w:t>Design Dimension</w:t>
            </w:r>
          </w:p>
        </w:tc>
        <w:tc>
          <w:tcPr>
            <w:tcW w:type="dxa" w:w="3312"/>
            <w:shd w:fill="3B1D82"/>
            <w:tcMar>
              <w:top w:w="100" w:type="dxa"/>
              <w:bottom w:w="100" w:type="dxa"/>
              <w:left w:w="120" w:type="dxa"/>
              <w:right w:w="120" w:type="dxa"/>
            </w:tcMar>
          </w:tcPr>
          <w:p>
            <w:pPr>
              <w:spacing w:after="0"/>
            </w:pPr>
            <w:r>
              <w:rPr>
                <w:b/>
                <w:color w:val="FFFFFF"/>
                <w:sz w:val="20"/>
              </w:rPr>
              <w:t>Original Flawed State (Before)</w:t>
            </w:r>
          </w:p>
        </w:tc>
        <w:tc>
          <w:tcPr>
            <w:tcW w:type="dxa" w:w="3312"/>
            <w:shd w:fill="3B1D82"/>
            <w:tcMar>
              <w:top w:w="100" w:type="dxa"/>
              <w:bottom w:w="100" w:type="dxa"/>
              <w:left w:w="120" w:type="dxa"/>
              <w:right w:w="120" w:type="dxa"/>
            </w:tcMar>
          </w:tcPr>
          <w:p>
            <w:pPr>
              <w:spacing w:after="0"/>
            </w:pPr>
            <w:r>
              <w:rPr>
                <w:b/>
                <w:color w:val="FFFFFF"/>
                <w:sz w:val="20"/>
              </w:rPr>
              <w:t>Redesigned System State (After)</w:t>
            </w:r>
          </w:p>
        </w:tc>
      </w:tr>
      <w:tr>
        <w:tc>
          <w:tcPr>
            <w:tcW w:type="dxa" w:w="3312"/>
            <w:shd w:fill="F8FAFC"/>
            <w:tcMar>
              <w:top w:w="80" w:type="dxa"/>
              <w:bottom w:w="80" w:type="dxa"/>
              <w:left w:w="120" w:type="dxa"/>
              <w:right w:w="120" w:type="dxa"/>
            </w:tcMar>
          </w:tcPr>
          <w:p>
            <w:pPr>
              <w:spacing w:after="0"/>
            </w:pPr>
            <w:r>
              <w:rPr>
                <w:b/>
                <w:color w:val="1E293B"/>
                <w:sz w:val="19"/>
              </w:rPr>
              <w:t>Top Navigation Icons</w:t>
            </w:r>
          </w:p>
        </w:tc>
        <w:tc>
          <w:tcPr>
            <w:tcW w:type="dxa" w:w="3312"/>
            <w:shd w:fill="F8FAFC"/>
            <w:tcMar>
              <w:top w:w="80" w:type="dxa"/>
              <w:bottom w:w="80" w:type="dxa"/>
              <w:left w:w="120" w:type="dxa"/>
              <w:right w:w="120" w:type="dxa"/>
            </w:tcMar>
          </w:tcPr>
          <w:p>
            <w:pPr>
              <w:spacing w:after="0"/>
            </w:pPr>
            <w:r>
              <w:rPr>
                <w:sz w:val="19"/>
              </w:rPr>
              <w:t>White icons placed directly over full-bleed photos; invisible on bright images.</w:t>
            </w:r>
          </w:p>
        </w:tc>
        <w:tc>
          <w:tcPr>
            <w:tcW w:type="dxa" w:w="3312"/>
            <w:shd w:fill="F8FAFC"/>
            <w:tcMar>
              <w:top w:w="80" w:type="dxa"/>
              <w:bottom w:w="80" w:type="dxa"/>
              <w:left w:w="120" w:type="dxa"/>
              <w:right w:w="120" w:type="dxa"/>
            </w:tcMar>
          </w:tcPr>
          <w:p>
            <w:pPr>
              <w:spacing w:after="0"/>
            </w:pPr>
            <w:r>
              <w:rPr>
                <w:sz w:val="19"/>
              </w:rPr>
              <w:t>High-contrast dark icons inside circular white containers with subtle thin outlines.</w:t>
            </w:r>
          </w:p>
        </w:tc>
      </w:tr>
      <w:tr>
        <w:tc>
          <w:tcPr>
            <w:tcW w:type="dxa" w:w="3312"/>
            <w:shd w:fill="FFFFFF"/>
            <w:tcMar>
              <w:top w:w="80" w:type="dxa"/>
              <w:bottom w:w="80" w:type="dxa"/>
              <w:left w:w="120" w:type="dxa"/>
              <w:right w:w="120" w:type="dxa"/>
            </w:tcMar>
          </w:tcPr>
          <w:p>
            <w:pPr>
              <w:spacing w:after="0"/>
            </w:pPr>
            <w:r>
              <w:rPr>
                <w:b/>
                <w:color w:val="1E293B"/>
                <w:sz w:val="19"/>
              </w:rPr>
              <w:t>Product Photography</w:t>
            </w:r>
          </w:p>
        </w:tc>
        <w:tc>
          <w:tcPr>
            <w:tcW w:type="dxa" w:w="3312"/>
            <w:shd w:fill="FFFFFF"/>
            <w:tcMar>
              <w:top w:w="80" w:type="dxa"/>
              <w:bottom w:w="80" w:type="dxa"/>
              <w:left w:w="120" w:type="dxa"/>
              <w:right w:w="120" w:type="dxa"/>
            </w:tcMar>
          </w:tcPr>
          <w:p>
            <w:pPr>
              <w:spacing w:after="0"/>
            </w:pPr>
            <w:r>
              <w:rPr>
                <w:sz w:val="19"/>
              </w:rPr>
              <w:t>Full-frame close-up of strawberries with no focal point or catalog consistency.</w:t>
            </w:r>
          </w:p>
        </w:tc>
        <w:tc>
          <w:tcPr>
            <w:tcW w:type="dxa" w:w="3312"/>
            <w:shd w:fill="FFFFFF"/>
            <w:tcMar>
              <w:top w:w="80" w:type="dxa"/>
              <w:bottom w:w="80" w:type="dxa"/>
              <w:left w:w="120" w:type="dxa"/>
              <w:right w:w="120" w:type="dxa"/>
            </w:tcMar>
          </w:tcPr>
          <w:p>
            <w:pPr>
              <w:spacing w:after="0"/>
            </w:pPr>
            <w:r>
              <w:rPr>
                <w:sz w:val="19"/>
              </w:rPr>
              <w:t>Strawberries in a natural woven basket on a clean, neutral background that scales across a grid.</w:t>
            </w:r>
          </w:p>
        </w:tc>
      </w:tr>
      <w:tr>
        <w:tc>
          <w:tcPr>
            <w:tcW w:type="dxa" w:w="3312"/>
            <w:shd w:fill="F8FAFC"/>
            <w:tcMar>
              <w:top w:w="80" w:type="dxa"/>
              <w:bottom w:w="80" w:type="dxa"/>
              <w:left w:w="120" w:type="dxa"/>
              <w:right w:w="120" w:type="dxa"/>
            </w:tcMar>
          </w:tcPr>
          <w:p>
            <w:pPr>
              <w:spacing w:after="0"/>
            </w:pPr>
            <w:r>
              <w:rPr>
                <w:b/>
                <w:color w:val="1E293B"/>
                <w:sz w:val="19"/>
              </w:rPr>
              <w:t>Grid &amp; Alignment</w:t>
            </w:r>
          </w:p>
        </w:tc>
        <w:tc>
          <w:tcPr>
            <w:tcW w:type="dxa" w:w="3312"/>
            <w:shd w:fill="F8FAFC"/>
            <w:tcMar>
              <w:top w:w="80" w:type="dxa"/>
              <w:bottom w:w="80" w:type="dxa"/>
              <w:left w:w="120" w:type="dxa"/>
              <w:right w:w="120" w:type="dxa"/>
            </w:tcMar>
          </w:tcPr>
          <w:p>
            <w:pPr>
              <w:spacing w:after="0"/>
            </w:pPr>
            <w:r>
              <w:rPr>
                <w:sz w:val="19"/>
              </w:rPr>
              <w:t>Ragged left/right margins (2px to 13px off) and erratic vertical gaps (55px–80px).</w:t>
            </w:r>
          </w:p>
        </w:tc>
        <w:tc>
          <w:tcPr>
            <w:tcW w:type="dxa" w:w="3312"/>
            <w:shd w:fill="F8FAFC"/>
            <w:tcMar>
              <w:top w:w="80" w:type="dxa"/>
              <w:bottom w:w="80" w:type="dxa"/>
              <w:left w:w="120" w:type="dxa"/>
              <w:right w:w="120" w:type="dxa"/>
            </w:tcMar>
          </w:tcPr>
          <w:p>
            <w:pPr>
              <w:spacing w:after="0"/>
            </w:pPr>
            <w:r>
              <w:rPr>
                <w:sz w:val="19"/>
              </w:rPr>
              <w:t>Strict 24px side margins and harmonized vertical section rhythm.</w:t>
            </w:r>
          </w:p>
        </w:tc>
      </w:tr>
      <w:tr>
        <w:tc>
          <w:tcPr>
            <w:tcW w:type="dxa" w:w="3312"/>
            <w:shd w:fill="FFFFFF"/>
            <w:tcMar>
              <w:top w:w="80" w:type="dxa"/>
              <w:bottom w:w="80" w:type="dxa"/>
              <w:left w:w="120" w:type="dxa"/>
              <w:right w:w="120" w:type="dxa"/>
            </w:tcMar>
          </w:tcPr>
          <w:p>
            <w:pPr>
              <w:spacing w:after="0"/>
            </w:pPr>
            <w:r>
              <w:rPr>
                <w:b/>
                <w:color w:val="1E293B"/>
                <w:sz w:val="19"/>
              </w:rPr>
              <w:t>Color Palette &amp; Contrast</w:t>
            </w:r>
          </w:p>
        </w:tc>
        <w:tc>
          <w:tcPr>
            <w:tcW w:type="dxa" w:w="3312"/>
            <w:shd w:fill="FFFFFF"/>
            <w:tcMar>
              <w:top w:w="80" w:type="dxa"/>
              <w:bottom w:w="80" w:type="dxa"/>
              <w:left w:w="120" w:type="dxa"/>
              <w:right w:w="120" w:type="dxa"/>
            </w:tcMar>
          </w:tcPr>
          <w:p>
            <w:pPr>
              <w:spacing w:after="0"/>
            </w:pPr>
            <w:r>
              <w:rPr>
                <w:sz w:val="19"/>
              </w:rPr>
              <w:t>Oversaturated neon green CTA (1.64:1 contrast ratio) and competing bright icon colors.</w:t>
            </w:r>
          </w:p>
        </w:tc>
        <w:tc>
          <w:tcPr>
            <w:tcW w:type="dxa" w:w="3312"/>
            <w:shd w:fill="FFFFFF"/>
            <w:tcMar>
              <w:top w:w="80" w:type="dxa"/>
              <w:bottom w:w="80" w:type="dxa"/>
              <w:left w:w="120" w:type="dxa"/>
              <w:right w:w="120" w:type="dxa"/>
            </w:tcMar>
          </w:tcPr>
          <w:p>
            <w:pPr>
              <w:spacing w:after="0"/>
            </w:pPr>
            <w:r>
              <w:rPr>
                <w:sz w:val="19"/>
              </w:rPr>
              <w:t>Earthy, natural olive-green primary accent, muted berry discount badge, and neutral secondary tones.</w:t>
            </w:r>
          </w:p>
        </w:tc>
      </w:tr>
      <w:tr>
        <w:tc>
          <w:tcPr>
            <w:tcW w:type="dxa" w:w="3312"/>
            <w:shd w:fill="F8FAFC"/>
            <w:tcMar>
              <w:top w:w="80" w:type="dxa"/>
              <w:bottom w:w="80" w:type="dxa"/>
              <w:left w:w="120" w:type="dxa"/>
              <w:right w:w="120" w:type="dxa"/>
            </w:tcMar>
          </w:tcPr>
          <w:p>
            <w:pPr>
              <w:spacing w:after="0"/>
            </w:pPr>
            <w:r>
              <w:rPr>
                <w:b/>
                <w:color w:val="1E293B"/>
                <w:sz w:val="19"/>
              </w:rPr>
              <w:t>Typography System</w:t>
            </w:r>
          </w:p>
        </w:tc>
        <w:tc>
          <w:tcPr>
            <w:tcW w:type="dxa" w:w="3312"/>
            <w:shd w:fill="F8FAFC"/>
            <w:tcMar>
              <w:top w:w="80" w:type="dxa"/>
              <w:bottom w:w="80" w:type="dxa"/>
              <w:left w:w="120" w:type="dxa"/>
              <w:right w:w="120" w:type="dxa"/>
            </w:tcMar>
          </w:tcPr>
          <w:p>
            <w:pPr>
              <w:spacing w:after="0"/>
            </w:pPr>
            <w:r>
              <w:rPr>
                <w:sz w:val="19"/>
              </w:rPr>
              <w:t>4 inconsistent weights of Mulish with cramped uppercase labels and pure-black body copy.</w:t>
            </w:r>
          </w:p>
        </w:tc>
        <w:tc>
          <w:tcPr>
            <w:tcW w:type="dxa" w:w="3312"/>
            <w:shd w:fill="F8FAFC"/>
            <w:tcMar>
              <w:top w:w="80" w:type="dxa"/>
              <w:bottom w:w="80" w:type="dxa"/>
              <w:left w:w="120" w:type="dxa"/>
              <w:right w:w="120" w:type="dxa"/>
            </w:tcMar>
          </w:tcPr>
          <w:p>
            <w:pPr>
              <w:spacing w:after="0"/>
            </w:pPr>
            <w:r>
              <w:rPr>
                <w:sz w:val="19"/>
              </w:rPr>
              <w:t>Single clean typeface (Lato) with clear size/weight hierarchy, tracked-out labels, and soft charcoal body text.</w:t>
            </w:r>
          </w:p>
        </w:tc>
      </w:tr>
      <w:tr>
        <w:tc>
          <w:tcPr>
            <w:tcW w:type="dxa" w:w="3312"/>
            <w:shd w:fill="FFFFFF"/>
            <w:tcMar>
              <w:top w:w="80" w:type="dxa"/>
              <w:bottom w:w="80" w:type="dxa"/>
              <w:left w:w="120" w:type="dxa"/>
              <w:right w:w="120" w:type="dxa"/>
            </w:tcMar>
          </w:tcPr>
          <w:p>
            <w:pPr>
              <w:spacing w:after="0"/>
            </w:pPr>
            <w:r>
              <w:rPr>
                <w:b/>
                <w:color w:val="1E293B"/>
                <w:sz w:val="19"/>
              </w:rPr>
              <w:t>Information Architecture</w:t>
            </w:r>
          </w:p>
        </w:tc>
        <w:tc>
          <w:tcPr>
            <w:tcW w:type="dxa" w:w="3312"/>
            <w:shd w:fill="FFFFFF"/>
            <w:tcMar>
              <w:top w:w="80" w:type="dxa"/>
              <w:bottom w:w="80" w:type="dxa"/>
              <w:left w:w="120" w:type="dxa"/>
              <w:right w:w="120" w:type="dxa"/>
            </w:tcMar>
          </w:tcPr>
          <w:p>
            <w:pPr>
              <w:spacing w:after="0"/>
            </w:pPr>
            <w:r>
              <w:rPr>
                <w:sz w:val="19"/>
              </w:rPr>
              <w:t>Reviews buried below description; price buried at bottom; '1 kg' hardcoded in title.</w:t>
            </w:r>
          </w:p>
        </w:tc>
        <w:tc>
          <w:tcPr>
            <w:tcW w:type="dxa" w:w="3312"/>
            <w:shd w:fill="FFFFFF"/>
            <w:tcMar>
              <w:top w:w="80" w:type="dxa"/>
              <w:bottom w:w="80" w:type="dxa"/>
              <w:left w:w="120" w:type="dxa"/>
              <w:right w:w="120" w:type="dxa"/>
            </w:tcMar>
          </w:tcPr>
          <w:p>
            <w:pPr>
              <w:spacing w:after="0"/>
            </w:pPr>
            <w:r>
              <w:rPr>
                <w:sz w:val="19"/>
              </w:rPr>
              <w:t>Top summary groups Title + 5-Star Rating + Unit Price ($6.20 per kg) for instant evaluation.</w:t>
            </w:r>
          </w:p>
        </w:tc>
      </w:tr>
      <w:tr>
        <w:tc>
          <w:tcPr>
            <w:tcW w:type="dxa" w:w="3312"/>
            <w:shd w:fill="F8FAFC"/>
            <w:tcMar>
              <w:top w:w="80" w:type="dxa"/>
              <w:bottom w:w="80" w:type="dxa"/>
              <w:left w:w="120" w:type="dxa"/>
              <w:right w:w="120" w:type="dxa"/>
            </w:tcMar>
          </w:tcPr>
          <w:p>
            <w:pPr>
              <w:spacing w:after="0"/>
            </w:pPr>
            <w:r>
              <w:rPr>
                <w:b/>
                <w:color w:val="1E293B"/>
                <w:sz w:val="19"/>
              </w:rPr>
              <w:t>Purchase Controls &amp; Flow</w:t>
            </w:r>
          </w:p>
        </w:tc>
        <w:tc>
          <w:tcPr>
            <w:tcW w:type="dxa" w:w="3312"/>
            <w:shd w:fill="F8FAFC"/>
            <w:tcMar>
              <w:top w:w="80" w:type="dxa"/>
              <w:bottom w:w="80" w:type="dxa"/>
              <w:left w:w="120" w:type="dxa"/>
              <w:right w:w="120" w:type="dxa"/>
            </w:tcMar>
          </w:tcPr>
          <w:p>
            <w:pPr>
              <w:spacing w:after="0"/>
            </w:pPr>
            <w:r>
              <w:rPr>
                <w:sz w:val="19"/>
              </w:rPr>
              <w:t>Shouting all-caps CTA separated from quantity stepper; static layout loses context on scroll.</w:t>
            </w:r>
          </w:p>
        </w:tc>
        <w:tc>
          <w:tcPr>
            <w:tcW w:type="dxa" w:w="3312"/>
            <w:shd w:fill="F8FAFC"/>
            <w:tcMar>
              <w:top w:w="80" w:type="dxa"/>
              <w:bottom w:w="80" w:type="dxa"/>
              <w:left w:w="120" w:type="dxa"/>
              <w:right w:w="120" w:type="dxa"/>
            </w:tcMar>
          </w:tcPr>
          <w:p>
            <w:pPr>
              <w:spacing w:after="0"/>
            </w:pPr>
            <w:r>
              <w:rPr>
                <w:sz w:val="19"/>
              </w:rPr>
              <w:t>Scrollable content card, sticky header title, preset weight chips (0.5–3 kg), and sticky bottom CTA with live total price.</w:t>
            </w:r>
          </w:p>
        </w:tc>
      </w:tr>
    </w:tbl>
    <w:p>
      <w:pPr>
        <w:spacing w:after="120"/>
      </w:pPr>
    </w:p>
    <w:p>
      <w:pPr>
        <w:spacing w:before="320" w:after="120"/>
        <w:pBdr>
          <w:bottom w:val="single" w:sz="8" w:space="4" w:color="D6BCFA"/>
        </w:pBdr>
      </w:pPr>
      <w:r>
        <w:rPr>
          <w:rFonts w:ascii="Calibri" w:hAnsi="Calibri"/>
          <w:b/>
          <w:color w:val="3B1D82"/>
          <w:sz w:val="32"/>
        </w:rPr>
        <w:t>3. The 15 UI/UX Design Principles &amp; Lessons Learned</w:t>
      </w:r>
    </w:p>
    <w:p>
      <w:pPr>
        <w:spacing w:before="240" w:after="80"/>
      </w:pPr>
      <w:r>
        <w:rPr>
          <w:rFonts w:ascii="Calibri" w:hAnsi="Calibri"/>
          <w:b/>
          <w:color w:val="2F5233"/>
          <w:sz w:val="26"/>
        </w:rPr>
        <w:t>Principle 1: Protect Overlay Icons with Adaptive Containers</w:t>
      </w:r>
    </w:p>
    <w:p>
      <w:pPr>
        <w:spacing w:after="60"/>
      </w:pPr>
      <w:r>
        <w:rPr>
          <w:i/>
          <w:color w:val="718096"/>
          <w:sz w:val="19"/>
        </w:rPr>
        <w:t>Video Reference: Mistake #1 — Icons Lost in the Image</w:t>
      </w:r>
    </w:p>
    <w:p>
      <w:pPr>
        <w:spacing w:after="60"/>
        <w:ind w:left="216"/>
      </w:pPr>
      <w:r>
        <w:rPr>
          <w:b/>
          <w:color w:val="C53030"/>
        </w:rPr>
        <w:t xml:space="preserve">The Problem (Visual &amp; UX Flaw): </w:t>
      </w:r>
      <w:r>
        <w:t>Placing bare white navigation icons (back arrow, menu/wishlist) directly over a full-bleed product image only works when the underlying photo happens to be dark. When swapped to a bright product shot (e.g., a pineapple on a white backdrop) or a busy lifestyle photo, the icons vanish.</w:t>
      </w:r>
    </w:p>
    <w:p>
      <w:pPr>
        <w:spacing w:after="160"/>
        <w:ind w:left="216"/>
      </w:pPr>
      <w:r>
        <w:rPr>
          <w:b/>
          <w:color w:val="2F855A"/>
        </w:rPr>
        <w:t xml:space="preserve">Best Practice Guideline: </w:t>
      </w:r>
      <w:r>
        <w:t>Always enclose overlay icons inside a dedicated background container (such as a circular white pill/button), ensure strong icon-to-container contrast, and add a subtle 1px border outline so the control remains legible on any dark, light, or complex image.</w:t>
      </w:r>
    </w:p>
    <w:p>
      <w:pPr>
        <w:spacing w:before="240" w:after="80"/>
      </w:pPr>
      <w:r>
        <w:rPr>
          <w:rFonts w:ascii="Calibri" w:hAnsi="Calibri"/>
          <w:b/>
          <w:color w:val="2F5233"/>
          <w:sz w:val="26"/>
        </w:rPr>
        <w:t>Principle 2: Select Product Imagery for Catalog Systems, Not Isolated Screens</w:t>
      </w:r>
    </w:p>
    <w:p>
      <w:pPr>
        <w:spacing w:after="60"/>
      </w:pPr>
      <w:r>
        <w:rPr>
          <w:i/>
          <w:color w:val="718096"/>
          <w:sz w:val="19"/>
        </w:rPr>
        <w:t>Video Reference: Mistake #2 — The Product Image</w:t>
      </w:r>
    </w:p>
    <w:p>
      <w:pPr>
        <w:spacing w:after="60"/>
        <w:ind w:left="216"/>
      </w:pPr>
      <w:r>
        <w:rPr>
          <w:b/>
          <w:color w:val="C53030"/>
        </w:rPr>
        <w:t xml:space="preserve">The Problem (Visual &amp; UX Flaw): </w:t>
      </w:r>
      <w:r>
        <w:t>Evaluating 6 image candidates (A–F) reveals common pitfalls: Option A (edge-to-edge berries) is too busy with no focal point; Option B (hands holding berries) shifts primary focus to the hands rather than the product; Option C (single berry) creates a mental mismatch when sold by weight; Option D (pink backdrop) feels artificial for organic food; Option E (berries in a basket on a rustic table) looks great alone but creates visual chaos in a multi-product catalog grid where lighting and props clash.</w:t>
      </w:r>
    </w:p>
    <w:p>
      <w:pPr>
        <w:spacing w:after="160"/>
        <w:ind w:left="216"/>
      </w:pPr>
      <w:r>
        <w:rPr>
          <w:b/>
          <w:color w:val="2F855A"/>
        </w:rPr>
        <w:t xml:space="preserve">Best Practice Guideline: </w:t>
      </w:r>
      <w:r>
        <w:t>Use natural presentation on a clean, consistent neutral background (Option F: woven basket on soft off-white). It preserves organic authenticity, keeps the product as the unmistakable focal point, and unifies the entire store catalog.</w:t>
      </w:r>
    </w:p>
    <w:p>
      <w:pPr>
        <w:spacing w:before="240" w:after="80"/>
      </w:pPr>
      <w:r>
        <w:rPr>
          <w:rFonts w:ascii="Calibri" w:hAnsi="Calibri"/>
          <w:b/>
          <w:color w:val="2F5233"/>
          <w:sz w:val="26"/>
        </w:rPr>
        <w:t>Principle 3: Enforce a Strict Layout Grid and Margin Discipline</w:t>
      </w:r>
    </w:p>
    <w:p>
      <w:pPr>
        <w:spacing w:after="60"/>
      </w:pPr>
      <w:r>
        <w:rPr>
          <w:i/>
          <w:color w:val="718096"/>
          <w:sz w:val="19"/>
        </w:rPr>
        <w:t>Video Reference: Mistake #3 — Inconsistent Alignment</w:t>
      </w:r>
    </w:p>
    <w:p>
      <w:pPr>
        <w:spacing w:after="60"/>
        <w:ind w:left="216"/>
      </w:pPr>
      <w:r>
        <w:rPr>
          <w:b/>
          <w:color w:val="C53030"/>
        </w:rPr>
        <w:t xml:space="preserve">The Problem (Visual &amp; UX Flaw): </w:t>
      </w:r>
      <w:r>
        <w:t>Elements drifting 2px left or 13px right—and vertical gaps jumping randomly between 55px, 65px, and 80px—subconsciously erode user trust. Users may not consciously measure pixel offsets, but they immediately feel that the interface is messy and less credible.</w:t>
      </w:r>
    </w:p>
    <w:p>
      <w:pPr>
        <w:spacing w:after="160"/>
        <w:ind w:left="216"/>
      </w:pPr>
      <w:r>
        <w:rPr>
          <w:b/>
          <w:color w:val="2F855A"/>
        </w:rPr>
        <w:t xml:space="preserve">Best Practice Guideline: </w:t>
      </w:r>
      <w:r>
        <w:t>Establish a strict outer margin (e.g., 24px left and right on mobile) and snap every text block, badge, divider, and button to the same vertical grid lines.</w:t>
      </w:r>
    </w:p>
    <w:p>
      <w:pPr>
        <w:spacing w:before="240" w:after="80"/>
      </w:pPr>
      <w:r>
        <w:rPr>
          <w:rFonts w:ascii="Calibri" w:hAnsi="Calibri"/>
          <w:b/>
          <w:color w:val="2F5233"/>
          <w:sz w:val="26"/>
        </w:rPr>
        <w:t>Principle 4: Use Color to Support the Product and Guide Hierarchy</w:t>
      </w:r>
    </w:p>
    <w:p>
      <w:pPr>
        <w:spacing w:after="60"/>
      </w:pPr>
      <w:r>
        <w:rPr>
          <w:i/>
          <w:color w:val="718096"/>
          <w:sz w:val="19"/>
        </w:rPr>
        <w:t>Video Reference: Mistake #4 — Oversaturated &amp; Competing Colors</w:t>
      </w:r>
    </w:p>
    <w:p>
      <w:pPr>
        <w:spacing w:after="60"/>
        <w:ind w:left="216"/>
      </w:pPr>
      <w:r>
        <w:rPr>
          <w:b/>
          <w:color w:val="C53030"/>
        </w:rPr>
        <w:t xml:space="preserve">The Problem (Visual &amp; UX Flaw): </w:t>
      </w:r>
      <w:r>
        <w:t>Neon green buttons (with a failing 1.64:1 white-text contrast ratio) and multi-colored icons overpower the product photo and flatten visual hierarchy because every element shouts for attention simultaneously.</w:t>
      </w:r>
    </w:p>
    <w:p>
      <w:pPr>
        <w:spacing w:after="160"/>
        <w:ind w:left="216"/>
      </w:pPr>
      <w:r>
        <w:rPr>
          <w:b/>
          <w:color w:val="2F855A"/>
        </w:rPr>
        <w:t xml:space="preserve">Best Practice Guideline: </w:t>
      </w:r>
      <w:r>
        <w:t>Apply a three-tier color strategy: (1) Primary focus comes from the natural colors of the product imagery; (2) Secondary UI elements use calm neutrals; (3) Brand/accent colors (such as a natural earthy olive green) are used sparingly for primary actions and key highlights.</w:t>
      </w:r>
    </w:p>
    <w:p>
      <w:pPr>
        <w:spacing w:before="240" w:after="80"/>
      </w:pPr>
      <w:r>
        <w:rPr>
          <w:rFonts w:ascii="Calibri" w:hAnsi="Calibri"/>
          <w:b/>
          <w:color w:val="2F5233"/>
          <w:sz w:val="26"/>
        </w:rPr>
        <w:t>Principle 5: Build Typography Hierarchy with a Single Font Family</w:t>
      </w:r>
    </w:p>
    <w:p>
      <w:pPr>
        <w:spacing w:after="60"/>
      </w:pPr>
      <w:r>
        <w:rPr>
          <w:i/>
          <w:color w:val="718096"/>
          <w:sz w:val="19"/>
        </w:rPr>
        <w:t>Video Reference: Mistake #5 — Inconsistent Font Styles</w:t>
      </w:r>
    </w:p>
    <w:p>
      <w:pPr>
        <w:spacing w:after="60"/>
        <w:ind w:left="216"/>
      </w:pPr>
      <w:r>
        <w:rPr>
          <w:b/>
          <w:color w:val="C53030"/>
        </w:rPr>
        <w:t xml:space="preserve">The Problem (Visual &amp; UX Flaw): </w:t>
      </w:r>
      <w:r>
        <w:t>Mixing multiple weights and styles haphazardly (e.g., Mulish Semibold, Mulish Black, Mulish Medium, Mulish Bold) makes the interface feel fragmented.</w:t>
      </w:r>
    </w:p>
    <w:p>
      <w:pPr>
        <w:spacing w:after="160"/>
        <w:ind w:left="216"/>
      </w:pPr>
      <w:r>
        <w:rPr>
          <w:b/>
          <w:color w:val="2F855A"/>
        </w:rPr>
        <w:t xml:space="preserve">Best Practice Guideline: </w:t>
      </w:r>
      <w:r>
        <w:t>Rely on a single, versatile, high-legibility typeface (such as Lato, Euclid, or Inter). Create clear hierarchy through intentional variations in size, weight, color contrast, and line height rather than adding extra fonts.</w:t>
      </w:r>
    </w:p>
    <w:p>
      <w:pPr>
        <w:spacing w:before="240" w:after="80"/>
      </w:pPr>
      <w:r>
        <w:rPr>
          <w:rFonts w:ascii="Calibri" w:hAnsi="Calibri"/>
          <w:b/>
          <w:color w:val="2F5233"/>
          <w:sz w:val="26"/>
        </w:rPr>
        <w:t>Principle 6: Give Uppercase Labels Breathing Room &amp; Keep Badges Scannable</w:t>
      </w:r>
    </w:p>
    <w:p>
      <w:pPr>
        <w:spacing w:after="60"/>
      </w:pPr>
      <w:r>
        <w:rPr>
          <w:i/>
          <w:color w:val="718096"/>
          <w:sz w:val="19"/>
        </w:rPr>
        <w:t>Video Reference: Mistake #6 — Cramped Labels &amp; Verbose Badges</w:t>
      </w:r>
    </w:p>
    <w:p>
      <w:pPr>
        <w:spacing w:after="60"/>
        <w:ind w:left="216"/>
      </w:pPr>
      <w:r>
        <w:rPr>
          <w:b/>
          <w:color w:val="C53030"/>
        </w:rPr>
        <w:t xml:space="preserve">The Problem (Visual &amp; UX Flaw): </w:t>
      </w:r>
      <w:r>
        <w:t>Small all-caps category labels ('FRUITS') become cramped and hard to read at default tracking. Meanwhile, a badge reading '[%] 20% OFF DISCOUNT' packs an icon and redundant words into a tiny container, stealing attention from the product.</w:t>
      </w:r>
    </w:p>
    <w:p>
      <w:pPr>
        <w:spacing w:after="160"/>
        <w:ind w:left="216"/>
      </w:pPr>
      <w:r>
        <w:rPr>
          <w:b/>
          <w:color w:val="2F855A"/>
        </w:rPr>
        <w:t xml:space="preserve">Best Practice Guideline: </w:t>
      </w:r>
      <w:r>
        <w:t>Add positive letter-spacing (tracking) to small uppercase category labels so they breathe. Strip badges down to their fastest-scanning essence: '20% off' communicates the exact same value instantly without visual clutter.</w:t>
      </w:r>
    </w:p>
    <w:p>
      <w:pPr>
        <w:spacing w:before="240" w:after="80"/>
      </w:pPr>
      <w:r>
        <w:rPr>
          <w:rFonts w:ascii="Calibri" w:hAnsi="Calibri"/>
          <w:b/>
          <w:color w:val="2F5233"/>
          <w:sz w:val="26"/>
        </w:rPr>
        <w:t>Principle 7: Balance Product Title Prominence Without Shouting</w:t>
      </w:r>
    </w:p>
    <w:p>
      <w:pPr>
        <w:spacing w:after="60"/>
      </w:pPr>
      <w:r>
        <w:rPr>
          <w:i/>
          <w:color w:val="718096"/>
          <w:sz w:val="19"/>
        </w:rPr>
        <w:t>Video Reference: Mistake #7 — Unbalanced Product Title</w:t>
      </w:r>
    </w:p>
    <w:p>
      <w:pPr>
        <w:spacing w:after="60"/>
        <w:ind w:left="216"/>
      </w:pPr>
      <w:r>
        <w:rPr>
          <w:b/>
          <w:color w:val="C53030"/>
        </w:rPr>
        <w:t xml:space="preserve">The Problem (Visual &amp; UX Flaw): </w:t>
      </w:r>
      <w:r>
        <w:t>When the product title is barely larger than the body copy, it competes with surrounding text and loses priority to loud buttons.</w:t>
      </w:r>
    </w:p>
    <w:p>
      <w:pPr>
        <w:spacing w:after="160"/>
        <w:ind w:left="216"/>
      </w:pPr>
      <w:r>
        <w:rPr>
          <w:b/>
          <w:color w:val="2F855A"/>
        </w:rPr>
        <w:t xml:space="preserve">Best Practice Guideline: </w:t>
      </w:r>
      <w:r>
        <w:t>Scale the product title to be the clear typographic anchor of the top summary section—distinctly larger than body copy, balanced in weight, and effortless to scan.</w:t>
      </w:r>
    </w:p>
    <w:p>
      <w:pPr>
        <w:spacing w:before="240" w:after="80"/>
      </w:pPr>
      <w:r>
        <w:rPr>
          <w:rFonts w:ascii="Calibri" w:hAnsi="Calibri"/>
          <w:b/>
          <w:color w:val="2F5233"/>
          <w:sz w:val="26"/>
        </w:rPr>
        <w:t>Principle 8: Optimize Body Copy for Effortless Reading, Not Attention-Grabbing</w:t>
      </w:r>
    </w:p>
    <w:p>
      <w:pPr>
        <w:spacing w:after="60"/>
      </w:pPr>
      <w:r>
        <w:rPr>
          <w:i/>
          <w:color w:val="718096"/>
          <w:sz w:val="19"/>
        </w:rPr>
        <w:t>Video Reference: Mistake #8 — Cramped, High-Contrast Paragraph Text</w:t>
      </w:r>
    </w:p>
    <w:p>
      <w:pPr>
        <w:spacing w:after="60"/>
        <w:ind w:left="216"/>
      </w:pPr>
      <w:r>
        <w:rPr>
          <w:b/>
          <w:color w:val="C53030"/>
        </w:rPr>
        <w:t xml:space="preserve">The Problem (Visual &amp; UX Flaw): </w:t>
      </w:r>
      <w:r>
        <w:t>Setting product descriptions in pure black with tight line spacing creates a dense wall of text that fights the headline for visual dominance.</w:t>
      </w:r>
    </w:p>
    <w:p>
      <w:pPr>
        <w:spacing w:after="160"/>
        <w:ind w:left="216"/>
      </w:pPr>
      <w:r>
        <w:rPr>
          <w:b/>
          <w:color w:val="2F855A"/>
        </w:rPr>
        <w:t xml:space="preserve">Best Practice Guideline: </w:t>
      </w:r>
      <w:r>
        <w:t>Follow the rule: 'Headlines attract attention; paragraphs support understanding.' Increase line-height (e.g., 1.4x–1.5x), slightly soften text contrast to dark charcoal/gray, and keep copy concise.</w:t>
      </w:r>
    </w:p>
    <w:p>
      <w:pPr>
        <w:spacing w:before="240" w:after="80"/>
      </w:pPr>
      <w:r>
        <w:rPr>
          <w:rFonts w:ascii="Calibri" w:hAnsi="Calibri"/>
          <w:b/>
          <w:color w:val="2F5233"/>
          <w:sz w:val="26"/>
        </w:rPr>
        <w:t>Principle 9: Place Social Proof Immediately Next to Product Identity</w:t>
      </w:r>
    </w:p>
    <w:p>
      <w:pPr>
        <w:spacing w:after="60"/>
      </w:pPr>
      <w:r>
        <w:rPr>
          <w:i/>
          <w:color w:val="718096"/>
          <w:sz w:val="19"/>
        </w:rPr>
        <w:t>Video Reference: Mistake #9 — Disconnected Review Placement</w:t>
      </w:r>
    </w:p>
    <w:p>
      <w:pPr>
        <w:spacing w:after="60"/>
        <w:ind w:left="216"/>
      </w:pPr>
      <w:r>
        <w:rPr>
          <w:b/>
          <w:color w:val="C53030"/>
        </w:rPr>
        <w:t xml:space="preserve">The Problem (Visual &amp; UX Flaw): </w:t>
      </w:r>
      <w:r>
        <w:t>Burying the star rating below the paragraph description separates 'What is this product?' from 'Can I trust it?'. Reviews are one of the strongest conversion drivers in e-commerce.</w:t>
      </w:r>
    </w:p>
    <w:p>
      <w:pPr>
        <w:spacing w:after="160"/>
        <w:ind w:left="216"/>
      </w:pPr>
      <w:r>
        <w:rPr>
          <w:b/>
          <w:color w:val="2F855A"/>
        </w:rPr>
        <w:t xml:space="preserve">Best Practice Guideline: </w:t>
      </w:r>
      <w:r>
        <w:t>Group the 5-star rating and review count directly beneath the product title so users immediately process Product Identity + Product Quality + Social Proof in a single glance.</w:t>
      </w:r>
    </w:p>
    <w:p>
      <w:pPr>
        <w:spacing w:before="240" w:after="80"/>
      </w:pPr>
      <w:r>
        <w:rPr>
          <w:rFonts w:ascii="Calibri" w:hAnsi="Calibri"/>
          <w:b/>
          <w:color w:val="2F5233"/>
          <w:sz w:val="26"/>
        </w:rPr>
        <w:t>Principle 10: Unify Feature Icons Under a Single Visual Logic</w:t>
      </w:r>
    </w:p>
    <w:p>
      <w:pPr>
        <w:spacing w:after="60"/>
      </w:pPr>
      <w:r>
        <w:rPr>
          <w:i/>
          <w:color w:val="718096"/>
          <w:sz w:val="19"/>
        </w:rPr>
        <w:t>Video Reference: Mistake #10 — Inconsistent Feature Icons</w:t>
      </w:r>
    </w:p>
    <w:p>
      <w:pPr>
        <w:spacing w:after="60"/>
        <w:ind w:left="216"/>
      </w:pPr>
      <w:r>
        <w:rPr>
          <w:b/>
          <w:color w:val="C53030"/>
        </w:rPr>
        <w:t xml:space="preserve">The Problem (Visual &amp; UX Flaw): </w:t>
      </w:r>
      <w:r>
        <w:t>Combining filled icons, thin-line icons, and duotone icons across four different colors (green truck, blue drop, orange globe, green leaf) with all-caps labels makes secondary benefits look like a noisy patchwork.</w:t>
      </w:r>
    </w:p>
    <w:p>
      <w:pPr>
        <w:spacing w:after="160"/>
        <w:ind w:left="216"/>
      </w:pPr>
      <w:r>
        <w:rPr>
          <w:b/>
          <w:color w:val="2F855A"/>
        </w:rPr>
        <w:t xml:space="preserve">Best Practice Guideline: </w:t>
      </w:r>
      <w:r>
        <w:t>Standardize all feature icons to the same stroke weight, style (e.g., clean outline icons), and intentional monochromatic/earthy tint, arranged in a balanced horizontal row or clean pill badges with sentence-case labels.</w:t>
      </w:r>
    </w:p>
    <w:p>
      <w:pPr>
        <w:spacing w:before="240" w:after="80"/>
      </w:pPr>
      <w:r>
        <w:rPr>
          <w:rFonts w:ascii="Calibri" w:hAnsi="Calibri"/>
          <w:b/>
          <w:color w:val="2F5233"/>
          <w:sz w:val="26"/>
        </w:rPr>
        <w:t>Principle 11: Soften Divider Lines to Preserve Visual Flow</w:t>
      </w:r>
    </w:p>
    <w:p>
      <w:pPr>
        <w:spacing w:after="60"/>
      </w:pPr>
      <w:r>
        <w:rPr>
          <w:i/>
          <w:color w:val="718096"/>
          <w:sz w:val="19"/>
        </w:rPr>
        <w:t>Video Reference: Mistake #11 — Heavy, High-Contrast Dividers</w:t>
      </w:r>
    </w:p>
    <w:p>
      <w:pPr>
        <w:spacing w:after="60"/>
        <w:ind w:left="216"/>
      </w:pPr>
      <w:r>
        <w:rPr>
          <w:b/>
          <w:color w:val="C53030"/>
        </w:rPr>
        <w:t xml:space="preserve">The Problem (Visual &amp; UX Flaw): </w:t>
      </w:r>
      <w:r>
        <w:t>Thick, solid black divider lines act like visual walls that chop the screen into harsh, disconnected blocks.</w:t>
      </w:r>
    </w:p>
    <w:p>
      <w:pPr>
        <w:spacing w:after="160"/>
        <w:ind w:left="216"/>
      </w:pPr>
      <w:r>
        <w:rPr>
          <w:b/>
          <w:color w:val="2F855A"/>
        </w:rPr>
        <w:t xml:space="preserve">Best Practice Guideline: </w:t>
      </w:r>
      <w:r>
        <w:t>Reduce divider opacity/contrast to a subtle light gray. Dividers should quietly organize content sections while maintaining a smooth, unified page experience.</w:t>
      </w:r>
    </w:p>
    <w:p>
      <w:pPr>
        <w:spacing w:before="240" w:after="80"/>
      </w:pPr>
      <w:r>
        <w:rPr>
          <w:rFonts w:ascii="Calibri" w:hAnsi="Calibri"/>
          <w:b/>
          <w:color w:val="2F5233"/>
          <w:sz w:val="26"/>
        </w:rPr>
        <w:t>Principle 12: Use Proximity and Balanced Whitespace to Group Related Info</w:t>
      </w:r>
    </w:p>
    <w:p>
      <w:pPr>
        <w:spacing w:after="60"/>
      </w:pPr>
      <w:r>
        <w:rPr>
          <w:i/>
          <w:color w:val="718096"/>
          <w:sz w:val="19"/>
        </w:rPr>
        <w:t>Video Reference: Mistake #12 — Disconnected Section Spacing</w:t>
      </w:r>
    </w:p>
    <w:p>
      <w:pPr>
        <w:spacing w:after="60"/>
        <w:ind w:left="216"/>
      </w:pPr>
      <w:r>
        <w:rPr>
          <w:b/>
          <w:color w:val="C53030"/>
        </w:rPr>
        <w:t xml:space="preserve">The Problem (Visual &amp; UX Flaw): </w:t>
      </w:r>
      <w:r>
        <w:t>Adding excessive whitespace indiscriminately breaks the Law of Proximity, making related sections feel adrift and harder to scan.</w:t>
      </w:r>
    </w:p>
    <w:p>
      <w:pPr>
        <w:spacing w:after="160"/>
        <w:ind w:left="216"/>
      </w:pPr>
      <w:r>
        <w:rPr>
          <w:b/>
          <w:color w:val="2F855A"/>
        </w:rPr>
        <w:t xml:space="preserve">Best Practice Guideline: </w:t>
      </w:r>
      <w:r>
        <w:t>Tighten vertical spacing between related groups so the eye flows naturally from product summary to benefits to purchase options.</w:t>
      </w:r>
    </w:p>
    <w:p>
      <w:pPr>
        <w:spacing w:before="240" w:after="80"/>
      </w:pPr>
      <w:r>
        <w:rPr>
          <w:rFonts w:ascii="Calibri" w:hAnsi="Calibri"/>
          <w:b/>
          <w:color w:val="2F5233"/>
          <w:sz w:val="26"/>
        </w:rPr>
        <w:t>Principle 13: Eliminate Redundant UI Labels ('Price:')</w:t>
      </w:r>
    </w:p>
    <w:p>
      <w:pPr>
        <w:spacing w:after="60"/>
      </w:pPr>
      <w:r>
        <w:rPr>
          <w:i/>
          <w:color w:val="718096"/>
          <w:sz w:val="19"/>
        </w:rPr>
        <w:t>Video Reference: Mistake #13 — Redundant Price Label</w:t>
      </w:r>
    </w:p>
    <w:p>
      <w:pPr>
        <w:spacing w:after="60"/>
        <w:ind w:left="216"/>
      </w:pPr>
      <w:r>
        <w:rPr>
          <w:b/>
          <w:color w:val="C53030"/>
        </w:rPr>
        <w:t xml:space="preserve">The Problem (Visual &amp; UX Flaw): </w:t>
      </w:r>
      <w:r>
        <w:t>Prefixing '$6.20' with the word 'Price:' states the obvious—a currency symbol already communicates price universally. Furthermore, labeling the price while leaving the adjacent quantity stepper unlabeled creates logical inconsistency.</w:t>
      </w:r>
    </w:p>
    <w:p>
      <w:pPr>
        <w:spacing w:after="160"/>
        <w:ind w:left="216"/>
      </w:pPr>
      <w:r>
        <w:rPr>
          <w:b/>
          <w:color w:val="2F855A"/>
        </w:rPr>
        <w:t xml:space="preserve">Best Practice Guideline: </w:t>
      </w:r>
      <w:r>
        <w:t>Remove the word 'Price:' entirely and let the formatted currency figure ($6.20) speak for itself.</w:t>
      </w:r>
    </w:p>
    <w:p>
      <w:pPr>
        <w:spacing w:before="240" w:after="80"/>
      </w:pPr>
      <w:r>
        <w:rPr>
          <w:rFonts w:ascii="Calibri" w:hAnsi="Calibri"/>
          <w:b/>
          <w:color w:val="2F5233"/>
          <w:sz w:val="26"/>
        </w:rPr>
        <w:t>Principle 14: Decouple Dynamic Units from Titles &amp; Surface Price Early</w:t>
      </w:r>
    </w:p>
    <w:p>
      <w:pPr>
        <w:spacing w:after="60"/>
      </w:pPr>
      <w:r>
        <w:rPr>
          <w:i/>
          <w:color w:val="718096"/>
          <w:sz w:val="19"/>
        </w:rPr>
        <w:t>Video Reference: Mistake #14 — Hardcoded Title Quantity &amp; Buried Pricing</w:t>
      </w:r>
    </w:p>
    <w:p>
      <w:pPr>
        <w:spacing w:after="60"/>
        <w:ind w:left="216"/>
      </w:pPr>
      <w:r>
        <w:rPr>
          <w:b/>
          <w:color w:val="C53030"/>
        </w:rPr>
        <w:t xml:space="preserve">The Problem (Visual &amp; UX Flaw): </w:t>
      </w:r>
      <w:r>
        <w:t>Hardcoding '- 1 kg' inside the title ('Organic Strawberries - 1 kg') becomes contradictory as soon as the user increments the quantity selector to 2 or 3 kg. Additionally, placing the price at the bottom of the screen delays critical buying context.</w:t>
      </w:r>
    </w:p>
    <w:p>
      <w:pPr>
        <w:spacing w:after="160"/>
        <w:ind w:left="216"/>
      </w:pPr>
      <w:r>
        <w:rPr>
          <w:b/>
          <w:color w:val="2F855A"/>
        </w:rPr>
        <w:t xml:space="preserve">Best Practice Guideline: </w:t>
      </w:r>
      <w:r>
        <w:t>Keep the product title pure ('Organic Strawberries'), attach the unit rate directly to the price ('$6.20 $7.20 per kg'), and elevate the price row into the top summary block right below the star rating.</w:t>
      </w:r>
    </w:p>
    <w:p>
      <w:pPr>
        <w:spacing w:before="240" w:after="80"/>
      </w:pPr>
      <w:r>
        <w:rPr>
          <w:rFonts w:ascii="Calibri" w:hAnsi="Calibri"/>
          <w:b/>
          <w:color w:val="2F5233"/>
          <w:sz w:val="26"/>
        </w:rPr>
        <w:t>Principle 15: Pair Quantity Selection with a Refined, Dynamic-Total CTA</w:t>
      </w:r>
    </w:p>
    <w:p>
      <w:pPr>
        <w:spacing w:after="60"/>
      </w:pPr>
      <w:r>
        <w:rPr>
          <w:i/>
          <w:color w:val="718096"/>
          <w:sz w:val="19"/>
        </w:rPr>
        <w:t>Video Reference: Mistake #15 — Aggressive CTA &amp; Separated Purchase Controls</w:t>
      </w:r>
    </w:p>
    <w:p>
      <w:pPr>
        <w:spacing w:after="60"/>
        <w:ind w:left="216"/>
      </w:pPr>
      <w:r>
        <w:rPr>
          <w:b/>
          <w:color w:val="C53030"/>
        </w:rPr>
        <w:t xml:space="preserve">The Problem (Visual &amp; UX Flaw): </w:t>
      </w:r>
      <w:r>
        <w:t>An oversized, all-caps 'ADD TO CART' button feels aggressive, while separating the quantity stepper from the CTA breaks the natural ergonomic sequence ('choose amount -&gt; add to cart').</w:t>
      </w:r>
    </w:p>
    <w:p>
      <w:pPr>
        <w:spacing w:after="160"/>
        <w:ind w:left="216"/>
      </w:pPr>
      <w:r>
        <w:rPr>
          <w:b/>
          <w:color w:val="2F855A"/>
        </w:rPr>
        <w:t xml:space="preserve">Best Practice Guideline: </w:t>
      </w:r>
      <w:r>
        <w:t>Use sentence case ('Add to cart'), place the unit-aware quantity stepper ('- 1 kg +') directly beside the CTA button, and display the live calculated total inside the button ('Add to cart • $6.20') to eliminate checkout uncertainty.</w:t>
      </w:r>
    </w:p>
    <w:p>
      <w:pPr>
        <w:spacing w:before="320" w:after="120"/>
        <w:pBdr>
          <w:bottom w:val="single" w:sz="8" w:space="4" w:color="D6BCFA"/>
        </w:pBdr>
      </w:pPr>
      <w:r>
        <w:rPr>
          <w:rFonts w:ascii="Calibri" w:hAnsi="Calibri"/>
          <w:b/>
          <w:color w:val="3B1D82"/>
          <w:sz w:val="32"/>
        </w:rPr>
        <w:t>4. Beyond Fixing Mistakes: 3 Advanced UX &amp; Conversion Enhancements</w:t>
      </w:r>
    </w:p>
    <w:p>
      <w:r>
        <w:t>Fixing visual mistakes makes a page clean, but great product design goes further by anticipating user behavior during scrolling, comparison, and quantity selection.</w:t>
      </w:r>
    </w:p>
    <w:p>
      <w:pPr>
        <w:spacing w:before="240" w:after="80"/>
      </w:pPr>
      <w:r>
        <w:rPr>
          <w:rFonts w:ascii="Calibri" w:hAnsi="Calibri"/>
          <w:b/>
          <w:color w:val="2F5233"/>
          <w:sz w:val="26"/>
        </w:rPr>
        <w:t>Enhancement 1: Scrollable Content Sheet &amp; Sticky Contextual Header</w:t>
      </w:r>
    </w:p>
    <w:p>
      <w:pPr>
        <w:ind w:left="216"/>
      </w:pPr>
      <w:r>
        <w:t>Structure the product details inside an elevated, rounded-corner scrollable card that slides smoothly over the hero product image as the user scrolls down to explore cross-sells ('Often bought with'). Once the hero image scrolls out of view, transition the product title ('Organic Strawberries') into a sticky top navigation bar so the user never loses page context.</w:t>
      </w:r>
    </w:p>
    <w:p>
      <w:pPr>
        <w:spacing w:before="240" w:after="80"/>
      </w:pPr>
      <w:r>
        <w:rPr>
          <w:rFonts w:ascii="Calibri" w:hAnsi="Calibri"/>
          <w:b/>
          <w:color w:val="2F5233"/>
          <w:sz w:val="26"/>
        </w:rPr>
        <w:t>Enhancement 2: Persistent Sticky Bottom Action Bar</w:t>
      </w:r>
    </w:p>
    <w:p>
      <w:pPr>
        <w:ind w:left="216"/>
      </w:pPr>
      <w:r>
        <w:t>Users rarely decide to buy at the very top of a page—they scroll to read descriptions, inspect attributes, or browse related items. Pinning the quantity stepper ('- 4 kg +') and dynamic CTA ('Add to cart • $24.80') in a sticky bottom bar ensures the purchase action is immediately accessible the exact moment buying intent peaks.</w:t>
      </w:r>
    </w:p>
    <w:p>
      <w:pPr>
        <w:spacing w:before="240" w:after="80"/>
      </w:pPr>
      <w:r>
        <w:rPr>
          <w:rFonts w:ascii="Calibri" w:hAnsi="Calibri"/>
          <w:b/>
          <w:color w:val="2F5233"/>
          <w:sz w:val="26"/>
        </w:rPr>
        <w:t>Enhancement 3: Data-Driven Predefined Quantity Presets</w:t>
      </w:r>
    </w:p>
    <w:p>
      <w:pPr>
        <w:ind w:left="216"/>
      </w:pPr>
      <w:r>
        <w:t>Instead of forcing users to tap '+' repeatedly, introduce one-tap preset weight cards informed by real customer purchase data: 0.5 kg (Snack - $3.10), 1 kg (Regular - $6.20), 2 kg (Family - $12.40), and 3 kg (Party - $18.60). Retain the custom '- / +' stepper in the sticky footer for full flexibility. This reduces interaction cost and increases average order value.</w:t>
      </w:r>
    </w:p>
    <w:p>
      <w:pPr>
        <w:spacing w:before="320" w:after="120"/>
        <w:pBdr>
          <w:bottom w:val="single" w:sz="8" w:space="4" w:color="D6BCFA"/>
        </w:pBdr>
      </w:pPr>
      <w:r>
        <w:rPr>
          <w:rFonts w:ascii="Calibri" w:hAnsi="Calibri"/>
          <w:b/>
          <w:color w:val="3B1D82"/>
          <w:sz w:val="32"/>
        </w:rPr>
        <w:t>5. Recommended Product Page Information Architecture</w:t>
      </w:r>
    </w:p>
    <w:p>
      <w:r>
        <w:t>When structuring an e-commerce product page from top to bottom, follow this validated scanning hierarchy:</w:t>
      </w:r>
    </w:p>
    <w:tbl>
      <w:tblPr>
        <w:tblW w:type="auto" w:w="0"/>
        <w:jc w:val="center"/>
        <w:tblLook w:firstColumn="1" w:firstRow="1" w:lastColumn="0" w:lastRow="0" w:noHBand="0" w:noVBand="1" w:val="04A0"/>
      </w:tblPr>
      <w:tblGrid>
        <w:gridCol w:w="4968"/>
        <w:gridCol w:w="4968"/>
      </w:tblGrid>
      <w:tr>
        <w:tc>
          <w:tcPr>
            <w:tcW w:type="dxa" w:w="4968"/>
            <w:shd w:fill="2F5233"/>
            <w:tcMar>
              <w:top w:w="90" w:type="dxa"/>
              <w:bottom w:w="90" w:type="dxa"/>
              <w:left w:w="120" w:type="dxa"/>
              <w:right w:w="120" w:type="dxa"/>
            </w:tcMar>
          </w:tcPr>
          <w:p>
            <w:pPr>
              <w:spacing w:after="0"/>
            </w:pPr>
            <w:r>
              <w:rPr>
                <w:b/>
                <w:color w:val="FFFFFF"/>
                <w:sz w:val="20"/>
              </w:rPr>
              <w:t>Hierarchy Layer</w:t>
            </w:r>
          </w:p>
        </w:tc>
        <w:tc>
          <w:tcPr>
            <w:tcW w:type="dxa" w:w="4968"/>
            <w:shd w:fill="2F5233"/>
            <w:tcMar>
              <w:top w:w="90" w:type="dxa"/>
              <w:bottom w:w="90" w:type="dxa"/>
              <w:left w:w="120" w:type="dxa"/>
              <w:right w:w="120" w:type="dxa"/>
            </w:tcMar>
          </w:tcPr>
          <w:p>
            <w:pPr>
              <w:spacing w:after="0"/>
            </w:pPr>
            <w:r>
              <w:rPr>
                <w:b/>
                <w:color w:val="FFFFFF"/>
                <w:sz w:val="20"/>
              </w:rPr>
              <w:t>Implementation Standard</w:t>
            </w:r>
          </w:p>
        </w:tc>
      </w:tr>
      <w:tr>
        <w:tc>
          <w:tcPr>
            <w:tcW w:type="dxa" w:w="4968"/>
            <w:shd w:fill="F0FDF4"/>
            <w:tcMar>
              <w:top w:w="75" w:type="dxa"/>
              <w:bottom w:w="75" w:type="dxa"/>
              <w:left w:w="120" w:type="dxa"/>
              <w:right w:w="120" w:type="dxa"/>
            </w:tcMar>
          </w:tcPr>
          <w:p>
            <w:pPr>
              <w:spacing w:after="0"/>
            </w:pPr>
            <w:r>
              <w:rPr>
                <w:b/>
                <w:color w:val="1E293B"/>
                <w:sz w:val="19"/>
              </w:rPr>
              <w:t>01. Hero Product Image + Protected Nav Overlays</w:t>
            </w:r>
          </w:p>
        </w:tc>
        <w:tc>
          <w:tcPr>
            <w:tcW w:type="dxa" w:w="4968"/>
            <w:shd w:fill="F0FDF4"/>
            <w:tcMar>
              <w:top w:w="75" w:type="dxa"/>
              <w:bottom w:w="75" w:type="dxa"/>
              <w:left w:w="120" w:type="dxa"/>
              <w:right w:w="120" w:type="dxa"/>
            </w:tcMar>
          </w:tcPr>
          <w:p>
            <w:pPr>
              <w:spacing w:after="0"/>
            </w:pPr>
            <w:r>
              <w:rPr>
                <w:sz w:val="19"/>
              </w:rPr>
              <w:t>Clean, consistent studio/natural shot on a neutral background with high-contrast circular icon containers.</w:t>
            </w:r>
          </w:p>
        </w:tc>
      </w:tr>
      <w:tr>
        <w:tc>
          <w:tcPr>
            <w:tcW w:type="dxa" w:w="4968"/>
            <w:shd w:fill="FFFFFF"/>
            <w:tcMar>
              <w:top w:w="75" w:type="dxa"/>
              <w:bottom w:w="75" w:type="dxa"/>
              <w:left w:w="120" w:type="dxa"/>
              <w:right w:w="120" w:type="dxa"/>
            </w:tcMar>
          </w:tcPr>
          <w:p>
            <w:pPr>
              <w:spacing w:after="0"/>
            </w:pPr>
            <w:r>
              <w:rPr>
                <w:b/>
                <w:color w:val="1E293B"/>
                <w:sz w:val="19"/>
              </w:rPr>
              <w:t>02. Category Label &amp; Concise Promo Badge</w:t>
            </w:r>
          </w:p>
        </w:tc>
        <w:tc>
          <w:tcPr>
            <w:tcW w:type="dxa" w:w="4968"/>
            <w:shd w:fill="FFFFFF"/>
            <w:tcMar>
              <w:top w:w="75" w:type="dxa"/>
              <w:bottom w:w="75" w:type="dxa"/>
              <w:left w:w="120" w:type="dxa"/>
              <w:right w:w="120" w:type="dxa"/>
            </w:tcMar>
          </w:tcPr>
          <w:p>
            <w:pPr>
              <w:spacing w:after="0"/>
            </w:pPr>
            <w:r>
              <w:rPr>
                <w:sz w:val="19"/>
              </w:rPr>
              <w:t>Tracked-out uppercase category label on the left; scannable '20% off' badge on the right.</w:t>
            </w:r>
          </w:p>
        </w:tc>
      </w:tr>
      <w:tr>
        <w:tc>
          <w:tcPr>
            <w:tcW w:type="dxa" w:w="4968"/>
            <w:shd w:fill="F0FDF4"/>
            <w:tcMar>
              <w:top w:w="75" w:type="dxa"/>
              <w:bottom w:w="75" w:type="dxa"/>
              <w:left w:w="120" w:type="dxa"/>
              <w:right w:w="120" w:type="dxa"/>
            </w:tcMar>
          </w:tcPr>
          <w:p>
            <w:pPr>
              <w:spacing w:after="0"/>
            </w:pPr>
            <w:r>
              <w:rPr>
                <w:b/>
                <w:color w:val="1E293B"/>
                <w:sz w:val="19"/>
              </w:rPr>
              <w:t>03. Pure Product Title</w:t>
            </w:r>
          </w:p>
        </w:tc>
        <w:tc>
          <w:tcPr>
            <w:tcW w:type="dxa" w:w="4968"/>
            <w:shd w:fill="F0FDF4"/>
            <w:tcMar>
              <w:top w:w="75" w:type="dxa"/>
              <w:bottom w:w="75" w:type="dxa"/>
              <w:left w:w="120" w:type="dxa"/>
              <w:right w:w="120" w:type="dxa"/>
            </w:tcMar>
          </w:tcPr>
          <w:p>
            <w:pPr>
              <w:spacing w:after="0"/>
            </w:pPr>
            <w:r>
              <w:rPr>
                <w:sz w:val="19"/>
              </w:rPr>
              <w:t>Clear, high-hierarchy product name without hardcoded variable quantities.</w:t>
            </w:r>
          </w:p>
        </w:tc>
      </w:tr>
      <w:tr>
        <w:tc>
          <w:tcPr>
            <w:tcW w:type="dxa" w:w="4968"/>
            <w:shd w:fill="FFFFFF"/>
            <w:tcMar>
              <w:top w:w="75" w:type="dxa"/>
              <w:bottom w:w="75" w:type="dxa"/>
              <w:left w:w="120" w:type="dxa"/>
              <w:right w:w="120" w:type="dxa"/>
            </w:tcMar>
          </w:tcPr>
          <w:p>
            <w:pPr>
              <w:spacing w:after="0"/>
            </w:pPr>
            <w:r>
              <w:rPr>
                <w:b/>
                <w:color w:val="1E293B"/>
                <w:sz w:val="19"/>
              </w:rPr>
              <w:t>04. Rating &amp; Social Proof</w:t>
            </w:r>
          </w:p>
        </w:tc>
        <w:tc>
          <w:tcPr>
            <w:tcW w:type="dxa" w:w="4968"/>
            <w:shd w:fill="FFFFFF"/>
            <w:tcMar>
              <w:top w:w="75" w:type="dxa"/>
              <w:bottom w:w="75" w:type="dxa"/>
              <w:left w:w="120" w:type="dxa"/>
              <w:right w:w="120" w:type="dxa"/>
            </w:tcMar>
          </w:tcPr>
          <w:p>
            <w:pPr>
              <w:spacing w:after="0"/>
            </w:pPr>
            <w:r>
              <w:rPr>
                <w:sz w:val="19"/>
              </w:rPr>
              <w:t>5-star visual indicator + review count placed directly beneath the title.</w:t>
            </w:r>
          </w:p>
        </w:tc>
      </w:tr>
      <w:tr>
        <w:tc>
          <w:tcPr>
            <w:tcW w:type="dxa" w:w="4968"/>
            <w:shd w:fill="F0FDF4"/>
            <w:tcMar>
              <w:top w:w="75" w:type="dxa"/>
              <w:bottom w:w="75" w:type="dxa"/>
              <w:left w:w="120" w:type="dxa"/>
              <w:right w:w="120" w:type="dxa"/>
            </w:tcMar>
          </w:tcPr>
          <w:p>
            <w:pPr>
              <w:spacing w:after="0"/>
            </w:pPr>
            <w:r>
              <w:rPr>
                <w:b/>
                <w:color w:val="1E293B"/>
                <w:sz w:val="19"/>
              </w:rPr>
              <w:t>05. Unit Price &amp; Strikethrough Anchor</w:t>
            </w:r>
          </w:p>
        </w:tc>
        <w:tc>
          <w:tcPr>
            <w:tcW w:type="dxa" w:w="4968"/>
            <w:shd w:fill="F0FDF4"/>
            <w:tcMar>
              <w:top w:w="75" w:type="dxa"/>
              <w:bottom w:w="75" w:type="dxa"/>
              <w:left w:w="120" w:type="dxa"/>
              <w:right w:w="120" w:type="dxa"/>
            </w:tcMar>
          </w:tcPr>
          <w:p>
            <w:pPr>
              <w:spacing w:after="0"/>
            </w:pPr>
            <w:r>
              <w:rPr>
                <w:sz w:val="19"/>
              </w:rPr>
              <w:t>Formatted price with unit clarity ('$6.20 $7.20 per kg') without redundant 'Price:' text.</w:t>
            </w:r>
          </w:p>
        </w:tc>
      </w:tr>
      <w:tr>
        <w:tc>
          <w:tcPr>
            <w:tcW w:type="dxa" w:w="4968"/>
            <w:shd w:fill="FFFFFF"/>
            <w:tcMar>
              <w:top w:w="75" w:type="dxa"/>
              <w:bottom w:w="75" w:type="dxa"/>
              <w:left w:w="120" w:type="dxa"/>
              <w:right w:w="120" w:type="dxa"/>
            </w:tcMar>
          </w:tcPr>
          <w:p>
            <w:pPr>
              <w:spacing w:after="0"/>
            </w:pPr>
            <w:r>
              <w:rPr>
                <w:b/>
                <w:color w:val="1E293B"/>
                <w:sz w:val="19"/>
              </w:rPr>
              <w:t>06. Scannable Product Description</w:t>
            </w:r>
          </w:p>
        </w:tc>
        <w:tc>
          <w:tcPr>
            <w:tcW w:type="dxa" w:w="4968"/>
            <w:shd w:fill="FFFFFF"/>
            <w:tcMar>
              <w:top w:w="75" w:type="dxa"/>
              <w:bottom w:w="75" w:type="dxa"/>
              <w:left w:w="120" w:type="dxa"/>
              <w:right w:w="120" w:type="dxa"/>
            </w:tcMar>
          </w:tcPr>
          <w:p>
            <w:pPr>
              <w:spacing w:after="0"/>
            </w:pPr>
            <w:r>
              <w:rPr>
                <w:sz w:val="19"/>
              </w:rPr>
              <w:t>2–3 lines of comfortable, soft-contrast body copy with generous line height.</w:t>
            </w:r>
          </w:p>
        </w:tc>
      </w:tr>
      <w:tr>
        <w:tc>
          <w:tcPr>
            <w:tcW w:type="dxa" w:w="4968"/>
            <w:shd w:fill="F0FDF4"/>
            <w:tcMar>
              <w:top w:w="75" w:type="dxa"/>
              <w:bottom w:w="75" w:type="dxa"/>
              <w:left w:w="120" w:type="dxa"/>
              <w:right w:w="120" w:type="dxa"/>
            </w:tcMar>
          </w:tcPr>
          <w:p>
            <w:pPr>
              <w:spacing w:after="0"/>
            </w:pPr>
            <w:r>
              <w:rPr>
                <w:b/>
                <w:color w:val="1E293B"/>
                <w:sz w:val="19"/>
              </w:rPr>
              <w:t>07. Unified Feature / Benefit Badges</w:t>
            </w:r>
          </w:p>
        </w:tc>
        <w:tc>
          <w:tcPr>
            <w:tcW w:type="dxa" w:w="4968"/>
            <w:shd w:fill="F0FDF4"/>
            <w:tcMar>
              <w:top w:w="75" w:type="dxa"/>
              <w:bottom w:w="75" w:type="dxa"/>
              <w:left w:w="120" w:type="dxa"/>
              <w:right w:w="120" w:type="dxa"/>
            </w:tcMar>
          </w:tcPr>
          <w:p>
            <w:pPr>
              <w:spacing w:after="0"/>
            </w:pPr>
            <w:r>
              <w:rPr>
                <w:sz w:val="19"/>
              </w:rPr>
              <w:t>Consistent single-style outline icons with concise labels (Free delivery, Organic, Fresh, Origin).</w:t>
            </w:r>
          </w:p>
        </w:tc>
      </w:tr>
      <w:tr>
        <w:tc>
          <w:tcPr>
            <w:tcW w:type="dxa" w:w="4968"/>
            <w:shd w:fill="FFFFFF"/>
            <w:tcMar>
              <w:top w:w="75" w:type="dxa"/>
              <w:bottom w:w="75" w:type="dxa"/>
              <w:left w:w="120" w:type="dxa"/>
              <w:right w:w="120" w:type="dxa"/>
            </w:tcMar>
          </w:tcPr>
          <w:p>
            <w:pPr>
              <w:spacing w:after="0"/>
            </w:pPr>
            <w:r>
              <w:rPr>
                <w:b/>
                <w:color w:val="1E293B"/>
                <w:sz w:val="19"/>
              </w:rPr>
              <w:t>08. Predefined Quantity / Variant Presets</w:t>
            </w:r>
          </w:p>
        </w:tc>
        <w:tc>
          <w:tcPr>
            <w:tcW w:type="dxa" w:w="4968"/>
            <w:shd w:fill="FFFFFF"/>
            <w:tcMar>
              <w:top w:w="75" w:type="dxa"/>
              <w:bottom w:w="75" w:type="dxa"/>
              <w:left w:w="120" w:type="dxa"/>
              <w:right w:w="120" w:type="dxa"/>
            </w:tcMar>
          </w:tcPr>
          <w:p>
            <w:pPr>
              <w:spacing w:after="0"/>
            </w:pPr>
            <w:r>
              <w:rPr>
                <w:sz w:val="19"/>
              </w:rPr>
              <w:t>One-tap data-backed weight/size cards (e.g., Snack 0.5kg, Regular 1kg, Family 2kg, Party 3kg).</w:t>
            </w:r>
          </w:p>
        </w:tc>
      </w:tr>
      <w:tr>
        <w:tc>
          <w:tcPr>
            <w:tcW w:type="dxa" w:w="4968"/>
            <w:shd w:fill="F0FDF4"/>
            <w:tcMar>
              <w:top w:w="75" w:type="dxa"/>
              <w:bottom w:w="75" w:type="dxa"/>
              <w:left w:w="120" w:type="dxa"/>
              <w:right w:w="120" w:type="dxa"/>
            </w:tcMar>
          </w:tcPr>
          <w:p>
            <w:pPr>
              <w:spacing w:after="0"/>
            </w:pPr>
            <w:r>
              <w:rPr>
                <w:b/>
                <w:color w:val="1E293B"/>
                <w:sz w:val="19"/>
              </w:rPr>
              <w:t>09. Cross-Sell / 'Often Bought With' Grid</w:t>
            </w:r>
          </w:p>
        </w:tc>
        <w:tc>
          <w:tcPr>
            <w:tcW w:type="dxa" w:w="4968"/>
            <w:shd w:fill="F0FDF4"/>
            <w:tcMar>
              <w:top w:w="75" w:type="dxa"/>
              <w:bottom w:w="75" w:type="dxa"/>
              <w:left w:w="120" w:type="dxa"/>
              <w:right w:w="120" w:type="dxa"/>
            </w:tcMar>
          </w:tcPr>
          <w:p>
            <w:pPr>
              <w:spacing w:after="0"/>
            </w:pPr>
            <w:r>
              <w:rPr>
                <w:sz w:val="19"/>
              </w:rPr>
              <w:t>Catalog-consistent product cards for complementary items.</w:t>
            </w:r>
          </w:p>
        </w:tc>
      </w:tr>
      <w:tr>
        <w:tc>
          <w:tcPr>
            <w:tcW w:type="dxa" w:w="4968"/>
            <w:shd w:fill="FFFFFF"/>
            <w:tcMar>
              <w:top w:w="75" w:type="dxa"/>
              <w:bottom w:w="75" w:type="dxa"/>
              <w:left w:w="120" w:type="dxa"/>
              <w:right w:w="120" w:type="dxa"/>
            </w:tcMar>
          </w:tcPr>
          <w:p>
            <w:pPr>
              <w:spacing w:after="0"/>
            </w:pPr>
            <w:r>
              <w:rPr>
                <w:b/>
                <w:color w:val="1E293B"/>
                <w:sz w:val="19"/>
              </w:rPr>
              <w:t>10. Sticky Bottom Purchase Bar</w:t>
            </w:r>
          </w:p>
        </w:tc>
        <w:tc>
          <w:tcPr>
            <w:tcW w:type="dxa" w:w="4968"/>
            <w:shd w:fill="FFFFFF"/>
            <w:tcMar>
              <w:top w:w="75" w:type="dxa"/>
              <w:bottom w:w="75" w:type="dxa"/>
              <w:left w:w="120" w:type="dxa"/>
              <w:right w:w="120" w:type="dxa"/>
            </w:tcMar>
          </w:tcPr>
          <w:p>
            <w:pPr>
              <w:spacing w:after="0"/>
            </w:pPr>
            <w:r>
              <w:rPr>
                <w:sz w:val="19"/>
              </w:rPr>
              <w:t>Unit-labeled quantity stepper ('- 3 kg +') paired beside the live-total CTA ('Add to cart • $18.60').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