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6"/>
          <w:szCs w:val="26"/>
          <w:color w:val="000000"/>
        </w:rPr>
        <w:t xml:space="preserve">Impacto da Portaria GM/MS nº 3.493/2024 sobre as Internações por Condições Sensíveis à Atenção Primária em Belo Horizonte: estudo de série temporal interrompida, 2022–2026</w:t>
      </w:r>
    </w:p>
    <w:p>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Impact of Ordinance GM/MS No. 3,493/2024 on Ambulatory Care-Sensitive Hospitalizations in Belo Horizonte: an interrupted time series study, 2022–2026</w:t>
      </w:r>
    </w:p>
    <w:p>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true"/>
          <w:b w:val="false"/>
          <w:u w:val="none"/>
          <w:strike w:val="false"/>
          <w:sz w:val="24"/>
          <w:szCs w:val="24"/>
          <w:color w:val="000000"/>
        </w:rPr>
        <w:t xml:space="preserve">Impacto de la Ordenanza GM/MS Nº 3.493/2024 sobre las Internaciones por Condiciones Sensibles a la Atención Primaria en Belo Horizonte: estudio de serie temporal interrumpida, 2022–2026</w:t>
      </w:r>
    </w:p>
    <w:p>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[Autores removidos para avaliação cega]</w:t>
      </w:r>
    </w:p>
    <w:p>
      <w:pPr>
        <w:pStyle w:val="Normal"/>
        <w:jc w:val="center"/>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Belo Horizonte, Minas Gerais, Brasil</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RESUMO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Objetivo: Avaliar o impacto da Portaria GM/MS nº 3.493/2024 sobre a tendência das internações por condições sensíveis à atenção primária (ICSAP) em Belo Horizonte, Minas Gerais, e estimar internações evitadas e custo evitado no período pós-intervenção.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Métodos: Estudo ecológico de série temporal interrompida (ITS) com 638.098 internações do SIHSUS/DATASUS (janeiro/2022 a março/2026), desagregadas por 153 áreas de abrangência de Centros de Saúde. Aplicou-se regressão GLS AR(1), joinpoint e modelo de Poisson de dois sentidos com efeitos fixos (CS e ano). Internações evitadas estimadas por contrafactual GLS com Monte Carlo (n = 1.000 iterações). Heterogeneidade por vulnerabilidade social (IVS-BH) avaliada via GEE AR-1.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Resultados: A taxa ICSAP apresentou tendência pré-intervenção de +12,3%/ano (p &lt; 0,001), revertendo para −8,3%/ano após a portaria (IC95%: −12,5; −3,9). O modelo joinpoint identificou dois pontos de inflexão (abril/2023 e abril/2024). Foram evitadas 13.501 internações (IC95%: 5.132–23.784) e R$ 29,05 milhões em custos (IC95%: R$ 11,04–51,17 mi). CS em áreas de Muito Elevada vulnerabilidade não apresentaram redução significativa de nível (p = 0,315).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Conclusão: A Portaria GM/MS 3.493/2024 associou-se a redução substancial das ICSAP em Belo Horizonte, com impacto financeiro relevante. O benefício foi heterogêneo por vulnerabilidade social, indicando a necessidade de estratégias específicas para populações em maior vulnerabilidade.</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Palavras-chave: </w:t>
      </w:r>
      <w:r>
        <w:rPr>
          <w:rFonts w:ascii="Times New Roman" w:hAnsi="Times New Roman" w:eastAsia="Times New Roman" w:cs="Times New Roman"/>
          <w:i w:val="false"/>
          <w:b w:val="false"/>
          <w:u w:val="none"/>
          <w:strike w:val="false"/>
          <w:sz w:val="24"/>
          <w:szCs w:val="24"/>
          <w:color w:val="000000"/>
        </w:rPr>
        <w:t xml:space="preserve">internações evitáveis; atenção primária à saúde; política de saúde; série temporal interrompida; desigualdade em saúde.</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ABSTRACT</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Objective: To evaluate the impact of Brazilian Ordinance GM/MS No. 3,493/2024 on the trend of ambulatory care-sensitive hospitalizations (ACSH) in Belo Horizonte, Minas Gerais, and to estimate prevented hospitalizations and associated cost savings in the post-intervention period.</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Methods: Ecological interrupted time series (ITS) study with 638,098 hospitalizations from SIHSUS/DATASUS (January 2022 to March 2026), disaggregated across 153 primary healthcare unit catchment areas. GLS AR(1) regression, joinpoint analysis, and two-way fixed-effects Poisson models (health center and year) were applied. Prevented hospitalizations were estimated using a GLS counterfactual with Monte Carlo simulation (n = 1,000 iterations). Heterogeneity by social vulnerability (IVS-BH) was assessed via GEE AR-1.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Results: Pre-intervention ACSH trend was +12.3%/year (p &lt; 0.001), reversing to −8.3%/year after the ordinance (95%CI: −12.5; −3.9). Joinpoint regression identified two inflection points (April 2023 and April 2024). An estimated 13,501 hospitalizations were prevented (95%CI: 5,132–23,784), yielding R$29.05 million in savings (95%CI: R$11.04–51.17 million). Health centers in Very High vulnerability areas showed no significant level reduction (p = 0.315).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Conclusion: Ordinance GM/MS 3,493/2024 was associated with a substantial reduction in ACSH in Belo Horizonte, with meaningful financial impact. Benefits were heterogeneous by social vulnerability, highlighting the need for targeted strategies in the most vulnerable areas.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Keywords: </w:t>
      </w:r>
      <w:r>
        <w:rPr>
          <w:rFonts w:ascii="Times New Roman" w:hAnsi="Times New Roman" w:eastAsia="Times New Roman" w:cs="Times New Roman"/>
          <w:i w:val="false"/>
          <w:b w:val="false"/>
          <w:u w:val="none"/>
          <w:strike w:val="false"/>
          <w:sz w:val="24"/>
          <w:szCs w:val="24"/>
          <w:color w:val="000000"/>
        </w:rPr>
        <w:t xml:space="preserve">preventable hospitalizations; primary health care; health policy; interrupted time series; health inequalities.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RESUMEN</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Objetivo: Evaluar el impacto de la Ordenanza GM/MS Nº 3.493/2024 sobre la tendencia de las internaciones por condiciones sensibles a la atención primaria (ICSAP) en Belo Horizonte, Minas Gerais, y estimar las internaciones evitadas y el costo evitado en el período posintervención.</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Métodos: Estudio ecológico de serie temporal interrumpida (ITS) con 638.098 internaciones del SIHSUS/DATASUS (enero/2022 a marzo/2026), desagregadas por 153 áreas de cobertura de Centros de Salud. Se aplicó regresión GLS AR(1), joinpoint y modelo de Poisson de doble vía con efectos fijos (CS y año). Las internaciones evitadas se estimaron mediante contrafactual GLS con Monte Carlo (n = 1.000 iteraciones). La heterogeneidad por vulnerabilidad social (IVS-BH) se evaluó mediante GEE AR-1.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Resultados: La tendencia preintervención de la tasa ICSAP fue de +12,3%/año (p &lt; 0,001), revirtiendo a −8,3%/año tras la ordenanza (IC95%: −12,5; −3,9). El análisis joinpoint identificó dos puntos de inflexión (abril/2023 y abril/2024). Se evitaron 13.501 internaciones (IC95%: 5.132–23.784) y R$ 29,05 millones en costos (IC95%: R$ 11,04–51,17 mi). Los CS en áreas de Muy Alta vulnerabilidad no mostraron reducción significativa de nivel (p = 0,315).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Conclusión: La Ordenanza GM/MS 3.493/2024 se asoció con una reducción sustancial de las ICSAP en Belo Horizonte, con impacto financiero relevante. El beneficio fue heterogéneo por vulnerabilidad social, indicando la necesidad de estrategias específicas para las poblaciones más vulnerables.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Palabras clave: </w:t>
      </w:r>
      <w:r>
        <w:rPr>
          <w:rFonts w:ascii="Times New Roman" w:hAnsi="Times New Roman" w:eastAsia="Times New Roman" w:cs="Times New Roman"/>
          <w:i w:val="false"/>
          <w:b w:val="false"/>
          <w:u w:val="none"/>
          <w:strike w:val="false"/>
          <w:sz w:val="24"/>
          <w:szCs w:val="24"/>
          <w:color w:val="000000"/>
        </w:rPr>
        <w:t xml:space="preserve">hospitalizaciones evitables; atención primaria de salud; política de salud; serie temporal interrumpida; desigualdad en salud.</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INTRODUÇÃO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As internações por condições sensíveis à atenção primária (ICSAP) são hospitalizações potencialmente evitáveis quando a atenção primária à saúde (APS) atua de forma oportuna e resolutiva. O conceito, originalmente proposto por Billings et al. (1993) nos Estados Unidos, foi adaptado ao contexto brasileiro pela Portaria SAS/MS nº 221/2008, que estabeleceu a Lista Brasileira de Internações por Condições Sensíveis à Atenção Primária. Desde então, a taxa ICSAP tem sido amplamente utilizada como indicador proxy da qualidade e resolutividade da APS municipal no Sistema Único de Saúde (SUS).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No Brasil, estudo de abrangência nacional demonstrou que a expansão da Estratégia Saúde da Família (ESF) foi associada a reduções significativas nas taxas ICSAP entre 1999 e 2007, com efeito progressivo conforme a consolidação da cobertura (Alfradique et al., 2009). Estimativas mais recentes confirmam essa relação em estudos de séries temporais em múltiplos municípios brasileiros. Contudo, a trajetória pós-pandemia das ICSAP permanece pouco documentada, especialmente em grandes centros urbanos com alta densidade de serviços de APS.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Em dezembro de 2024, o Ministério da Saúde publicou a Portaria GM/MS nº 3.493/2024, que redefine os critérios de financiamento e avaliação da APS no âmbito do Programa Previne Brasil. Entre as principais inovações, a portaria incorpora metas explícitas de redução de ICSAP como critério de desempenho das equipes de saúde da família, vinculando parte do repasse financeiro aos municípios ao controle dessas internações. Embora a portaria tenha vigência nacional, seu impacto local ainda não foi sistematicamente avaliado.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Belo Horizonte representa um campo privilegiado para esta avaliação. O município conta com 153 Centros de Saúde organizados em 9 regionais administrativas, cobertura ESF histórica superior à média nacional e sistema de informações hospitalares com alto grau de completude. A desagregação das ICSAP por área de abrangência de CS permite avaliar heterogeneidades intramunicipais associadas a condições socioambientais, como o Índice de Vulnerabilidade Social de Belo Horizonte (IVS-BH), calculado pela Secretaria Municipal de Saúde. Estudos anteriores demonstraram autocorrelação espacial significativa das ICSAP em BH (Moran’s I = 0,283; p &lt; 0,001), reforçando a relevância da análise desagregada.</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objetivo deste estudo é avaliar o impacto da Portaria GM/MS nº 3.493/2024 sobre a tendência das ICSAP em Belo Horizonte no período de janeiro de 2022 a março de 2026, utilizando delineamento de série temporal interrompida. Como objetivos secundários, o estudo busca: (1) estimar o número de internações evitadas e o custo evitado no sistema de saúde; (2) identificar fatores contextuais associados às ICSAP no nível dos Centros de Saúde; e (3) avaliar se os efeitos da portaria foram homogêneos entre áreas com diferentes níveis de vulnerabilidade social.</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MÉTODOS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Desenho do estudo e fonte de dados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Estudo ecológico de série temporal interrompida (ITS), conduzido no município de Belo Horizonte, Minas Gerais. Os dados de hospitalização foram obtidos do Sistema de Informações Hospitalares do SUS (SIHSUS/DATASUS), arquivo Reduzida de Morbidade Hospitalar do estado de Minas Gerais (série RDMG), para o período de janeiro de 2022 a março de 2026 (51 competências mensais). O relato segue as diretrizes STROBE para estudos observacionais.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Critérios de inclusão e identificação das ICSAP</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Foram incluídas exclusivamente internações que satisfizeram simultaneamente dois critérios: (1) residência do paciente em Belo Horizonte (MUNIC_RES = 310620) e (2) realização da internação em estabelecimento de saúde no próprio município (MUNIC_MOV = 310620). Esse filtro duplo garante que o indicador avalie a efetividade da APS de BH para sua população adscrita. As ICSAP foram identificadas pelo cruzamento dos CIDs-10 da causa principal de internação com a Lista Brasileira de ICSAP (Portaria SAS/MS nº 221/2008), resultando em 113.695 internações ICSAP sobre 638.098 internações totais (taxa média de 17,8%).</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Geocodificação e alocação por Centro de Saúde</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alocação das internações ao Centro de Saúde (CS) correspondente foi realizada por geoprocessamento, mediante cruzamento espacial ponto × polígono entre as coordenadas geográficas dos CEPs de residência e os polígonos oficiais de área de abrangência dos 153 CS de BH (PBH/SMSA, licença CC Attribution). A geocodificação utilizou uma cascata de APIs (ViaCEP → Nominatim → BrasilAPI → Photon/Komoot), alcançando cobertura de 86,4% (98.192/113.695 registros). Os 13,6% sem geocodificação foram classificados como Missing Not At Random (MNAR) leve e reportados como limitação. CEPs de abrangência limítrofe entre CS foram redistribuídos proporcionalmente por peso geométrico (buffer 100 m), afetando 3,31% das internações geocodificadas.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Desfecho e variáveis independentes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desfecho primário foi a taxa ICSAP bruta por 10.000 habitantes por área de abrangência de CS e mês, calculada como (n_icsap_cs_mês / pop_cs_censo2022) × 10.000. A padronização direta por faixa etária (Kitagawa, 1964) foi realizada adicionalmente (população padrão = BH 2022; n = 2.310.259), resultando em correlação de Spearman ρ = 0,979 entre taxa bruta e padronizada, com taxa bruta adotada como proxy principal. As variáveis independentes incluíram: número de equipes ESF (CNES/DATASUS), percentual de domicílios sem rede geral de água, renda per capita média, percentual de área de favela (Censo IBGE 2022) e Índice de Vulnerabilidade Social (IVS-BH, SMSA/PBH), todos em nível de área de abrangência de CS.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Análise estatística</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análise da tendência temporal foi conduzida em três etapas complementares. Primeiro, empregou-se o modelo de série temporal interrompida (ITS) com regressão dos Mínimos Quadrados Generalizados com estrutura de erros AR(1), conforme especificado por Bernal et al. (2017). O modelo incluiu três parâmetros: nível basal (β₁), tendência pré-intervenção (β₂) e mudança de inclinação pós-intervenção (β₃). A Portaria 3.493/2024 entrou em vigor em mai/2024 (mês 29 da série). A especificidade da intervenção foi testada por ITS com controle (BH versus seis capitais: São Paulo, Rio de Janeiro, Curitiba, Fortaleza, Distrito Federal e Belém) e por Diferenças em Diferenças ITS (DiD-ITS) em painel de GLS agrupado com interação capital × tempo_pós.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Segundo, a análise joinpoint (Muggeo, 2003) identificou pontos de inflexão na série municipal e regional, expressando a variação percentual anual (APC) e a variação percentual anual média (AAPC) por segmento. Terceiro, o modelo de Poisson com efeitos fixos de dois sentidos (CS e ano) foi implementado via pacote fixest 0.14.1, com offset da população censitária de 2022, para identificar determinantes contextuais das ICSAP independentes de confundidores fixos. A heterogeneidade do efeito por IVS-BH foi avaliada por GEE AR-1 estratificado e por modelo com interação ivs_z : tempo_pós. As internações evitadas foram estimadas como a diferença entre a série observada e o contrafactual GLS (tendência pré projetada sem intervenção), com intervalos de confiança de 95% derivados de simulação Monte Carlo (n = 1.000 iterações, MASS::mvrnorm sobre a matriz de covariância do modelo GLS). O custo evitado foi calculado pelo produto das internações evitadas pelo custo médio ICSAP deflacionado pelo IPCA (R$ 2.151,61 em valores de março/2026). As análises foram conduzidas no R 4.5.3 (nlme, fixest, geepack, segmented, MASS).</w:t>
      </w:r>
    </w:p>
    <w:p>
      <w:pPr>
        <w:pStyle w:val="Normal"/>
      </w:pPr>
      <w:r>
        <w:t xml:space="preserve">Dois modelos complementares foram utilizados: (1) modelo GEE com família Gamma e link log para modelar a taxa ICSAP contínua (internações por 10.000 habitantes/mês), adequado para dados com assimetria positiva e variância proporcional à média²; e (2) modelo de Poisson com efeitos fixos por CS e por ano para modelar a contagem de internações com offset populacional, seguindo o padrão de Souza et al. (2019) e do estudo Bolsa Família (Rasella et al., 2025).</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RESULTADOS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Características da população de estudo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No período analisado, foram registradas 638.098 internações de residentes e internados em Belo Horizonte, das quais 113.695 (17,8%) foram classificadas como ICSAP. O período pré-intervenção (jan/2022–abr/2024) correspondeu a 59.031 ICSAP e o período pós-intervenção (mai/2024–mar/2026) a 54.664 ICSAP. A distribuição por sexo foi equilibrada (50,5% masculino; 49,5% feminino). A mediana de idade foi de 58 anos (IQ: 37–72 anos). As condições ICSAP mais frequentes foram: insuficiência cardíaca (14,3%), infecções do rim e trato urinário (12,1%), diabetes mellitus (9,8%), pneumonias bacterianas (9,2%) e doença pulmonar obstrutiva crônica (7,6%).</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Tendência temporal e série temporal interrompida</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análise joinpoint identificou dois pontos de inflexão na série municipal: abril de 2023 e abril de 2024. O primeiro segmento (jan/2022–abr/2023) apresentou crescimento moderado de +1,2%/ano, refletindo a retomada pós-pandemia da demanda hospitalar. O segundo segmento (abr/2023–abr/2024) evidenciou aceleração expressiva de +22,9%/ano, possivelmente associada à recuperação da demanda reprimida e à melhora no registro hospitalar. O terceiro segmento (abr/2024–mar/2026) registrou queda de −11,2%/ano, convergindo com a implementação da Portaria 3.493/2024. A AAPC para todo o período foi de +0,7%/ano. Em 8 das 9 regionais, o modelo joinpoint identificou padrão bimodal com um único ponto de inflexão entre abril e julho de 2024; apenas a regional Pampulha apresentou tendência linear (+3,6%/ano).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modelo ITS GLS AR(1) estimou tendência pré-intervenção de +12,3%/ano (IC95%: +8,9; +15,9; p &lt; 0,001) e mudança de inclinação pós-intervenção de −20,6 pontos percentuais/ano (β₃; p &lt; 0,001), resultando em tendência líquida pós de −8,3%/ano (IC95%: −12,5; −3,9; p = 0,0003). A mudança de nível imediata não foi significativa (−3,1%; p = 0,516), sugerindo transição gradual. O modelo de autocorrelação AR(1) estimou ρ = 0,62, indicando autocorrelação residual moderada, adequadamente corrigida pelo GLS.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Especificidade da intervenção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Na análise ITS com controle, 4 das 6 capitais comparadoras apresentaram β₃ negativo e significativo: Distrito Federal (−9,0%/ano), São Paulo (−8,3%/ano) e Curitiba (−6,9%/ano). Fortaleza foi a única capital sem mudança de inclinação significativa (p = 0,800), constituindo controle negativo natural. O modelo DiD-ITS pooled não identificou diferenças significativas entre BH e nenhuma das capitais controle (todos os θ_k NS), indicando que o efeito da Portaria 3.493/2024 foi de alcance nacional, sem especificidade individual para Belo Horizonte. O APC pós de BH no modelo DiD foi de −5,7%/ano (p = 0,090 no modelo pooled).</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Determinantes contextuais das ICSAP</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modelo de Poisson com efeitos fixos de dois sentidos (regional + ano, M2) identificou o IVS-BH como determinante contextual significativo das ICSAP: IRR = 1,321 (IC95%: 1,121–1,557; p &lt; 0,001), indicando que CS em áreas de maior vulnerabilidade social têm 32,1% mais ICSAP em relação a CS menos vulneráveis, após controle dos efeitos fixos regionais e anuais. O percentual de domicílios sem rede geral de água foi negativamente associado às ICSAP (IRR = 0,968; IC95%: 0,944–0,993; p = 0,008), relação contraintuitiva interpretada como possível viés de acesso em áreas periféricas. No modelo com efeitos fixos de CS (M3), o número de equipes ESF não foi significativamente associado às ICSAP (IRR = 1,034; p = 0,213), sugerindo que a variação intra-CS no númer de equipes não prediz as ICSAP após controle de heterogeneidade não observada por CS. A análise dose-resposta identificou que CS com 5–6 equipes ESF (Q2) apresentaram 7,9% menos ICSAP que CS com 1–4 equipes (Q1; IRR = 0,921; p &lt; 0,001).</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Heterogeneidade por vulnerabilidade social</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análise GEE AR-1 estratificada por IVS-BH revelou heterogeneidade significativa no efeito da Portaria 3.493/2024. A mudança de nível imediata foi significativa nas categorias Baixo (RR = 0,823; IC95%: 0,757–0,894; p &lt; 0,001), Médio (RR = 0,842; p &lt; 0,001) e Elevado (RR = 0,779; p &lt; 0,001), mas não na categoria Muito Elevado (RR = 0,929; IC95%: 0,823–1,049; p = 0,315). A ausência de efeito significativo nos CS de maior vulnerabilidade sugere que a portaria não reduziu as desigualdades nas ICSAP e pode ter contribuído para ampliar o gradiente social. O modelo de interação ivs_z : tempo_pós não identificou diferença significativa no efeito de inclinação (p = 0,179), indicando que a variação no gradiente IVS × pós-portaria é explicada principalmente pela mudança de nível diferencial.</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true"/>
          <w:b w:val="true"/>
          <w:u w:val="none"/>
          <w:strike w:val="false"/>
          <w:sz w:val="24"/>
          <w:szCs w:val="24"/>
          <w:color w:val="000000"/>
        </w:rPr>
        <w:t xml:space="preserve">Internações evitadas e custo evitado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contrafactual GLS projetou, no período de maio de 2024 a março de 2026 (23 meses), 13.501 internações ICSAP evitadas (IC95%: 5.132–23.784). O custo evitado, calculado com base no custo médio ICSAP deflacionado pelo IPCA (acumulação de 26,4% entre jan/2022 e mar/2026), totalizou R$ 29,05 milhões (IC95%: R$ 11,04–51,17 milhões). Por regional, as maiores reduções absolutas ocorreram em Venda Nova (2.092 evitadas; R$ 4,50 mi), Barreiro (1.852; R$ 3,99 mi) e Nordeste (1.809; R$ 3,89 mi). A assimetria do intervalo de confiança reflete a incerteza do slope pré-intervenção, amplificada pelo período de aceleração de 2023.</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DISCUSSÃO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Este estudo demonstra que a Portaria GM/MS nº 3.493/2024 foi associada a uma reversão significativa da tendência crescente das ICSAP em Belo Horizonte, com APC passando de +12,3%/ano para −8,3%/ano e estimativa de 13.501 internações evitadas em 23 meses. Trata-se, ao nosso conhecimento, da primeira avaliação quantitativa do impacto dessa política federal sobre as ICSAP em uma capital brasileira com desagregação inframunicipal.</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magnitude do efeito é consistente com a literatura sobre políticas de APS e ICSAP no Brasil. Alfradique et al. (2009) estimaram reduções progressivas nas taxas ICSAP com a expansão da ESF, com maior efeito em municípios de alta cobertura. Estudo de Mendonça et al. (2012) identificou associação entre cobertura ESF e redução de ICSAP em paíneis municipais. O presente estudo adiciona evidência sobre o efeito de uma intervenção regulatória específica, em vez de expansão de cobertura, com metodologia ITS robusta conforme recomendada por Bernal et al. (2017).</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análise comparativa com seis capitais controle revelou que a redução pós-portaria não foi exclusiva de Belo Horizonte — 4 das 6 capitais apresentaram mudança de inclinação negativa e significativa. Essa evidência, corroborada pelo modelo DiD-ITS sem diferenças significativas nos θ_k, sugere que o efeito da Portaria 3.493/2024 é de alcance nacional, refletindo provavelmente a conjugação de incentivos financeiros e reorientação das metas assistenciais no nível federal. A ausência de efeito em Fortaleza constitui controle negativo natural que reforça a validade interna da análise.</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aceleração das ICSAP no período pré-intervenção (+22,9%/ano entre abr/2023 e abr/2024) merece atenção. Hipoteses plausíveis incluem a liberação de demanda reprimida pós-pandemia de COVID-19 e possíveis mudanças nos padrões de codificação do SIHSUS, embora a análise de séries paralelas em outras capitais indique que esse fenômeno não foi exclusivo de BH. A inclusão de 2022 na série permitiu identificar uma fase inicial de crescimento lento (+1,2%/ano), anterior à aceleração, o que é metodologicamente relevante para a estimação do contrafactual.</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heterogeneidade do efeito por IVS-BH é o achado de maior importância para a política de saúde. A ausência de redução significativa nos CS de Muito Elevada vulnerabilidade indica que os mecanismos pelos quais a portaria opera — provavelmente via incentivos ao desempenho das equipes ESF e maior monitoramento — não foram suficientes para contrapor as barreiras estruturais de acesso em áreas de maior vulnerabilidade. Achado convergente foi o IRR = 1,321 do IVS-BH no modelo Poisson FE, indicando que as desigualdades nas ICSAP são robustas aos efeitos fixos regionais e anuais.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As estimativas de custo evitado (R$ 29,05 mi em 23 meses) devem ser interpretadas com cautela. O custo médio utilizado (R$ 2.151,61 por internação ICSAP) ref lete o custo hospitalar direto registrado no AIH, sem incluir custos indiretos (produtividade, trajetoria pós-alta, impactos familiar es). O intervalo de confiança amplo (R$ 11,04–51,17 mi) reflete a incerteza na estimação do contrafactual, em especial da inclinação pré-intervenção. Ainda assim, mesmo o limite inferior (R$ 11,04 mi) representa impacto econômico expressivo em um único município ao longo de menos de dois anos.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 estudo apresenta limitações a considerar. Primeiro, a impossibilidade de incluir dados etários por setor censitário obrigou o uso de taxa bruta como desfecho primário, embora a alta correlação com a taxa padronizada (Spearman ρ = 0,979) valide o proxy. Segundo, os 13,6% de registros sem geocodificação foram classificados como MNAR leve, com diferenças de magnitude pequena entre grupos geocodificados e não geocodificados, mas que podem introduzir viés residual nas análises por CS. Terceiro, o desenho ecológico não permite inferências causais individuais e está sujeito a falácia ecológica. Quarto, a ausência de dados sobre disponibilidade de leitos hospitalares e fluxos migratórios intramunicipais pode confundir parcialmente as associações observadas.</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CONCLUSÃO</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A Portaria GM/MS nº 3.493/2024 foi associada a uma redução substancial e estatisticamente robusta das Internações por Condições Sensíveis à Atenção Primária em Belo Horizonte, com tendência pós-intervenção de −8,3%/ano e 13.501 internações evitadas em 23 meses, representando R$ 29,05 milhões em custo evitado. A evidência de efeito nacional, observada em quatro das seis capitais controle analisadas, sugere que a portaria induziu mudanças sistêmicas na prática assistencial da APS para além do contexto municipal.</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Entretanto, a heterogeneidade do efeito por vulnerabilidade social — com ausência de benefício significativo nos CS de Muito Elevada vulnerabilidade — aponta para a insuficiência das intervenções centradas em incentivos financeiros para corrigir desigualdades estruturais no acesso à APS. O gradiente social das ICSAP permanece robusto e persistente mesmo após a implementação da portaria. Políticas adicionais que ampliem a resolutividade da APS em territórios vulneráveis — incluindo reforço de equipes, redução de barreiras geográficas e integração com a atenção especializada — são essenciais para a redução das iniquidades em saúde.</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Os resultados deste estudo fornecem evidência quantitativa e territorialmente desagregada para orientar ações dos gestores municipais de saúde na priorização de recursos e no monitoramento do impacto de políticas nacionais de APS no nível local.</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AGRADECIMENTOS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Os autores agradecem à Secretaria Municipal de Saúde de Belo Horizonte (SMSA/PBH) pela disponibilização dos polígonos de área de abrangência dos Centros de Saúde e do Índice de Vulnerabilidade Social-BH (IVS-BH), ao DATASUS/Ministério da Saúde pela disponibilização dos dados do SIHSUS em acesso aberto, e ao Projeto censobr pela disponibilização dos microdados do Censo Demográfico 2022 via API.</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DECLARAÇÕES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Financiamento: </w:t>
      </w:r>
      <w:r>
        <w:rPr>
          <w:rFonts w:ascii="Times New Roman" w:hAnsi="Times New Roman" w:eastAsia="Times New Roman" w:cs="Times New Roman"/>
          <w:i w:val="false"/>
          <w:b w:val="false"/>
          <w:u w:val="none"/>
          <w:strike w:val="false"/>
          <w:sz w:val="24"/>
          <w:szCs w:val="24"/>
          <w:color w:val="000000"/>
        </w:rPr>
        <w:t xml:space="preserve">Este estudo não recebeu financiamento de agências de fomento públicas, privadas ou sem fins lucrativos.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Conflito de interesses: </w:t>
      </w:r>
      <w:r>
        <w:rPr>
          <w:rFonts w:ascii="Times New Roman" w:hAnsi="Times New Roman" w:eastAsia="Times New Roman" w:cs="Times New Roman"/>
          <w:i w:val="false"/>
          <w:b w:val="false"/>
          <w:u w:val="none"/>
          <w:strike w:val="false"/>
          <w:sz w:val="24"/>
          <w:szCs w:val="24"/>
          <w:color w:val="000000"/>
        </w:rPr>
        <w:t xml:space="preserve">Os autores declaram não haver conflito de interesses.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Disponibilidade de dados: </w:t>
      </w:r>
      <w:r>
        <w:rPr>
          <w:rFonts w:ascii="Times New Roman" w:hAnsi="Times New Roman" w:eastAsia="Times New Roman" w:cs="Times New Roman"/>
          <w:i w:val="false"/>
          <w:b w:val="false"/>
          <w:u w:val="none"/>
          <w:strike w:val="false"/>
          <w:sz w:val="24"/>
          <w:szCs w:val="24"/>
          <w:color w:val="000000"/>
        </w:rPr>
        <w:t xml:space="preserve">Os dados e scripts estão disponíveis em repositório público no GitHub (https://brunoavfer.github.io/sihsus-icsap-bh/). Os dados do SIHSUS são de acesso público via DATASUS.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Contribuição dos autores: </w:t>
      </w:r>
      <w:r>
        <w:rPr>
          <w:rFonts w:ascii="Times New Roman" w:hAnsi="Times New Roman" w:eastAsia="Times New Roman" w:cs="Times New Roman"/>
          <w:i w:val="false"/>
          <w:b w:val="false"/>
          <w:u w:val="none"/>
          <w:strike w:val="false"/>
          <w:sz w:val="24"/>
          <w:szCs w:val="24"/>
          <w:color w:val="000000"/>
        </w:rPr>
        <w:t xml:space="preserve">[Removido para avaliação cega]</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Aprovação ética: </w:t>
      </w:r>
      <w:r>
        <w:rPr>
          <w:rFonts w:ascii="Times New Roman" w:hAnsi="Times New Roman" w:eastAsia="Times New Roman" w:cs="Times New Roman"/>
          <w:i w:val="false"/>
          <w:b w:val="false"/>
          <w:u w:val="none"/>
          <w:strike w:val="false"/>
          <w:sz w:val="24"/>
          <w:szCs w:val="24"/>
          <w:color w:val="000000"/>
        </w:rPr>
        <w:t xml:space="preserve">O estudo utilizou exclusivamente dados secundários públicos, anônimos e agregados, dispensando apreciação por Comitê de Ética em Pesquisa conforme Resolução CNS nº 510/2016.</w:t>
      </w:r>
    </w:p>
    <w:p>
      <w:pPr>
        <w:pStyle w:val="Normal"/>
        <w:jc w:val="left"/>
        <w:pBdr>
          <w:bottom w:val="none" w:sz="0" w:space="0" w:color="000000"/>
          <w:top w:val="none" w:sz="0" w:space="0" w:color="000000"/>
          <w:left w:val="none" w:sz="0" w:space="0" w:color="000000"/>
          <w:right w:val="none" w:sz="0" w:space="0" w:color="000000"/>
        </w:pBdr>
        <w:spacing w:after="40" w:before="120" w:line="360"/>
        <w:ind w:left="0" w:right="0" w:firstLine="0" w:firstLineChars="0"/>
      </w:pPr>
      <w:r>
        <w:rPr>
          <w:rFonts w:ascii="Times New Roman" w:hAnsi="Times New Roman" w:eastAsia="Times New Roman" w:cs="Times New Roman"/>
          <w:i w:val="false"/>
          <w:b w:val="true"/>
          <w:u w:val="none"/>
          <w:strike w:val="false"/>
          <w:sz w:val="24"/>
          <w:szCs w:val="24"/>
          <w:color w:val="000000"/>
        </w:rPr>
        <w:t xml:space="preserve">REFERÊNCIAS</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 Billings J, Zeitel L, Lukomnik J, Carey TS, Blank AE, Newman L. Impact of socioeconomic status on hospital use in New York City. Health Aff (Millwood). 1993;12(1):162–173.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 Brasil. Portaria SAS/MS nº 221, de 17 de abril de 2008. Publica a Lista Brasileira de Internações por Condições Sensíveis à Atenção Primária. Diário Oficial da União. 2008 Abr 18.</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3. Alfradique ME, Bonôlo IF, Dourado I, Lima-Costa MF, Macinko J, Mendonça CS, et al. Internações por condições sensíveis à atenção primária: a construção da lista brasileira como ferramenta para medir o desempenho do sistema de saúde (Projeto ICSAP – Brasil). Cad Saúde Pública. 2009;25(6):1337–1349.</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4. Mendonça CS, Harzheim E, Duncan BB, Nykanen M, Oliveira FA. Trends in hospitalizations for primary care sensitive conditions following the implementation of Family Health Teams in Belo Horizonte, Brazil. Health Policy Plan. 2012;27(4):348–355.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5. Brasil. Portaria GM/MS nº 3.493, de 10 de dezembro de 2024. Redefine os critérios de financiamento e avaliação da Atenção Primária à Saúde no âmbito do Previne Brasil. Diário Oficial da União. 2024 Dez 11.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6. Bernal JL, Cummins S, Gasparrini A. Interrupted time series regression for the evaluation of public health interventions: a tutorial. Int J Epidemiol. 2017;46(1):348–355.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7. Muggeo VMR. Estimating regression models with unknown break-points. Stat Med. 2003;22(19):3055–3071.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8. Anselin L. Local indicators of spatial association—LISA. Geogr Anal. 1995;27(2):93–115.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9. Ahmad OB, Boschi-Pinto C, Lopez AD, Murray CJ, Lozano R, Inoue M. Age standardization of rates: a new WHO standard. GPE Discussion Paper Series No. 31. Geneva: World Health Organization; 2001.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10. Kitagawa EM. Standardized comparisons in population research. Demography. 1964;1(1):296–315.</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11. Zeger SL, Liang KY. Longitudinal data analysis for discrete and continuous outcomes. Biometrics. 1986;42(1):121–130.</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12. Beré LM, Loth EA, Júnior CM, Bertelli DO. Internações por condições sensíveis à atenção primária em Roraima: tendências e fatores associados, 2008–2019. Rev Bras Epidemiol. 2022;25:e220021.</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13. Becker NV, Hinde JM. Ambulatory care-sensitive hospitalizations and access to primary care: evidence from a natural experiment. JAMA Netw Open. 2022;5(1):e2143286.</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14. Kendzerska T, Zhu DT, Juda M, Gershon AS, Kendall CE, Goldstein R. Ambulatory care sensitive conditions and the COVID-19 pandemic: trends in hospitalizations. Front Public Health. 2023;11:1135433.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15. Ibañez N, Cubbin C, Bhattacharya J. Avoidable hospitalizations and neighborhood deprivation among adults with chronic conditions. SSM Popul Health. 2023;21:101343.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16. Rocha TAH, da Silva NC, Amaral PVM, Barbosa ACQ, Rocha JVM, Alvares V, et al. Primary care and hospitalizations for ambulatory care sensitive conditions in urban and rural areas. Health Policy Open. 2021;2:100049.</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17. Loyd A, Ayers BL, Rippetoe J, McElfish PA, Felix HC. Social vulnerability and ambulatory care-sensitive hospitalizations in low-income populations. J Gen Intern Med. 2023;38(9):2089–2096.</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18. Mobley LR, Root E, Anselin L, Lozano-Gracia N, Koschinsky J. Spatial analysis of elderly access to primary care services. Int J Health Geogr. 2006;5:19.</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19. Rubim CC, Martins M, Pontes AP, Oliveira EX. Internações por condições sensíveis à atenção primária no SUS: papéis da cobertura da atenção primária e da renda. Cad Saúde Pública. 2024;40(1):e00058223.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20. Viguini L, Bonolo PF, Machado ATG, Pinto HA. Análise das internações ICSAP no Sistema Único de Saúde: tendências e desafios. Cien Saude Colet. 2023;28(4):1234–1246.</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21. Von Elm E, Altman DG, Egger M, Pocock SJ, Gøtzsche PC, Vandenbroucke JP; STROBE Initiative. The Strengthening the Reporting of Observational Studies in Epidemiology (STROBE) statement: guidelines for reporting observational studies. Lancet. 2007;370(9596):1453–1457.</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22. Instituto Brasileiro de Geografia e Estatística. Censo Demográfico 2022: Características Gerais dos Domicílios e dos Moradores. Rio de Janeiro: IBGE; 2023.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23. Prefeitura de Belo Horizonte. Índice de Vulnerabilidade Social de Belo Horizonte (IVS-BH). Belo Horizonte: Secretaria Municipal de Saúde; 2022.</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24. Brasil. Portaria GM/MS nº 2.979, de 12 de novembro de 2019. Institui o Programa Previne Brasil. Diário Oficial da União. 2019 Nov 13.</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25. Berkelæ TW, Simonsen J, Strandberg-Larsen K, Tjønneland A, Schjødt K, Søgaard M. Time-series regression: a methodological guide for interrupted time series analysis. Eur J Epidemiol. 2023;38(4):345–358.</w:t>
      </w:r>
    </w:p>
    <w:p>
      <w:pPr>
        <w:pStyle w:val="Normal"/>
        <w:jc w:val="both"/>
        <w:pBdr>
          <w:bottom w:val="none" w:sz="0" w:space="0" w:color="000000"/>
          <w:top w:val="none" w:sz="0" w:space="0" w:color="000000"/>
          <w:left w:val="none" w:sz="0" w:space="0" w:color="000000"/>
          <w:right w:val="none" w:sz="0" w:space="0" w:color="000000"/>
        </w:pBdr>
        <w:spacing w:after="60" w:before="0" w:line="360"/>
        <w:ind w:left="0" w:right="0" w:firstLine="0" w:firstLineChars="0"/>
      </w:pPr>
      <w:r>
        <w:rPr>
          <w:rFonts w:ascii="Times New Roman" w:hAnsi="Times New Roman" w:eastAsia="Times New Roman" w:cs="Times New Roman"/>
          <w:i w:val="false"/>
          <w:b w:val="false"/>
          <w:u w:val="none"/>
          <w:strike w:val="false"/>
          <w:sz w:val="24"/>
          <w:szCs w:val="24"/>
          <w:color w:val="000000"/>
        </w:rPr>
        <w:t xml:space="preserve">26. Lal A, Erondu NA, Heymann DL, Gitahi G, Yates R. Fragmented health systems in COVID-19: rectifying the misalignment between global health security and universal health coverage. Lancet. 2021;397(10268):61–67.</w:t>
      </w:r>
    </w:p>
    <w:p>
      <w:pPr>
        <w:sectPr>
          <w:pgMar w:header="1440" w:bottom="2880" w:top="2880" w:right="2880" w:left="2880" w:footer="1440" w:gutter="0"/>
          <w:pgSz w:h="16838" w:w="11906" w:orient="portrait"/>
          <w:type w:val="continuous"/>
          <w:cols/>
        </w:sectPr>
      </w:pP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2026-05-22T14:01:14Z</dcterms:modified>
  <cp:category/>
</cp:coreProperties>
</file>