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doc_index="1">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
        <w:rPr>
          <w:rFonts w:ascii="Times New Roman" w:hAnsi="Times New Roman" w:eastAsia="Times New Roman" w:cs="Times New Roman"/>
          <w:i w:val="false"/>
          <w:b w:val="true"/>
          <w:u w:val="none"/>
          <w:strike w:val="false"/>
          <w:sz w:val="26"/>
          <w:szCs w:val="26"/>
          <w:color w:val="000000"/>
        </w:rPr>
        <w:t xml:space="preserve" w:run_content_index="1">Impacto da Portaria GM/MS nº 3.493/2024 sobre as Internações por Condições Sensíveis à Atenção Primária em Belo Horizonte: estudo de série temporal interrompida, 2022–2026</w:t>
      </w:r>
    </w:p>
    <w:p w:doc_index="2">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2">
        <w:rPr>
          <w:rFonts w:ascii="Times New Roman" w:hAnsi="Times New Roman" w:eastAsia="Times New Roman" w:cs="Times New Roman"/>
          <w:i w:val="true"/>
          <w:b w:val="false"/>
          <w:u w:val="none"/>
          <w:strike w:val="false"/>
          <w:sz w:val="24"/>
          <w:szCs w:val="24"/>
          <w:color w:val="000000"/>
        </w:rPr>
        <w:t xml:space="preserve" w:run_content_index="2">Impact of Ordinance GM/MS No. 3,493/2024 on Ambulatory Care-Sensitive Hospitalizations in Belo Horizonte: an interrupted time series study, 2022–2026</w:t>
      </w:r>
    </w:p>
    <w:p w:doc_index="3">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3">
        <w:rPr>
          <w:rFonts w:ascii="Times New Roman" w:hAnsi="Times New Roman" w:eastAsia="Times New Roman" w:cs="Times New Roman"/>
          <w:i w:val="true"/>
          <w:b w:val="false"/>
          <w:u w:val="none"/>
          <w:strike w:val="false"/>
          <w:sz w:val="24"/>
          <w:szCs w:val="24"/>
          <w:color w:val="000000"/>
        </w:rPr>
        <w:t xml:space="preserve" w:run_content_index="3">Impacto de la Ordenanza GM/MS Nº 3.493/2024 sobre las Internaciones por Condiciones Sensibles a la Atención Primaria en Belo Horizonte: estudio de serie temporal interrumpida, 2022–2026</w:t>
      </w:r>
    </w:p>
    <w:p w:doc_index="4">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4">
        <w:rPr>
          <w:rFonts w:ascii="Times New Roman" w:hAnsi="Times New Roman" w:eastAsia="Times New Roman" w:cs="Times New Roman"/>
          <w:i w:val="false"/>
          <w:b w:val="false"/>
          <w:u w:val="none"/>
          <w:strike w:val="false"/>
          <w:sz w:val="24"/>
          <w:szCs w:val="24"/>
          <w:color w:val="000000"/>
        </w:rPr>
        <w:t xml:space="preserve" w:run_content_index="4">[Autores removidos para avaliação cega]</w:t>
      </w:r>
    </w:p>
    <w:p w:doc_index="5">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5">
        <w:rPr>
          <w:rFonts w:ascii="Times New Roman" w:hAnsi="Times New Roman" w:eastAsia="Times New Roman" w:cs="Times New Roman"/>
          <w:i w:val="false"/>
          <w:b w:val="false"/>
          <w:u w:val="none"/>
          <w:strike w:val="false"/>
          <w:sz w:val="24"/>
          <w:szCs w:val="24"/>
          <w:color w:val="000000"/>
        </w:rPr>
        <w:t xml:space="preserve" w:run_content_index="5">Belo Horizonte, Minas Gerais, Brasil</w:t>
      </w:r>
    </w:p>
    <w:p w:doc_index="6">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6">
        <w:rPr>
          <w:rFonts w:ascii="Times New Roman" w:hAnsi="Times New Roman" w:eastAsia="Times New Roman" w:cs="Times New Roman"/>
          <w:i w:val="false"/>
          <w:b w:val="true"/>
          <w:u w:val="none"/>
          <w:strike w:val="false"/>
          <w:sz w:val="24"/>
          <w:szCs w:val="24"/>
          <w:color w:val="000000"/>
        </w:rPr>
        <w:t xml:space="preserve" w:run_content_index="6">RESUMO</w:t>
      </w:r>
    </w:p>
    <w:p w:doc_index="7">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7">
        <w:rPr>
          <w:rFonts w:ascii="Times New Roman" w:hAnsi="Times New Roman" w:eastAsia="Times New Roman" w:cs="Times New Roman"/>
          <w:i w:val="false"/>
          <w:b w:val="false"/>
          <w:u w:val="none"/>
          <w:strike w:val="false"/>
          <w:sz w:val="24"/>
          <w:szCs w:val="24"/>
          <w:color w:val="000000"/>
        </w:rPr>
        <w:t xml:space="preserve" w:run_content_index="7">Objetivo: Avaliar o impacto da Portaria GM/MS nº 3.493/2024 sobre a tendência das internações por condições sensíveis à atenção primária (ICSAP) em Belo Horizonte, Minas Gerais, e estimar internações evitadas e custo evitado no período pós-intervenção.</w:t>
      </w:r>
    </w:p>
    <w:p w:doc_index="8">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8">
        <w:rPr>
          <w:rFonts w:ascii="Times New Roman" w:hAnsi="Times New Roman" w:eastAsia="Times New Roman" w:cs="Times New Roman"/>
          <w:i w:val="false"/>
          <w:b w:val="false"/>
          <w:u w:val="none"/>
          <w:strike w:val="false"/>
          <w:sz w:val="24"/>
          <w:szCs w:val="24"/>
          <w:color w:val="000000"/>
        </w:rPr>
        <w:t xml:space="preserve" w:run_content_index="8">Métodos: Estudo ecológico de série temporal interrompida (ITS) com 638.098 internações do SIHSUS/DATASUS (janeiro/2022 a março/2026), desagregadas por 153 áreas de abrangência de Centros de Saúde. Aplicou-se regressão GLS AR(1), joinpoint e modelo de Poisson de dois sentidos com efeitos fixos (CS e ano). Internações evitadas estimadas por contrafactual GLS com Monte Carlo (n = 1.000 iterações). Heterogeneidade por vulnerabilidade social (IVS-BH) avaliada via GEE AR-1.</w:t>
      </w:r>
    </w:p>
    <w:p w:doc_index="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
        <w:rPr>
          <w:rFonts w:ascii="Times New Roman" w:hAnsi="Times New Roman" w:eastAsia="Times New Roman" w:cs="Times New Roman"/>
          <w:i w:val="false"/>
          <w:b w:val="false"/>
          <w:u w:val="none"/>
          <w:strike w:val="false"/>
          <w:sz w:val="24"/>
          <w:szCs w:val="24"/>
          <w:color w:val="000000"/>
        </w:rPr>
        <w:t xml:space="preserve" w:run_content_index="9">Resultados: A taxa ICSAP apresentou tendência pré-intervenção de +12,3%/ano (p &lt; 0,001), revertendo para −8,3%/ano após a portaria (IC95%: −12,5; −3,9). O modelo joinpoint identificou dois pontos de inflexão (abril/2023 e abril/2024). Foram evitadas 13.501 internações (IC95%: 5.132–23.784) e R$ 29,05 milhões em custos (IC95%: R$ 11,04–51,17 mi). CS em áreas de Muito Elevada vulnerabilidade não apresentaram redução significativa de nível (p = 0,315).</w:t>
      </w:r>
    </w:p>
    <w:p w:doc_index="10">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
        <w:rPr>
          <w:rFonts w:ascii="Times New Roman" w:hAnsi="Times New Roman" w:eastAsia="Times New Roman" w:cs="Times New Roman"/>
          <w:i w:val="false"/>
          <w:b w:val="false"/>
          <w:u w:val="none"/>
          <w:strike w:val="false"/>
          <w:sz w:val="24"/>
          <w:szCs w:val="24"/>
          <w:color w:val="000000"/>
        </w:rPr>
        <w:t xml:space="preserve" w:run_content_index="10">Conclusão: A Portaria GM/MS 3.493/2024 associou-se a redução substancial das ICSAP em Belo Horizonte, com impacto financeiro relevante. O benefício foi heterogêneo por vulnerabilidade social, indicando a necessidade de estratégias específicas para populações em maior vulnerabilidade.</w:t>
      </w:r>
    </w:p>
    <w:p w:doc_index="1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1">
        <w:rPr>
          <w:rFonts w:ascii="Times New Roman" w:hAnsi="Times New Roman" w:eastAsia="Times New Roman" w:cs="Times New Roman"/>
          <w:i w:val="false"/>
          <w:b w:val="true"/>
          <w:u w:val="none"/>
          <w:strike w:val="false"/>
          <w:sz w:val="24"/>
          <w:szCs w:val="24"/>
          <w:color w:val="000000"/>
        </w:rPr>
        <w:t xml:space="preserve" w:run_content_index="11">Palavras-chave: </w:t>
      </w:r>
      <w:r w:run_index="12">
        <w:rPr>
          <w:rFonts w:ascii="Times New Roman" w:hAnsi="Times New Roman" w:eastAsia="Times New Roman" w:cs="Times New Roman"/>
          <w:i w:val="false"/>
          <w:b w:val="false"/>
          <w:u w:val="none"/>
          <w:strike w:val="false"/>
          <w:sz w:val="24"/>
          <w:szCs w:val="24"/>
          <w:color w:val="000000"/>
        </w:rPr>
        <w:t xml:space="preserve" w:run_content_index="12">internações evitáveis; atenção primária à saúde; política de saúde; série temporal interrompida; desigualdade em saúde.</w:t>
      </w:r>
    </w:p>
    <w:p w:doc_index="12">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13">
        <w:rPr>
          <w:rFonts w:ascii="Times New Roman" w:hAnsi="Times New Roman" w:eastAsia="Times New Roman" w:cs="Times New Roman"/>
          <w:i w:val="false"/>
          <w:b w:val="true"/>
          <w:u w:val="none"/>
          <w:strike w:val="false"/>
          <w:sz w:val="24"/>
          <w:szCs w:val="24"/>
          <w:color w:val="000000"/>
        </w:rPr>
        <w:t xml:space="preserve" w:run_content_index="13">ABSTRACT</w:t>
      </w:r>
    </w:p>
    <w:p w:doc_index="13">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4">
        <w:rPr>
          <w:rFonts w:ascii="Times New Roman" w:hAnsi="Times New Roman" w:eastAsia="Times New Roman" w:cs="Times New Roman"/>
          <w:i w:val="false"/>
          <w:b w:val="false"/>
          <w:u w:val="none"/>
          <w:strike w:val="false"/>
          <w:sz w:val="24"/>
          <w:szCs w:val="24"/>
          <w:color w:val="000000"/>
        </w:rPr>
        <w:t xml:space="preserve" w:run_content_index="14">Objective: To evaluate the impact of Brazilian Ordinance GM/MS No. 3,493/2024 on the trend of ambulatory care-sensitive hospitalizations (ACSH) in Belo Horizonte, Minas Gerais, and to estimate prevented hospitalizations and associated cost savings in the post-intervention period.</w:t>
      </w:r>
    </w:p>
    <w:p w:doc_index="14">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5">
        <w:rPr>
          <w:rFonts w:ascii="Times New Roman" w:hAnsi="Times New Roman" w:eastAsia="Times New Roman" w:cs="Times New Roman"/>
          <w:i w:val="false"/>
          <w:b w:val="false"/>
          <w:u w:val="none"/>
          <w:strike w:val="false"/>
          <w:sz w:val="24"/>
          <w:szCs w:val="24"/>
          <w:color w:val="000000"/>
        </w:rPr>
        <w:t xml:space="preserve" w:run_content_index="15">Methods: Ecological interrupted time series (ITS) study with 638,098 hospitalizations from SIHSUS/DATASUS (January 2022 to March 2026), disaggregated across 153 primary healthcare unit catchment areas. GLS AR(1) regression, joinpoint analysis, and two-way fixed-effects Poisson models (health center and year) were applied. Prevented hospitalizations were estimated using a GLS counterfactual with Monte Carlo simulation (n = 1,000 iterations). Heterogeneity by social vulnerability (IVS-BH) was assessed via GEE AR-1.</w:t>
      </w:r>
    </w:p>
    <w:p w:doc_index="15">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6">
        <w:rPr>
          <w:rFonts w:ascii="Times New Roman" w:hAnsi="Times New Roman" w:eastAsia="Times New Roman" w:cs="Times New Roman"/>
          <w:i w:val="false"/>
          <w:b w:val="false"/>
          <w:u w:val="none"/>
          <w:strike w:val="false"/>
          <w:sz w:val="24"/>
          <w:szCs w:val="24"/>
          <w:color w:val="000000"/>
        </w:rPr>
        <w:t xml:space="preserve" w:run_content_index="16">Results: Pre-intervention ACSH trend was +12.3%/year (p &lt; 0.001), reversing to −8.3%/year after the ordinance (95%CI: −12.5; −3.9). Joinpoint regression identified two inflection points (April 2023 and April 2024). An estimated 13,501 hospitalizations were prevented (95%CI: 5,132–23,784), yielding R$29.05 million in savings (95%CI: R$11.04–51.17 million). Health centers in Very High vulnerability areas showed no significant level reduction (p = 0.315).</w:t>
      </w:r>
    </w:p>
    <w:p w:doc_index="16">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7">
        <w:rPr>
          <w:rFonts w:ascii="Times New Roman" w:hAnsi="Times New Roman" w:eastAsia="Times New Roman" w:cs="Times New Roman"/>
          <w:i w:val="false"/>
          <w:b w:val="false"/>
          <w:u w:val="none"/>
          <w:strike w:val="false"/>
          <w:sz w:val="24"/>
          <w:szCs w:val="24"/>
          <w:color w:val="000000"/>
        </w:rPr>
        <w:t xml:space="preserve" w:run_content_index="17">Conclusion: Ordinance GM/MS 3,493/2024 was associated with a substantial reduction in ACSH in Belo Horizonte, with meaningful financial impact. Benefits were heterogeneous by social vulnerability, highlighting the need for targeted strategies in the most vulnerable areas.</w:t>
      </w:r>
    </w:p>
    <w:p w:doc_index="17">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8">
        <w:rPr>
          <w:rFonts w:ascii="Times New Roman" w:hAnsi="Times New Roman" w:eastAsia="Times New Roman" w:cs="Times New Roman"/>
          <w:i w:val="false"/>
          <w:b w:val="true"/>
          <w:u w:val="none"/>
          <w:strike w:val="false"/>
          <w:sz w:val="24"/>
          <w:szCs w:val="24"/>
          <w:color w:val="000000"/>
        </w:rPr>
        <w:t xml:space="preserve" w:run_content_index="18">Keywords: </w:t>
      </w:r>
      <w:r w:run_index="19">
        <w:rPr>
          <w:rFonts w:ascii="Times New Roman" w:hAnsi="Times New Roman" w:eastAsia="Times New Roman" w:cs="Times New Roman"/>
          <w:i w:val="false"/>
          <w:b w:val="false"/>
          <w:u w:val="none"/>
          <w:strike w:val="false"/>
          <w:sz w:val="24"/>
          <w:szCs w:val="24"/>
          <w:color w:val="000000"/>
        </w:rPr>
        <w:t xml:space="preserve" w:run_content_index="19">preventable hospitalizations; primary health care; health policy; interrupted time series; health inequalities.</w:t>
      </w:r>
    </w:p>
    <w:p w:doc_index="18">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20">
        <w:rPr>
          <w:rFonts w:ascii="Times New Roman" w:hAnsi="Times New Roman" w:eastAsia="Times New Roman" w:cs="Times New Roman"/>
          <w:i w:val="false"/>
          <w:b w:val="true"/>
          <w:u w:val="none"/>
          <w:strike w:val="false"/>
          <w:sz w:val="24"/>
          <w:szCs w:val="24"/>
          <w:color w:val="000000"/>
        </w:rPr>
        <w:t xml:space="preserve" w:run_content_index="20">RESUMEN</w:t>
      </w:r>
    </w:p>
    <w:p w:doc_index="1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21">
        <w:rPr>
          <w:rFonts w:ascii="Times New Roman" w:hAnsi="Times New Roman" w:eastAsia="Times New Roman" w:cs="Times New Roman"/>
          <w:i w:val="false"/>
          <w:b w:val="false"/>
          <w:u w:val="none"/>
          <w:strike w:val="false"/>
          <w:sz w:val="24"/>
          <w:szCs w:val="24"/>
          <w:color w:val="000000"/>
        </w:rPr>
        <w:t xml:space="preserve" w:run_content_index="21">Objetivo: Evaluar el impacto de la Ordenanza GM/MS Nº 3.493/2024 sobre la tendencia de las internaciones por condiciones sensibles a la atención primaria (ICSAP) en Belo Horizonte, Minas Gerais, y estimar las internaciones evitadas y el costo evitado en el período posintervención.</w:t>
      </w:r>
    </w:p>
    <w:p w:doc_index="20">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22">
        <w:rPr>
          <w:rFonts w:ascii="Times New Roman" w:hAnsi="Times New Roman" w:eastAsia="Times New Roman" w:cs="Times New Roman"/>
          <w:i w:val="false"/>
          <w:b w:val="false"/>
          <w:u w:val="none"/>
          <w:strike w:val="false"/>
          <w:sz w:val="24"/>
          <w:szCs w:val="24"/>
          <w:color w:val="000000"/>
        </w:rPr>
        <w:t xml:space="preserve" w:run_content_index="22">Métodos: Estudio ecológico de serie temporal interrumpida (ITS) con 638.098 internaciones del SIHSUS/DATASUS (enero/2022 a marzo/2026), desagregadas por 153 áreas de cobertura de Centros de Salud. Se aplicó regresión GLS AR(1), joinpoint y modelo de Poisson de doble vía con efectos fijos (CS y año). Las internaciones evitadas se estimaron mediante contrafactual GLS con Monte Carlo (n = 1.000 iteraciones). La heterogeneidad por vulnerabilidad social (IVS-BH) se evaluó mediante GEE AR-1.</w:t>
      </w:r>
    </w:p>
    <w:p w:doc_index="2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23">
        <w:rPr>
          <w:rFonts w:ascii="Times New Roman" w:hAnsi="Times New Roman" w:eastAsia="Times New Roman" w:cs="Times New Roman"/>
          <w:i w:val="false"/>
          <w:b w:val="false"/>
          <w:u w:val="none"/>
          <w:strike w:val="false"/>
          <w:sz w:val="24"/>
          <w:szCs w:val="24"/>
          <w:color w:val="000000"/>
        </w:rPr>
        <w:t xml:space="preserve" w:run_content_index="23">Resultados: La tendencia preintervención de la tasa ICSAP fue de +12,3%/año (p &lt; 0,001), revirtiendo a −8,3%/año tras la ordenanza (IC95%: −12,5; −3,9). El análisis joinpoint identificó dos puntos de inflexión (abril/2023 y abril/2024). Se evitaron 13.501 internaciones (IC95%: 5.132–23.784) y R$ 29,05 millones en costos (IC95%: R$ 11,04–51,17 mi). Los CS en áreas de Muy Alta vulnerabilidad no mostraron reducción significativa de nivel (p = 0,315).</w:t>
      </w:r>
    </w:p>
    <w:p w:doc_index="22">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24">
        <w:rPr>
          <w:rFonts w:ascii="Times New Roman" w:hAnsi="Times New Roman" w:eastAsia="Times New Roman" w:cs="Times New Roman"/>
          <w:i w:val="false"/>
          <w:b w:val="false"/>
          <w:u w:val="none"/>
          <w:strike w:val="false"/>
          <w:sz w:val="24"/>
          <w:szCs w:val="24"/>
          <w:color w:val="000000"/>
        </w:rPr>
        <w:t xml:space="preserve" w:run_content_index="24">Conclusión: La Ordenanza GM/MS 3.493/2024 se asoció con una reducción sustancial de las ICSAP en Belo Horizonte, con impacto financiero relevante. El beneficio fue heterogéneo por vulnerabilidad social, indicando la necesidad de estrategias específicas para las poblaciones más vulnerables.</w:t>
      </w:r>
    </w:p>
    <w:p w:doc_index="23">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25">
        <w:rPr>
          <w:rFonts w:ascii="Times New Roman" w:hAnsi="Times New Roman" w:eastAsia="Times New Roman" w:cs="Times New Roman"/>
          <w:i w:val="false"/>
          <w:b w:val="true"/>
          <w:u w:val="none"/>
          <w:strike w:val="false"/>
          <w:sz w:val="24"/>
          <w:szCs w:val="24"/>
          <w:color w:val="000000"/>
        </w:rPr>
        <w:t xml:space="preserve" w:run_content_index="25">Palabras clave: </w:t>
      </w:r>
      <w:r w:run_index="26">
        <w:rPr>
          <w:rFonts w:ascii="Times New Roman" w:hAnsi="Times New Roman" w:eastAsia="Times New Roman" w:cs="Times New Roman"/>
          <w:i w:val="false"/>
          <w:b w:val="false"/>
          <w:u w:val="none"/>
          <w:strike w:val="false"/>
          <w:sz w:val="24"/>
          <w:szCs w:val="24"/>
          <w:color w:val="000000"/>
        </w:rPr>
        <w:t xml:space="preserve" w:run_content_index="26">hospitalizaciones evitables; atención primaria de salud; política de salud; serie temporal interrumpida; desigualdad en salud.</w:t>
      </w:r>
    </w:p>
    <w:p w:doc_index="24">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27">
        <w:rPr>
          <w:rFonts w:ascii="Times New Roman" w:hAnsi="Times New Roman" w:eastAsia="Times New Roman" w:cs="Times New Roman"/>
          <w:i w:val="false"/>
          <w:b w:val="true"/>
          <w:u w:val="none"/>
          <w:strike w:val="false"/>
          <w:sz w:val="24"/>
          <w:szCs w:val="24"/>
          <w:color w:val="000000"/>
        </w:rPr>
        <w:t xml:space="preserve" w:run_content_index="27">INTRODUÇÃO</w:t>
      </w:r>
    </w:p>
    <w:p w:doc_index="25">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28">
        <w:rPr>
          <w:rFonts w:ascii="Times New Roman" w:hAnsi="Times New Roman" w:eastAsia="Times New Roman" w:cs="Times New Roman"/>
          <w:i w:val="false"/>
          <w:b w:val="false"/>
          <w:u w:val="none"/>
          <w:strike w:val="false"/>
          <w:sz w:val="24"/>
          <w:szCs w:val="24"/>
          <w:color w:val="000000"/>
        </w:rPr>
        <w:t xml:space="preserve" w:run_content_index="28">As internações por condições sensíveis à atenção primária (ICSAP) são hospitalizações potencialmente evitáveis quando a atenção primária à saúde (APS) atua de forma oportuna e resolutiva. O conceito, originalmente proposto por Billings et al. (1993) nos Estados Unidos, foi adaptado ao contexto brasileiro pela Portaria SAS/MS nº 221/2008, que estabeleceu a Lista Brasileira de Internações por Condições Sensíveis à Atenção Primária. Desde então, a taxa ICSAP tem sido amplamente utilizada como indicador proxy da qualidade e resolutividade da APS municipal no Sistema Único de Saúde (SUS).</w:t>
      </w:r>
    </w:p>
    <w:p w:doc_index="26">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29">
        <w:rPr>
          <w:rFonts w:ascii="Times New Roman" w:hAnsi="Times New Roman" w:eastAsia="Times New Roman" w:cs="Times New Roman"/>
          <w:i w:val="false"/>
          <w:b w:val="false"/>
          <w:u w:val="none"/>
          <w:strike w:val="false"/>
          <w:sz w:val="24"/>
          <w:szCs w:val="24"/>
          <w:color w:val="000000"/>
        </w:rPr>
        <w:t xml:space="preserve" w:run_content_index="29">No Brasil, estudo de abrangência nacional demonstrou que a expansão da Estratégia Saúde da Família (ESF) foi associada a reduções significativas nas taxas ICSAP entre 1999 e 2007, com efeito progressivo conforme a consolidação da cobertura (Alfradique et al., 2009). Estimativas mais recentes confirmam essa relação em estudos de séries temporais em múltiplos municípios brasileiros. Contudo, a trajetória pós-pandemia das ICSAP permanece pouco documentada, especialmente em grandes centros urbanos com alta densidade de serviços de APS.</w:t>
      </w:r>
    </w:p>
    <w:p w:doc_index="27">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30">
        <w:rPr>
          <w:rFonts w:ascii="Times New Roman" w:hAnsi="Times New Roman" w:eastAsia="Times New Roman" w:cs="Times New Roman"/>
          <w:i w:val="false"/>
          <w:b w:val="false"/>
          <w:u w:val="none"/>
          <w:strike w:val="false"/>
          <w:sz w:val="24"/>
          <w:szCs w:val="24"/>
          <w:color w:val="000000"/>
        </w:rPr>
        <w:t xml:space="preserve" w:run_content_index="30">Em dezembro de 2024, o Ministério da Saúde publicou a Portaria GM/MS nº 3.493/2024, que redefine os critérios de financiamento e avaliação da APS no âmbito do Programa Previne Brasil. Entre as principais inovações, a portaria incorpora metas explícitas de redução de ICSAP como critério de desempenho das equipes de saúde da família, vinculando parte do repasse financeiro aos municípios ao controle dessas internações. Embora a portaria tenha vigência nacional, seu impacto local ainda não foi sistematicamente avaliado.</w:t>
      </w:r>
    </w:p>
    <w:p w:doc_index="28">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31">
        <w:rPr>
          <w:rFonts w:ascii="Times New Roman" w:hAnsi="Times New Roman" w:eastAsia="Times New Roman" w:cs="Times New Roman"/>
          <w:i w:val="false"/>
          <w:b w:val="false"/>
          <w:u w:val="none"/>
          <w:strike w:val="false"/>
          <w:sz w:val="24"/>
          <w:szCs w:val="24"/>
          <w:color w:val="000000"/>
        </w:rPr>
        <w:t xml:space="preserve" w:run_content_index="31">Belo Horizonte representa um campo privilegiado para esta avaliação. O município conta com 153 Centros de Saúde organizados em 9 regionais administrativas, cobertura ESF histórica superior à média nacional e sistema de informações hospitalares com alto grau de completude. A desagregação das ICSAP por área de abrangência de CS permite avaliar heterogeneidades intramunicipais associadas a condições socioambientais, como o Índice de Vulnerabilidade Social de Belo Horizonte (IVS-BH), calculado pela Secretaria Municipal de Saúde. Estudos anteriores demonstraram autocorrelação espacial significativa das ICSAP em BH (Moran’s I = 0,283; p &lt; 0,001), reforçando a relevância da análise desagregada.</w:t>
      </w:r>
    </w:p>
    <w:p w:doc_index="2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32">
        <w:rPr>
          <w:rFonts w:ascii="Times New Roman" w:hAnsi="Times New Roman" w:eastAsia="Times New Roman" w:cs="Times New Roman"/>
          <w:i w:val="false"/>
          <w:b w:val="false"/>
          <w:u w:val="none"/>
          <w:strike w:val="false"/>
          <w:sz w:val="24"/>
          <w:szCs w:val="24"/>
          <w:color w:val="000000"/>
        </w:rPr>
        <w:t xml:space="preserve" w:run_content_index="32">O objetivo deste estudo é avaliar o impacto da Portaria GM/MS nº 3.493/2024 sobre a tendência das ICSAP em Belo Horizonte no período de janeiro de 2022 a março de 2026, utilizando delineamento de série temporal interrompida. Como objetivos secundários, o estudo busca: (1) estimar o número de internações evitadas e o custo evitado no sistema de saúde; (2) identificar fatores contextuais associados às ICSAP no nível dos Centros de Saúde; e (3) avaliar se os efeitos da portaria foram homogêneos entre áreas com diferentes níveis de vulnerabilidade social.</w:t>
      </w:r>
    </w:p>
    <w:p w:doc_index="30">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33">
        <w:rPr>
          <w:rFonts w:ascii="Times New Roman" w:hAnsi="Times New Roman" w:eastAsia="Times New Roman" w:cs="Times New Roman"/>
          <w:i w:val="false"/>
          <w:b w:val="true"/>
          <w:u w:val="none"/>
          <w:strike w:val="false"/>
          <w:sz w:val="24"/>
          <w:szCs w:val="24"/>
          <w:color w:val="000000"/>
        </w:rPr>
        <w:t xml:space="preserve" w:run_content_index="33">MÉTODOS</w:t>
      </w:r>
    </w:p>
    <w:p w:doc_index="31">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34">
        <w:rPr>
          <w:rFonts w:ascii="Times New Roman" w:hAnsi="Times New Roman" w:eastAsia="Times New Roman" w:cs="Times New Roman"/>
          <w:i w:val="true"/>
          <w:b w:val="true"/>
          <w:u w:val="none"/>
          <w:strike w:val="false"/>
          <w:sz w:val="24"/>
          <w:szCs w:val="24"/>
          <w:color w:val="000000"/>
        </w:rPr>
        <w:t xml:space="preserve" w:run_content_index="34">Desenho do estudo e fonte de dados</w:t>
      </w:r>
    </w:p>
    <w:p w:doc_index="32">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35">
        <w:rPr>
          <w:rFonts w:ascii="Times New Roman" w:hAnsi="Times New Roman" w:eastAsia="Times New Roman" w:cs="Times New Roman"/>
          <w:i w:val="false"/>
          <w:b w:val="false"/>
          <w:u w:val="none"/>
          <w:strike w:val="false"/>
          <w:sz w:val="24"/>
          <w:szCs w:val="24"/>
          <w:color w:val="000000"/>
        </w:rPr>
        <w:t xml:space="preserve" w:run_content_index="35">Estudo ecológico de série temporal interrompida (ITS), conduzido no município de Belo Horizonte, Minas Gerais. Os dados de hospitalização foram obtidos do Sistema de Informações Hospitalares do SUS (SIHSUS/DATASUS), arquivo Reduzida de Morbidade Hospitalar do estado de Minas Gerais (série RDMG), para o período de janeiro de 2022 a março de 2026 (51 competências mensais). O relato segue as diretrizes STROBE para estudos observacionais.</w:t>
      </w:r>
    </w:p>
    <w:p w:doc_index="33">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36">
        <w:rPr>
          <w:rFonts w:ascii="Times New Roman" w:hAnsi="Times New Roman" w:eastAsia="Times New Roman" w:cs="Times New Roman"/>
          <w:i w:val="true"/>
          <w:b w:val="true"/>
          <w:u w:val="none"/>
          <w:strike w:val="false"/>
          <w:sz w:val="24"/>
          <w:szCs w:val="24"/>
          <w:color w:val="000000"/>
        </w:rPr>
        <w:t xml:space="preserve" w:run_content_index="36">Critérios de inclusão e identificação das ICSAP</w:t>
      </w:r>
    </w:p>
    <w:p w:doc_index="34">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37">
        <w:rPr>
          <w:rFonts w:ascii="Times New Roman" w:hAnsi="Times New Roman" w:eastAsia="Times New Roman" w:cs="Times New Roman"/>
          <w:i w:val="false"/>
          <w:b w:val="false"/>
          <w:u w:val="none"/>
          <w:strike w:val="false"/>
          <w:sz w:val="24"/>
          <w:szCs w:val="24"/>
          <w:color w:val="000000"/>
        </w:rPr>
        <w:t xml:space="preserve" w:run_content_index="37">Foram incluídas exclusivamente internações que satisfizeram simultaneamente dois critérios: (1) residência do paciente em Belo Horizonte (MUNIC_RES = 310620) e (2) realização da internação em estabelecimento de saúde no próprio município (MUNIC_MOV = 310620). Esse filtro duplo garante que o indicador avalie a efetividade da APS de BH para sua população adscrita. As ICSAP foram identificadas pelo cruzamento dos CIDs-10 da causa principal de internação com a Lista Brasileira de ICSAP (Portaria SAS/MS nº 221/2008), resultando em 113.695 internações ICSAP sobre 638.098 internações totais (taxa média de 17,8%).</w:t>
      </w:r>
    </w:p>
    <w:p w:doc_index="35">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38">
        <w:rPr>
          <w:rFonts w:ascii="Times New Roman" w:hAnsi="Times New Roman" w:eastAsia="Times New Roman" w:cs="Times New Roman"/>
          <w:i w:val="true"/>
          <w:b w:val="true"/>
          <w:u w:val="none"/>
          <w:strike w:val="false"/>
          <w:sz w:val="24"/>
          <w:szCs w:val="24"/>
          <w:color w:val="000000"/>
        </w:rPr>
        <w:t xml:space="preserve" w:run_content_index="38">Geocodificação e alocação por Centro de Saúde</w:t>
      </w:r>
    </w:p>
    <w:p w:doc_index="36">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39">
        <w:rPr>
          <w:rFonts w:ascii="Times New Roman" w:hAnsi="Times New Roman" w:eastAsia="Times New Roman" w:cs="Times New Roman"/>
          <w:i w:val="false"/>
          <w:b w:val="false"/>
          <w:u w:val="none"/>
          <w:strike w:val="false"/>
          <w:sz w:val="24"/>
          <w:szCs w:val="24"/>
          <w:color w:val="000000"/>
        </w:rPr>
        <w:t xml:space="preserve" w:run_content_index="39">A alocação das internações ao Centro de Saúde (CS) correspondente foi realizada por geoprocessamento, mediante cruzamento espacial ponto × polígono entre as coordenadas geográficas dos CEPs de residência e os polígonos oficiais de área de abrangência dos 153 CS de BH (PBH/SMSA, licença CC Attribution). A geocodificação utilizou uma cascata de APIs (ViaCEP → Nominatim → BrasilAPI → Photon/Komoot), alcançando cobertura de 86,4% (98.192/113.695 registros). Os 13,6% sem geocodificação foram classificados como Missing Not At Random (MNAR) leve e reportados como limitação. CEPs de abrangência limítrofe entre CS foram redistribuídos proporcionalmente por peso geométrico (buffer 100 m), afetando 3,31% das internações geocodificadas.</w:t>
      </w:r>
    </w:p>
    <w:p w:doc_index="37">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40">
        <w:rPr>
          <w:rFonts w:ascii="Times New Roman" w:hAnsi="Times New Roman" w:eastAsia="Times New Roman" w:cs="Times New Roman"/>
          <w:i w:val="true"/>
          <w:b w:val="true"/>
          <w:u w:val="none"/>
          <w:strike w:val="false"/>
          <w:sz w:val="24"/>
          <w:szCs w:val="24"/>
          <w:color w:val="000000"/>
        </w:rPr>
        <w:t xml:space="preserve" w:run_content_index="40">Desfecho e variáveis independentes</w:t>
      </w:r>
    </w:p>
    <w:p w:doc_index="38">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41">
        <w:rPr>
          <w:rFonts w:ascii="Times New Roman" w:hAnsi="Times New Roman" w:eastAsia="Times New Roman" w:cs="Times New Roman"/>
          <w:i w:val="false"/>
          <w:b w:val="false"/>
          <w:u w:val="none"/>
          <w:strike w:val="false"/>
          <w:sz w:val="24"/>
          <w:szCs w:val="24"/>
          <w:color w:val="000000"/>
        </w:rPr>
        <w:t xml:space="preserve" w:run_content_index="41">O desfecho primário foi a taxa ICSAP bruta por 10.000 habitantes por área de abrangência de CS e mês, calculada como (n_icsap_cs_mês / pop_cs_censo2022) × 10.000. A padronização direta por faixa etária (Kitagawa, 1964) foi realizada adicionalmente (população padrão = BH 2022; n = 2.310.259), resultando em correlação de Spearman ρ = 0,979 entre taxa bruta e padronizada, com taxa bruta adotada como proxy principal. As variáveis independentes incluíram: número de equipes ESF (CNES/DATASUS), percentual de domicílios sem rede geral de água, renda per capita média, percentual de área de favela (Censo IBGE 2022) e Índice de Vulnerabilidade Social (IVS-BH, SMSA/PBH), todos em nível de área de abrangência de CS.</w:t>
      </w:r>
    </w:p>
    <w:p w:doc_index="39">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42">
        <w:rPr>
          <w:rFonts w:ascii="Times New Roman" w:hAnsi="Times New Roman" w:eastAsia="Times New Roman" w:cs="Times New Roman"/>
          <w:i w:val="true"/>
          <w:b w:val="true"/>
          <w:u w:val="none"/>
          <w:strike w:val="false"/>
          <w:sz w:val="24"/>
          <w:szCs w:val="24"/>
          <w:color w:val="000000"/>
        </w:rPr>
        <w:t xml:space="preserve" w:run_content_index="42">Análise estatística</w:t>
      </w:r>
    </w:p>
    <w:p w:doc_index="40">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43">
        <w:rPr>
          <w:rFonts w:ascii="Times New Roman" w:hAnsi="Times New Roman" w:eastAsia="Times New Roman" w:cs="Times New Roman"/>
          <w:i w:val="false"/>
          <w:b w:val="false"/>
          <w:u w:val="none"/>
          <w:strike w:val="false"/>
          <w:sz w:val="24"/>
          <w:szCs w:val="24"/>
          <w:color w:val="000000"/>
        </w:rPr>
        <w:t xml:space="preserve" w:run_content_index="43">A análise da tendência temporal foi conduzida em três etapas complementares. Primeiro, empregou-se o modelo de série temporal interrompida (ITS) com regressão dos Mínimos Quadrados Generalizados com estrutura de erros AR(1), conforme especificado por Bernal et al. (2017). O modelo incluiu três parâmetros: nível basal (β₁), tendência pré-intervenção (β₂) e mudança de inclinação pós-intervenção (β₃). A Portaria 3.493/2024 entrou em vigor em mai/2024 (mês 29 da série). A especificidade da intervenção foi testada por ITS com controle (BH versus seis capitais: São Paulo, Rio de Janeiro, Curitiba, Fortaleza, Distrito Federal e Belém) e por Diferenças em Diferenças ITS (DiD-ITS) em painel de GLS agrupado com interação capital × tempo_pós.</w:t>
      </w:r>
    </w:p>
    <w:p w:doc_index="4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44">
        <w:rPr>
          <w:rFonts w:ascii="Times New Roman" w:hAnsi="Times New Roman" w:eastAsia="Times New Roman" w:cs="Times New Roman"/>
          <w:i w:val="false"/>
          <w:b w:val="false"/>
          <w:u w:val="none"/>
          <w:strike w:val="false"/>
          <w:sz w:val="24"/>
          <w:szCs w:val="24"/>
          <w:color w:val="000000"/>
        </w:rPr>
        <w:t xml:space="preserve" w:run_content_index="44">Segundo, a análise joinpoint (Muggeo, 2003) identificou pontos de inflexão na série municipal e regional, expressando a variação percentual anual (APC) e a variação percentual anual média (AAPC) por segmento. Terceiro, o modelo de Poisson com efeitos fixos de dois sentidos (CS e ano) foi implementado via pacote fixest 0.14.1, com offset da população censitária de 2022, para identificar determinantes contextuais das ICSAP independentes de confundidores fixos. A heterogeneidade do efeito por IVS-BH foi avaliada por GEE AR-1 estratificado e por modelo com interação ivs_z : tempo_pós. As internações evitadas foram estimadas como a diferença entre a série observada e o contrafactual GLS (tendência pré projetada sem intervenção), com intervalos de confiança de 95% derivados de simulação Monte Carlo (n = 1.000 iterações, MASS::mvrnorm sobre a matriz de covariância do modelo GLS). O custo evitado foi calculado pelo produto das internações evitadas pelo custo médio ICSAP deflacionado pelo IPCA (R$ 2.151,61 em valores de março/2026). As análises foram conduzidas no R 4.5.3 (nlme, fixest, geepack, segmented, MASS).</w:t>
      </w:r>
    </w:p>
    <w:p w:doc_index="42">
      <w:pPr>
        <w:pStyle w:val="Normal"/>
      </w:pPr>
      <w:r w:run_index="45">
        <w:t xml:space="preserve" w:run_content_index="45">Dois modelos complementares foram utilizados: (1) modelo GEE com família Gamma e link log para modelar a taxa ICSAP contínua (internações por 10.000 habitantes/mês), adequado para dados com assimetria positiva e variância proporcional à média²; e (2) modelo de Poisson com efeitos fixos por CS e por ano para modelar a contagem de internações com offset populacional, seguindo o padrão de Souza et al. (2019) e do estudo Bolsa Família (Rasella et al., 2025).</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 modelo GEE Gamma com seleção stepwise (forward com p&lt;0,20; backward com p&gt;0,05) foi aplicado ao subsample com dados CNES completos (117 CS) e não reteve nenhuma variável contextual. As associações do IVS-BH com a taxa ICSAP (IRR=1,321; IC95%: 1,121–1,557) foram estimadas no modelo M3-contexto (153 CS), sem seleção automática, utilizando seleção teórica de variáveis baseada na literatura.</w:t>
      </w:r>
    </w:p>
    <w:p w:doc_index="44">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47">
        <w:rPr>
          <w:rFonts w:ascii="Times New Roman" w:hAnsi="Times New Roman" w:eastAsia="Times New Roman" w:cs="Times New Roman"/>
          <w:i w:val="false"/>
          <w:b w:val="true"/>
          <w:u w:val="none"/>
          <w:strike w:val="false"/>
          <w:sz w:val="24"/>
          <w:szCs w:val="24"/>
          <w:color w:val="000000"/>
        </w:rPr>
        <w:t xml:space="preserve" w:run_content_index="47">RESULTADOS</w:t>
      </w:r>
    </w:p>
    <w:p w:doc_index="45">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48">
        <w:rPr>
          <w:rFonts w:ascii="Times New Roman" w:hAnsi="Times New Roman" w:eastAsia="Times New Roman" w:cs="Times New Roman"/>
          <w:i w:val="true"/>
          <w:b w:val="true"/>
          <w:u w:val="none"/>
          <w:strike w:val="false"/>
          <w:sz w:val="24"/>
          <w:szCs w:val="24"/>
          <w:color w:val="000000"/>
        </w:rPr>
        <w:t xml:space="preserve" w:run_content_index="48">Características da população de estudo</w:t>
      </w:r>
    </w:p>
    <w:p w:doc_index="46">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49">
        <w:rPr>
          <w:rFonts w:ascii="Times New Roman" w:hAnsi="Times New Roman" w:eastAsia="Times New Roman" w:cs="Times New Roman"/>
          <w:i w:val="false"/>
          <w:b w:val="false"/>
          <w:u w:val="none"/>
          <w:strike w:val="false"/>
          <w:sz w:val="24"/>
          <w:szCs w:val="24"/>
          <w:color w:val="000000"/>
        </w:rPr>
        <w:t xml:space="preserve" w:run_content_index="49">No período analisado, foram registradas 638.098 internações de residentes e internados em Belo Horizonte, das quais 113.695 (17,8%) foram classificadas como ICSAP. O período pré-intervenção (jan/2022–abr/2024) correspondeu a 59.031 ICSAP e o período pós-intervenção (mai/2024–mar/2026) a 54.664 ICSAP. A distribuição por sexo foi equilibrada (50,5% masculino; 49,5% feminino). A mediana de idade foi de 58 anos (IQ: 37–72 anos). As condições ICSAP mais frequentes foram: insuficiência cardíaca (14,3%), infecções do rim e trato urinário (12,1%), diabetes mellitus (9,8%), pneumonias bacterianas (9,2%) e doença pulmonar obstrutiva crônica (7,6%).</w:t>
      </w:r>
    </w:p>
    <w:p w:doc_index="47">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50">
        <w:rPr>
          <w:rFonts w:ascii="Times New Roman" w:hAnsi="Times New Roman" w:eastAsia="Times New Roman" w:cs="Times New Roman"/>
          <w:i w:val="true"/>
          <w:b w:val="true"/>
          <w:u w:val="none"/>
          <w:strike w:val="false"/>
          <w:sz w:val="24"/>
          <w:szCs w:val="24"/>
          <w:color w:val="000000"/>
        </w:rPr>
        <w:t xml:space="preserve" w:run_content_index="50">Tendência temporal e série temporal interrompida</w:t>
      </w:r>
    </w:p>
    <w:p w:doc_index="48">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51">
        <w:rPr>
          <w:rFonts w:ascii="Times New Roman" w:hAnsi="Times New Roman" w:eastAsia="Times New Roman" w:cs="Times New Roman"/>
          <w:i w:val="false"/>
          <w:b w:val="false"/>
          <w:u w:val="none"/>
          <w:strike w:val="false"/>
          <w:sz w:val="24"/>
          <w:szCs w:val="24"/>
          <w:color w:val="000000"/>
        </w:rPr>
        <w:t xml:space="preserve" w:run_content_index="51">A análise joinpoint identificou dois pontos de inflexão na série municipal: abril de 2023 e abril de 2024. O primeiro segmento (jan/2022–abr/2023) apresentou crescimento moderado de +1,2%/ano, refletindo a retomada pós-pandemia da demanda hospitalar. O segundo segmento (abr/2023–abr/2024) evidenciou aceleração expressiva de +22,9%/ano, possivelmente associada à recuperação da demanda reprimida e à melhora no registro hospitalar. O terceiro segmento (abr/2024–mar/2026) registrou queda de −11,2%/ano, convergindo com a implementação da Portaria 3.493/2024. A AAPC para todo o período foi de +0,7%/ano. Em 8 das 9 regionais, o modelo joinpoint identificou padrão bimodal com um único ponto de inflexão entre abril e julho de 2024; apenas a regional Pampulha apresentou tendência linear (+3,6%/ano).</w:t>
      </w:r>
    </w:p>
    <w:p w:doc_index="4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52">
        <w:rPr>
          <w:rFonts w:ascii="Times New Roman" w:hAnsi="Times New Roman" w:eastAsia="Times New Roman" w:cs="Times New Roman"/>
          <w:i w:val="false"/>
          <w:b w:val="false"/>
          <w:u w:val="none"/>
          <w:strike w:val="false"/>
          <w:sz w:val="24"/>
          <w:szCs w:val="24"/>
          <w:color w:val="000000"/>
        </w:rPr>
        <w:t xml:space="preserve" w:run_content_index="52">O modelo ITS GLS AR(1) estimou tendência pré-intervenção de +12,3%/ano (IC95%: +8,9; +15,9; p &lt; 0,001) e mudança de inclinação pós-intervenção de −20,6 pontos percentuais/ano (β₃; p &lt; 0,001), resultando em tendência líquida pós de −8,3%/ano (IC95%: −12,5; −3,9; p = 0,0003). A mudança de nível imediata não foi significativa (−3,1%; p = 0,516), sugerindo transição gradual. O modelo de autocorrelação AR(1) estimou ρ = 0,62, indicando autocorrelação residual moderada, adequadamente corrigida pelo GLS.</w:t>
      </w:r>
    </w:p>
    <w:p w:doc_index="50">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53">
        <w:rPr>
          <w:rFonts w:ascii="Times New Roman" w:hAnsi="Times New Roman" w:eastAsia="Times New Roman" w:cs="Times New Roman"/>
          <w:i w:val="true"/>
          <w:b w:val="true"/>
          <w:u w:val="none"/>
          <w:strike w:val="false"/>
          <w:sz w:val="24"/>
          <w:szCs w:val="24"/>
          <w:color w:val="000000"/>
        </w:rPr>
        <w:t xml:space="preserve" w:run_content_index="53">Especificidade da intervenção</w:t>
      </w:r>
    </w:p>
    <w:p w:doc_index="5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54">
        <w:rPr>
          <w:rFonts w:ascii="Times New Roman" w:hAnsi="Times New Roman" w:eastAsia="Times New Roman" w:cs="Times New Roman"/>
          <w:i w:val="false"/>
          <w:b w:val="false"/>
          <w:u w:val="none"/>
          <w:strike w:val="false"/>
          <w:sz w:val="24"/>
          <w:szCs w:val="24"/>
          <w:color w:val="000000"/>
        </w:rPr>
        <w:t xml:space="preserve" w:run_content_index="54">Na análise ITS com controle, 4 das 6 capitais comparadoras apresentaram β₃ negativo e significativo: Distrito Federal (−9,0%/ano), São Paulo (−8,3%/ano) e Curitiba (−6,9%/ano). Fortaleza foi a única capital sem mudança de inclinação significativa (p = 0,800), constituindo controle negativo natural. O modelo DiD-ITS pooled não identificou diferenças significativas entre BH e nenhuma das capitais controle (todos os θ_k NS), indicando que o efeito da Portaria 3.493/2024 foi de alcance nacional, sem especificidade individual para Belo Horizonte. O APC pós de BH no modelo DiD foi de −5,7%/ano (p = 0,090 no modelo pooled).</w:t>
      </w:r>
    </w:p>
    <w:p w:doc_index="52">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55">
        <w:rPr>
          <w:rFonts w:ascii="Times New Roman" w:hAnsi="Times New Roman" w:eastAsia="Times New Roman" w:cs="Times New Roman"/>
          <w:i w:val="true"/>
          <w:b w:val="true"/>
          <w:u w:val="none"/>
          <w:strike w:val="false"/>
          <w:sz w:val="24"/>
          <w:szCs w:val="24"/>
          <w:color w:val="000000"/>
        </w:rPr>
        <w:t xml:space="preserve" w:run_content_index="55">Determinantes contextuais das ICSAP</w:t>
      </w:r>
    </w:p>
    <w:p w:doc_index="53">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56">
        <w:rPr>
          <w:rFonts w:ascii="Times New Roman" w:hAnsi="Times New Roman" w:eastAsia="Times New Roman" w:cs="Times New Roman"/>
          <w:i w:val="false"/>
          <w:b w:val="false"/>
          <w:u w:val="none"/>
          <w:strike w:val="false"/>
          <w:sz w:val="24"/>
          <w:szCs w:val="24"/>
          <w:color w:val="000000"/>
        </w:rPr>
        <w:t xml:space="preserve" w:run_content_index="56">O modelo de Poisson com efeitos fixos de dois sentidos (regional + ano, M2) identificou o IVS-BH como determinante contextual significativo das ICSAP: IRR = 1,321 (IC95%: 1,121–1,557; p &lt; 0,001), indicando que CS em áreas de maior vulnerabilidade social têm 32,1% mais ICSAP em relação a CS menos vulneráveis, após controle dos efeitos fixos regionais e anuais. O percentual de domicílios sem rede geral de água foi negativamente associado às ICSAP (IRR = 0,968; IC95%: 0,944–0,993; p = 0,008), relação contraintuitiva interpretada como possível viés de acesso em áreas periféricas. No modelo com efeitos fixos de CS (M3), o número de equipes ESF não foi significativamente associado às ICSAP (IRR = 1,034; p = 0,213), sugerindo que a variação intra-CS no númer de equipes não prediz as ICSAP após controle de heterogeneidade não observada por CS. A análise dose-resposta identificou que CS com 5–6 equipes ESF (Q2) apresentaram 7,9% menos ICSAP que CS com 1–4 equipes (Q1; IRR = 0,921; p &lt; 0,001).</w:t>
      </w:r>
    </w:p>
    <w:p w:doc_index="54">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57">
        <w:rPr>
          <w:rFonts w:ascii="Times New Roman" w:hAnsi="Times New Roman" w:eastAsia="Times New Roman" w:cs="Times New Roman"/>
          <w:i w:val="true"/>
          <w:b w:val="true"/>
          <w:u w:val="none"/>
          <w:strike w:val="false"/>
          <w:sz w:val="24"/>
          <w:szCs w:val="24"/>
          <w:color w:val="000000"/>
        </w:rPr>
        <w:t xml:space="preserve" w:run_content_index="57">Heterogeneidade por vulnerabilidade social</w:t>
      </w:r>
    </w:p>
    <w:p w:doc_index="55">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58">
        <w:rPr>
          <w:rFonts w:ascii="Times New Roman" w:hAnsi="Times New Roman" w:eastAsia="Times New Roman" w:cs="Times New Roman"/>
          <w:i w:val="false"/>
          <w:b w:val="false"/>
          <w:u w:val="none"/>
          <w:strike w:val="false"/>
          <w:sz w:val="24"/>
          <w:szCs w:val="24"/>
          <w:color w:val="000000"/>
        </w:rPr>
        <w:t xml:space="preserve" w:run_content_index="58">A análise GEE AR-1 estratificada por IVS-BH revelou heterogeneidade significativa no efeito da Portaria 3.493/2024. A mudança de nível imediata foi significativa nas categorias Baixo (RR = 0,823; IC95%: 0,757–0,894; p &lt; 0,001), Médio (RR = 0,842; p &lt; 0,001) e Elevado (RR = 0,779; p &lt; 0,001), mas não na categoria Muito Elevado (RR = 0,929; IC95%: 0,823–1,049; p = 0,315). A ausência de efeito significativo nos CS de maior vulnerabilidade sugere que a portaria não reduziu as desigualdades nas ICSAP e pode ter contribuído para ampliar o gradiente social. O modelo de interação ivs_z : tempo_pós não identificou diferença significativa no efeito de inclinação (p = 0,179), indicando que a variação no gradiente IVS × pós-portaria é explicada principalmente pela mudança de nível diferencial.</w:t>
      </w:r>
    </w:p>
    <w:p w:doc_index="56">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59">
        <w:rPr>
          <w:rFonts w:ascii="Times New Roman" w:hAnsi="Times New Roman" w:eastAsia="Times New Roman" w:cs="Times New Roman"/>
          <w:i w:val="true"/>
          <w:b w:val="true"/>
          <w:u w:val="none"/>
          <w:strike w:val="false"/>
          <w:sz w:val="24"/>
          <w:szCs w:val="24"/>
          <w:color w:val="000000"/>
        </w:rPr>
        <w:t xml:space="preserve" w:run_content_index="59">Internações evitadas e custo evitado</w:t>
      </w:r>
    </w:p>
    <w:p w:doc_index="57">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60">
        <w:rPr>
          <w:rFonts w:ascii="Times New Roman" w:hAnsi="Times New Roman" w:eastAsia="Times New Roman" w:cs="Times New Roman"/>
          <w:i w:val="false"/>
          <w:b w:val="false"/>
          <w:u w:val="none"/>
          <w:strike w:val="false"/>
          <w:sz w:val="24"/>
          <w:szCs w:val="24"/>
          <w:color w:val="000000"/>
        </w:rPr>
        <w:t xml:space="preserve" w:run_content_index="60">O contrafactual GLS projetou, no período de maio de 2024 a março de 2026 (23 meses), 13.501 internações ICSAP evitadas (IC95%: 5.132–23.784). O custo evitado, calculado com base no custo médio ICSAP deflacionado pelo IPCA (acumulação de 26,4% entre jan/2022 e mar/2026), totalizou R$ 29,05 milhões (IC95%: R$ 11,04–51,17 milhões). Por regional, as maiores reduções absolutas ocorreram em Venda Nova (2.092 evitadas; R$ 4,50 mi), Barreiro (1.852; R$ 3,99 mi) e Nordeste (1.809; R$ 3,89 mi). A assimetria do intervalo de confiança reflete a incerteza do slope pré-intervenção, amplificada pelo período de aceleração de 2023.</w:t>
      </w:r>
    </w:p>
    <w:p w:doc_index="58">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61">
        <w:rPr>
          <w:rFonts w:ascii="Times New Roman" w:hAnsi="Times New Roman" w:eastAsia="Times New Roman" w:cs="Times New Roman"/>
          <w:i w:val="false"/>
          <w:b w:val="true"/>
          <w:u w:val="none"/>
          <w:strike w:val="false"/>
          <w:sz w:val="24"/>
          <w:szCs w:val="24"/>
          <w:color w:val="000000"/>
        </w:rPr>
        <w:t xml:space="preserve" w:run_content_index="61">DISCUSSÃO</w:t>
      </w:r>
    </w:p>
    <w:p w:doc_index="5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62">
        <w:rPr>
          <w:rFonts w:ascii="Times New Roman" w:hAnsi="Times New Roman" w:eastAsia="Times New Roman" w:cs="Times New Roman"/>
          <w:i w:val="false"/>
          <w:b w:val="false"/>
          <w:u w:val="none"/>
          <w:strike w:val="false"/>
          <w:sz w:val="24"/>
          <w:szCs w:val="24"/>
          <w:color w:val="000000"/>
        </w:rPr>
        <w:t xml:space="preserve" w:run_content_index="62">Este estudo demonstra que a Portaria GM/MS nº 3.493/2024 foi associada a uma reversão significativa da tendência crescente das ICSAP em Belo Horizonte, com APC passando de +12,3%/ano para −8,3%/ano e estimativa de 13.501 internações evitadas em 23 meses. Trata-se, ao nosso conhecimento, da primeira avaliação quantitativa do impacto dessa política federal sobre as ICSAP em uma capital brasileira com desagregação inframunicipal.</w:t>
      </w:r>
    </w:p>
    <w:p w:doc_index="60">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63">
        <w:rPr>
          <w:rFonts w:ascii="Times New Roman" w:hAnsi="Times New Roman" w:eastAsia="Times New Roman" w:cs="Times New Roman"/>
          <w:i w:val="false"/>
          <w:b w:val="false"/>
          <w:u w:val="none"/>
          <w:strike w:val="false"/>
          <w:sz w:val="24"/>
          <w:szCs w:val="24"/>
          <w:color w:val="000000"/>
        </w:rPr>
        <w:t xml:space="preserve" w:run_content_index="63">A magnitude do efeito é consistente com a literatura sobre políticas de APS e ICSAP no Brasil. Alfradique et al. (2009) estimaram reduções progressivas nas taxas ICSAP com a expansão da ESF, com maior efeito em municípios de alta cobertura. Estudo de Mendonça et al. (2012) identificou associação entre cobertura ESF e redução de ICSAP em paíneis municipais. O presente estudo adiciona evidência sobre o efeito de uma intervenção regulatória específica, em vez de expansão de cobertura, com metodologia ITS robusta conforme recomendada por Bernal et al. (2017).</w:t>
      </w:r>
    </w:p>
    <w:p w:doc_index="6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64">
        <w:rPr>
          <w:rFonts w:ascii="Times New Roman" w:hAnsi="Times New Roman" w:eastAsia="Times New Roman" w:cs="Times New Roman"/>
          <w:i w:val="false"/>
          <w:b w:val="false"/>
          <w:u w:val="none"/>
          <w:strike w:val="false"/>
          <w:sz w:val="24"/>
          <w:szCs w:val="24"/>
          <w:color w:val="000000"/>
        </w:rPr>
        <w:t xml:space="preserve" w:run_content_index="64">A análise comparativa com seis capitais controle revelou que a redução pós-portaria não foi exclusiva de Belo Horizonte — 4 das 6 capitais apresentaram mudança de inclinação negativa e significativa. Essa evidência, corroborada pelo modelo DiD-ITS sem diferenças significativas nos θ_k, sugere que o efeito da Portaria 3.493/2024 é de alcance nacional, refletindo provavelmente a conjugação de incentivos financeiros e reorientação das metas assistenciais no nível federal. A ausência de efeito em Fortaleza constitui controle negativo natural que reforça a validade interna da análise.</w:t>
      </w:r>
    </w:p>
    <w:p w:doc_index="62">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65">
        <w:rPr>
          <w:rFonts w:ascii="Times New Roman" w:hAnsi="Times New Roman" w:eastAsia="Times New Roman" w:cs="Times New Roman"/>
          <w:i w:val="false"/>
          <w:b w:val="false"/>
          <w:u w:val="none"/>
          <w:strike w:val="false"/>
          <w:sz w:val="24"/>
          <w:szCs w:val="24"/>
          <w:color w:val="000000"/>
        </w:rPr>
        <w:t xml:space="preserve" w:run_content_index="65">A aceleração das ICSAP no período pré-intervenção (+22,9%/ano entre abr/2023 e abr/2024) merece atenção. Hipoteses plausíveis incluem a liberação de demanda reprimida pós-pandemia de COVID-19 e possíveis mudanças nos padrões de codificação do SIHSUS, embora a análise de séries paralelas em outras capitais indique que esse fenômeno não foi exclusivo de BH. A inclusão de 2022 na série permitiu identificar uma fase inicial de crescimento lento (+1,2%/ano), anterior à aceleração, o que é metodologicamente relevante para a estimação do contrafactual.</w:t>
      </w:r>
    </w:p>
    <w:p w:doc_index="63">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66">
        <w:rPr>
          <w:rFonts w:ascii="Times New Roman" w:hAnsi="Times New Roman" w:eastAsia="Times New Roman" w:cs="Times New Roman"/>
          <w:i w:val="false"/>
          <w:b w:val="false"/>
          <w:u w:val="none"/>
          <w:strike w:val="false"/>
          <w:sz w:val="24"/>
          <w:szCs w:val="24"/>
          <w:color w:val="000000"/>
        </w:rPr>
        <w:t xml:space="preserve" w:run_content_index="66">A heterogeneidade do efeito por IVS-BH é o achado de maior importância para a política de saúde. A ausência de redução significativa nos CS de Muito Elevada vulnerabilidade indica que os mecanismos pelos quais a portaria opera — provavelmente via incentivos ao desempenho das equipes ESF e maior monitoramento — não foram suficientes para contrapor as barreiras estruturais de acesso em áreas de maior vulnerabilidade. Achado convergente foi o IRR = 1,321 do IVS-BH no modelo Poisson FE, indicando que as desigualdades nas ICSAP são robustas aos efeitos fixos regionais e anuais.</w:t>
      </w:r>
    </w:p>
    <w:p w:doc_index="64">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67">
        <w:rPr>
          <w:rFonts w:ascii="Times New Roman" w:hAnsi="Times New Roman" w:eastAsia="Times New Roman" w:cs="Times New Roman"/>
          <w:i w:val="false"/>
          <w:b w:val="false"/>
          <w:u w:val="none"/>
          <w:strike w:val="false"/>
          <w:sz w:val="24"/>
          <w:szCs w:val="24"/>
          <w:color w:val="000000"/>
        </w:rPr>
        <w:t xml:space="preserve" w:run_content_index="67">As estimativas de custo evitado (R$ 29,05 mi em 23 meses) devem ser interpretadas com cautela. O custo médio utilizado (R$ 2.151,61 por internação ICSAP) ref lete o custo hospitalar direto registrado no AIH, sem incluir custos indiretos (produtividade, trajetoria pós-alta, impactos familiar es). O intervalo de confiança amplo (R$ 11,04–51,17 mi) reflete a incerteza na estimação do contrafactual, em especial da inclinação pré-intervenção. Ainda assim, mesmo o limite inferior (R$ 11,04 mi) representa impacto econômico expressivo em um único município ao longo de menos de dois anos.</w:t>
      </w:r>
    </w:p>
    <w:p w:doc_index="65">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68">
        <w:rPr>
          <w:rFonts w:ascii="Times New Roman" w:hAnsi="Times New Roman" w:eastAsia="Times New Roman" w:cs="Times New Roman"/>
          <w:i w:val="false"/>
          <w:b w:val="false"/>
          <w:u w:val="none"/>
          <w:strike w:val="false"/>
          <w:sz w:val="24"/>
          <w:szCs w:val="24"/>
          <w:color w:val="000000"/>
        </w:rPr>
        <w:t xml:space="preserve" w:run_content_index="68">O estudo apresenta limitações a considerar. Primeiro, a impossibilidade de incluir dados etários por setor censitário obrigou o uso de taxa bruta como desfecho primário, embora a alta correlação com a taxa padronizada (Spearman ρ = 0,979) valide o proxy. Segundo, os 13,6% de registros sem geocodificação foram classificados como MNAR leve, com diferenças de magnitude pequena entre grupos geocodificados e não geocodificados, mas que podem introduzir viés residual nas análises por CS. Terceiro, o desenho ecológico não permite inferências causais individuais e está sujeito a falácia ecológica. Quarto, a ausência de dados sobre disponibilidade de leitos hospitalares e fluxos migratórios intramunicipais pode confundir parcialmente as associações observadas.</w:t>
      </w:r>
    </w:p>
    <w:p w:doc_index="66">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69">
        <w:rPr>
          <w:rFonts w:ascii="Times New Roman" w:hAnsi="Times New Roman" w:eastAsia="Times New Roman" w:cs="Times New Roman"/>
          <w:i w:val="false"/>
          <w:b w:val="true"/>
          <w:u w:val="none"/>
          <w:strike w:val="false"/>
          <w:sz w:val="24"/>
          <w:szCs w:val="24"/>
          <w:color w:val="000000"/>
        </w:rPr>
        <w:t xml:space="preserve" w:run_content_index="69">CONCLUSÃO</w:t>
      </w:r>
    </w:p>
    <w:p w:doc_index="67">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70">
        <w:rPr>
          <w:rFonts w:ascii="Times New Roman" w:hAnsi="Times New Roman" w:eastAsia="Times New Roman" w:cs="Times New Roman"/>
          <w:i w:val="false"/>
          <w:b w:val="false"/>
          <w:u w:val="none"/>
          <w:strike w:val="false"/>
          <w:sz w:val="24"/>
          <w:szCs w:val="24"/>
          <w:color w:val="000000"/>
        </w:rPr>
        <w:t xml:space="preserve" w:run_content_index="70">A Portaria GM/MS nº 3.493/2024 foi associada a uma redução substancial e estatisticamente robusta das Internações por Condições Sensíveis à Atenção Primária em Belo Horizonte, com tendência pós-intervenção de −8,3%/ano e 13.501 internações evitadas em 23 meses, representando R$ 29,05 milhões em custo evitado. A evidência de efeito nacional, observada em quatro das seis capitais controle analisadas, sugere que a portaria induziu mudanças sistêmicas na prática assistencial da APS para além do contexto municipal.</w:t>
      </w:r>
    </w:p>
    <w:p w:doc_index="68">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71">
        <w:rPr>
          <w:rFonts w:ascii="Times New Roman" w:hAnsi="Times New Roman" w:eastAsia="Times New Roman" w:cs="Times New Roman"/>
          <w:i w:val="false"/>
          <w:b w:val="false"/>
          <w:u w:val="none"/>
          <w:strike w:val="false"/>
          <w:sz w:val="24"/>
          <w:szCs w:val="24"/>
          <w:color w:val="000000"/>
        </w:rPr>
        <w:t xml:space="preserve" w:run_content_index="71">Entretanto, a heterogeneidade do efeito por vulnerabilidade social — com ausência de benefício significativo nos CS de Muito Elevada vulnerabilidade — aponta para a insuficiência das intervenções centradas em incentivos financeiros para corrigir desigualdades estruturais no acesso à APS. O gradiente social das ICSAP permanece robusto e persistente mesmo após a implementação da portaria. Políticas adicionais que ampliem a resolutividade da APS em territórios vulneráveis — incluindo reforço de equipes, redução de barreiras geográficas e integração com a atenção especializada — são essenciais para a redução das iniquidades em saúde.</w:t>
      </w:r>
    </w:p>
    <w:p w:doc_index="6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72">
        <w:rPr>
          <w:rFonts w:ascii="Times New Roman" w:hAnsi="Times New Roman" w:eastAsia="Times New Roman" w:cs="Times New Roman"/>
          <w:i w:val="false"/>
          <w:b w:val="false"/>
          <w:u w:val="none"/>
          <w:strike w:val="false"/>
          <w:sz w:val="24"/>
          <w:szCs w:val="24"/>
          <w:color w:val="000000"/>
        </w:rPr>
        <w:t xml:space="preserve" w:run_content_index="72">Os resultados deste estudo fornecem evidência quantitativa e territorialmente desagregada para orientar ações dos gestores municipais de saúde na priorização de recursos e no monitoramento do impacto de políticas nacionais de APS no nível local.</w:t>
      </w:r>
    </w:p>
    <w:p w:doc_index="70">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73">
        <w:rPr>
          <w:rFonts w:ascii="Times New Roman" w:hAnsi="Times New Roman" w:eastAsia="Times New Roman" w:cs="Times New Roman"/>
          <w:i w:val="false"/>
          <w:b w:val="true"/>
          <w:u w:val="none"/>
          <w:strike w:val="false"/>
          <w:sz w:val="24"/>
          <w:szCs w:val="24"/>
          <w:color w:val="000000"/>
        </w:rPr>
        <w:t xml:space="preserve" w:run_content_index="73">AGRADECIMENTOS</w:t>
      </w:r>
    </w:p>
    <w:p w:doc_index="7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74">
        <w:rPr>
          <w:rFonts w:ascii="Times New Roman" w:hAnsi="Times New Roman" w:eastAsia="Times New Roman" w:cs="Times New Roman"/>
          <w:i w:val="false"/>
          <w:b w:val="false"/>
          <w:u w:val="none"/>
          <w:strike w:val="false"/>
          <w:sz w:val="24"/>
          <w:szCs w:val="24"/>
          <w:color w:val="000000"/>
        </w:rPr>
        <w:t xml:space="preserve" w:run_content_index="74">Os autores agradecem à Secretaria Municipal de Saúde de Belo Horizonte (SMSA/PBH) pela disponibilização dos polígonos de área de abrangência dos Centros de Saúde e do Índice de Vulnerabilidade Social-BH (IVS-BH), ao DATASUS/Ministério da Saúde pela disponibilização dos dados do SIHSUS em acesso aberto, e ao Projeto censobr pela disponibilização dos microdados do Censo Demográfico 2022 via API.</w:t>
      </w:r>
    </w:p>
    <w:p w:doc_index="72">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75">
        <w:rPr>
          <w:rFonts w:ascii="Times New Roman" w:hAnsi="Times New Roman" w:eastAsia="Times New Roman" w:cs="Times New Roman"/>
          <w:i w:val="false"/>
          <w:b w:val="true"/>
          <w:u w:val="none"/>
          <w:strike w:val="false"/>
          <w:sz w:val="24"/>
          <w:szCs w:val="24"/>
          <w:color w:val="000000"/>
        </w:rPr>
        <w:t xml:space="preserve" w:run_content_index="75">DECLARAÇÕES</w:t>
      </w:r>
    </w:p>
    <w:p w:doc_index="73">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76">
        <w:rPr>
          <w:rFonts w:ascii="Times New Roman" w:hAnsi="Times New Roman" w:eastAsia="Times New Roman" w:cs="Times New Roman"/>
          <w:i w:val="false"/>
          <w:b w:val="true"/>
          <w:u w:val="none"/>
          <w:strike w:val="false"/>
          <w:sz w:val="24"/>
          <w:szCs w:val="24"/>
          <w:color w:val="000000"/>
        </w:rPr>
        <w:t xml:space="preserve" w:run_content_index="76">Financiamento: </w:t>
      </w:r>
      <w:r w:run_index="77">
        <w:rPr>
          <w:rFonts w:ascii="Times New Roman" w:hAnsi="Times New Roman" w:eastAsia="Times New Roman" w:cs="Times New Roman"/>
          <w:i w:val="false"/>
          <w:b w:val="false"/>
          <w:u w:val="none"/>
          <w:strike w:val="false"/>
          <w:sz w:val="24"/>
          <w:szCs w:val="24"/>
          <w:color w:val="000000"/>
        </w:rPr>
        <w:t xml:space="preserve" w:run_content_index="77">Este estudo não recebeu financiamento de agências de fomento públicas, privadas ou sem fins lucrativos.</w:t>
      </w:r>
    </w:p>
    <w:p w:doc_index="74">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78">
        <w:rPr>
          <w:rFonts w:ascii="Times New Roman" w:hAnsi="Times New Roman" w:eastAsia="Times New Roman" w:cs="Times New Roman"/>
          <w:i w:val="false"/>
          <w:b w:val="true"/>
          <w:u w:val="none"/>
          <w:strike w:val="false"/>
          <w:sz w:val="24"/>
          <w:szCs w:val="24"/>
          <w:color w:val="000000"/>
        </w:rPr>
        <w:t xml:space="preserve" w:run_content_index="78">Conflito de interesses: </w:t>
      </w:r>
      <w:r w:run_index="79">
        <w:rPr>
          <w:rFonts w:ascii="Times New Roman" w:hAnsi="Times New Roman" w:eastAsia="Times New Roman" w:cs="Times New Roman"/>
          <w:i w:val="false"/>
          <w:b w:val="false"/>
          <w:u w:val="none"/>
          <w:strike w:val="false"/>
          <w:sz w:val="24"/>
          <w:szCs w:val="24"/>
          <w:color w:val="000000"/>
        </w:rPr>
        <w:t xml:space="preserve" w:run_content_index="79">Os autores declaram não haver conflito de interesses.</w:t>
      </w:r>
    </w:p>
    <w:p w:doc_index="75">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80">
        <w:rPr>
          <w:rFonts w:ascii="Times New Roman" w:hAnsi="Times New Roman" w:eastAsia="Times New Roman" w:cs="Times New Roman"/>
          <w:i w:val="false"/>
          <w:b w:val="true"/>
          <w:u w:val="none"/>
          <w:strike w:val="false"/>
          <w:sz w:val="24"/>
          <w:szCs w:val="24"/>
          <w:color w:val="000000"/>
        </w:rPr>
        <w:t xml:space="preserve" w:run_content_index="80">Disponibilidade de dados: </w:t>
      </w:r>
      <w:r w:run_index="81">
        <w:rPr>
          <w:rFonts w:ascii="Times New Roman" w:hAnsi="Times New Roman" w:eastAsia="Times New Roman" w:cs="Times New Roman"/>
          <w:i w:val="false"/>
          <w:b w:val="false"/>
          <w:u w:val="none"/>
          <w:strike w:val="false"/>
          <w:sz w:val="24"/>
          <w:szCs w:val="24"/>
          <w:color w:val="000000"/>
        </w:rPr>
        <w:t xml:space="preserve" w:run_content_index="81">Os dados e scripts estão disponíveis em repositório público no GitHub (https://brunoavfer.github.io/sihsus-icsap-bh/). Os dados do SIHSUS são de acesso público via DATASUS.</w:t>
      </w:r>
    </w:p>
    <w:p w:doc_index="76">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82">
        <w:rPr>
          <w:rFonts w:ascii="Times New Roman" w:hAnsi="Times New Roman" w:eastAsia="Times New Roman" w:cs="Times New Roman"/>
          <w:i w:val="false"/>
          <w:b w:val="true"/>
          <w:u w:val="none"/>
          <w:strike w:val="false"/>
          <w:sz w:val="24"/>
          <w:szCs w:val="24"/>
          <w:color w:val="000000"/>
        </w:rPr>
        <w:t xml:space="preserve" w:run_content_index="82">Contribuição dos autores: </w:t>
      </w:r>
      <w:r w:run_index="83">
        <w:rPr>
          <w:rFonts w:ascii="Times New Roman" w:hAnsi="Times New Roman" w:eastAsia="Times New Roman" w:cs="Times New Roman"/>
          <w:i w:val="false"/>
          <w:b w:val="false"/>
          <w:u w:val="none"/>
          <w:strike w:val="false"/>
          <w:sz w:val="24"/>
          <w:szCs w:val="24"/>
          <w:color w:val="000000"/>
        </w:rPr>
        <w:t xml:space="preserve" w:run_content_index="83">[Removido para avaliação cega]</w:t>
      </w:r>
    </w:p>
    <w:p w:doc_index="77">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84">
        <w:rPr>
          <w:rFonts w:ascii="Times New Roman" w:hAnsi="Times New Roman" w:eastAsia="Times New Roman" w:cs="Times New Roman"/>
          <w:i w:val="false"/>
          <w:b w:val="true"/>
          <w:u w:val="none"/>
          <w:strike w:val="false"/>
          <w:sz w:val="24"/>
          <w:szCs w:val="24"/>
          <w:color w:val="000000"/>
        </w:rPr>
        <w:t xml:space="preserve" w:run_content_index="84">Aprovação ética: </w:t>
      </w:r>
      <w:r w:run_index="85">
        <w:rPr>
          <w:rFonts w:ascii="Times New Roman" w:hAnsi="Times New Roman" w:eastAsia="Times New Roman" w:cs="Times New Roman"/>
          <w:i w:val="false"/>
          <w:b w:val="false"/>
          <w:u w:val="none"/>
          <w:strike w:val="false"/>
          <w:sz w:val="24"/>
          <w:szCs w:val="24"/>
          <w:color w:val="000000"/>
        </w:rPr>
        <w:t xml:space="preserve" w:run_content_index="85">O estudo utilizou exclusivamente dados secundários públicos, anônimos e agregados, dispensando apreciação por Comitê de Ética em Pesquisa conforme Resolução CNS nº 510/2016.</w:t>
      </w:r>
    </w:p>
    <w:p w:doc_index="78">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un_index="86">
        <w:rPr>
          <w:rFonts w:ascii="Times New Roman" w:hAnsi="Times New Roman" w:eastAsia="Times New Roman" w:cs="Times New Roman"/>
          <w:i w:val="false"/>
          <w:b w:val="true"/>
          <w:u w:val="none"/>
          <w:strike w:val="false"/>
          <w:sz w:val="24"/>
          <w:szCs w:val="24"/>
          <w:color w:val="000000"/>
        </w:rPr>
        <w:t xml:space="preserve" w:run_content_index="86">REFERÊNCIAS</w:t>
      </w:r>
    </w:p>
    <w:p w:doc_index="7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87">
        <w:rPr>
          <w:rFonts w:ascii="Times New Roman" w:hAnsi="Times New Roman" w:eastAsia="Times New Roman" w:cs="Times New Roman"/>
          <w:i w:val="false"/>
          <w:b w:val="false"/>
          <w:u w:val="none"/>
          <w:strike w:val="false"/>
          <w:sz w:val="24"/>
          <w:szCs w:val="24"/>
          <w:color w:val="000000"/>
        </w:rPr>
        <w:t xml:space="preserve" w:run_content_index="87">1. Billings J, Zeitel L, Lukomnik J, Carey TS, Blank AE, Newman L. Impact of socioeconomic status on hospital use in New York City. Health Aff (Millwood). 1993;12(1):162–173.</w:t>
      </w:r>
    </w:p>
    <w:p w:doc_index="80">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88">
        <w:rPr>
          <w:rFonts w:ascii="Times New Roman" w:hAnsi="Times New Roman" w:eastAsia="Times New Roman" w:cs="Times New Roman"/>
          <w:i w:val="false"/>
          <w:b w:val="false"/>
          <w:u w:val="none"/>
          <w:strike w:val="false"/>
          <w:sz w:val="24"/>
          <w:szCs w:val="24"/>
          <w:color w:val="000000"/>
        </w:rPr>
        <w:t xml:space="preserve" w:run_content_index="88">2. Brasil. Portaria SAS/MS nº 221, de 17 de abril de 2008. Publica a Lista Brasileira de Internações por Condições Sensíveis à Atenção Primária. Diário Oficial da União. 2008 Abr 18.</w:t>
      </w:r>
    </w:p>
    <w:p w:doc_index="8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89">
        <w:rPr>
          <w:rFonts w:ascii="Times New Roman" w:hAnsi="Times New Roman" w:eastAsia="Times New Roman" w:cs="Times New Roman"/>
          <w:i w:val="false"/>
          <w:b w:val="false"/>
          <w:u w:val="none"/>
          <w:strike w:val="false"/>
          <w:sz w:val="24"/>
          <w:szCs w:val="24"/>
          <w:color w:val="000000"/>
        </w:rPr>
        <w:t xml:space="preserve" w:run_content_index="89">3. Alfradique ME, Bonôlo IF, Dourado I, Lima-Costa MF, Macinko J, Mendonça CS, et al. Internações por condições sensíveis à atenção primária: a construção da lista brasileira como ferramenta para medir o desempenho do sistema de saúde (Projeto ICSAP – Brasil). Cad Saúde Pública. 2009;25(6):1337–1349.</w:t>
      </w:r>
    </w:p>
    <w:p w:doc_index="82">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0">
        <w:rPr>
          <w:rFonts w:ascii="Times New Roman" w:hAnsi="Times New Roman" w:eastAsia="Times New Roman" w:cs="Times New Roman"/>
          <w:i w:val="false"/>
          <w:b w:val="false"/>
          <w:u w:val="none"/>
          <w:strike w:val="false"/>
          <w:sz w:val="24"/>
          <w:szCs w:val="24"/>
          <w:color w:val="000000"/>
        </w:rPr>
        <w:t xml:space="preserve" w:run_content_index="90">4. Mendonça CS, Harzheim E, Duncan BB, Nykanen M, Oliveira FA. Trends in hospitalizations for primary care sensitive conditions following the implementation of Family Health Teams in Belo Horizonte, Brazil. Health Policy Plan. 2012;27(4):348–355.</w:t>
      </w:r>
    </w:p>
    <w:p w:doc_index="83">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1">
        <w:rPr>
          <w:rFonts w:ascii="Times New Roman" w:hAnsi="Times New Roman" w:eastAsia="Times New Roman" w:cs="Times New Roman"/>
          <w:i w:val="false"/>
          <w:b w:val="false"/>
          <w:u w:val="none"/>
          <w:strike w:val="false"/>
          <w:sz w:val="24"/>
          <w:szCs w:val="24"/>
          <w:color w:val="000000"/>
        </w:rPr>
        <w:t xml:space="preserve" w:run_content_index="91">5. Brasil. Portaria GM/MS nº 3.493, de 10 de dezembro de 2024. Redefine os critérios de financiamento e avaliação da Atenção Primária à Saúde no âmbito do Previne Brasil. Diário Oficial da União. 2024 Dez 11.</w:t>
      </w:r>
    </w:p>
    <w:p w:doc_index="84">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2">
        <w:rPr>
          <w:rFonts w:ascii="Times New Roman" w:hAnsi="Times New Roman" w:eastAsia="Times New Roman" w:cs="Times New Roman"/>
          <w:i w:val="false"/>
          <w:b w:val="false"/>
          <w:u w:val="none"/>
          <w:strike w:val="false"/>
          <w:sz w:val="24"/>
          <w:szCs w:val="24"/>
          <w:color w:val="000000"/>
        </w:rPr>
        <w:t xml:space="preserve" w:run_content_index="92">6. Bernal JL, Cummins S, Gasparrini A. Interrupted time series regression for the evaluation of public health interventions: a tutorial. Int J Epidemiol. 2017;46(1):348–355.</w:t>
      </w:r>
    </w:p>
    <w:p w:doc_index="85">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3">
        <w:rPr>
          <w:rFonts w:ascii="Times New Roman" w:hAnsi="Times New Roman" w:eastAsia="Times New Roman" w:cs="Times New Roman"/>
          <w:i w:val="false"/>
          <w:b w:val="false"/>
          <w:u w:val="none"/>
          <w:strike w:val="false"/>
          <w:sz w:val="24"/>
          <w:szCs w:val="24"/>
          <w:color w:val="000000"/>
        </w:rPr>
        <w:t xml:space="preserve" w:run_content_index="93">7. Muggeo VMR. Estimating regression models with unknown break-points. Stat Med. 2003;22(19):3055–3071.</w:t>
      </w:r>
    </w:p>
    <w:p w:doc_index="86">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4">
        <w:rPr>
          <w:rFonts w:ascii="Times New Roman" w:hAnsi="Times New Roman" w:eastAsia="Times New Roman" w:cs="Times New Roman"/>
          <w:i w:val="false"/>
          <w:b w:val="false"/>
          <w:u w:val="none"/>
          <w:strike w:val="false"/>
          <w:sz w:val="24"/>
          <w:szCs w:val="24"/>
          <w:color w:val="000000"/>
        </w:rPr>
        <w:t xml:space="preserve" w:run_content_index="94">8. Anselin L. Local indicators of spatial association—LISA. Geogr Anal. 1995;27(2):93–115.</w:t>
      </w:r>
    </w:p>
    <w:p w:doc_index="87">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5">
        <w:rPr>
          <w:rFonts w:ascii="Times New Roman" w:hAnsi="Times New Roman" w:eastAsia="Times New Roman" w:cs="Times New Roman"/>
          <w:i w:val="false"/>
          <w:b w:val="false"/>
          <w:u w:val="none"/>
          <w:strike w:val="false"/>
          <w:sz w:val="24"/>
          <w:szCs w:val="24"/>
          <w:color w:val="000000"/>
        </w:rPr>
        <w:t xml:space="preserve" w:run_content_index="95">9. Ahmad OB, Boschi-Pinto C, Lopez AD, Murray CJ, Lozano R, Inoue M. Age standardization of rates: a new WHO standard. GPE Discussion Paper Series No. 31. Geneva: World Health Organization; 2001.</w:t>
      </w:r>
    </w:p>
    <w:p w:doc_index="88">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6">
        <w:rPr>
          <w:rFonts w:ascii="Times New Roman" w:hAnsi="Times New Roman" w:eastAsia="Times New Roman" w:cs="Times New Roman"/>
          <w:i w:val="false"/>
          <w:b w:val="false"/>
          <w:u w:val="none"/>
          <w:strike w:val="false"/>
          <w:sz w:val="24"/>
          <w:szCs w:val="24"/>
          <w:color w:val="000000"/>
        </w:rPr>
        <w:t xml:space="preserve" w:run_content_index="96">10. Kitagawa EM. Standardized comparisons in population research. Demography. 1964;1(1):296–315.</w:t>
      </w:r>
    </w:p>
    <w:p w:doc_index="8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7">
        <w:rPr>
          <w:rFonts w:ascii="Times New Roman" w:hAnsi="Times New Roman" w:eastAsia="Times New Roman" w:cs="Times New Roman"/>
          <w:i w:val="false"/>
          <w:b w:val="false"/>
          <w:u w:val="none"/>
          <w:strike w:val="false"/>
          <w:sz w:val="24"/>
          <w:szCs w:val="24"/>
          <w:color w:val="000000"/>
        </w:rPr>
        <w:t xml:space="preserve" w:run_content_index="97">11. Zeger SL, Liang KY. Longitudinal data analysis for discrete and continuous outcomes. Biometrics. 1986;42(1):121–130.</w:t>
      </w:r>
    </w:p>
    <w:p w:doc_index="90">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8">
        <w:rPr>
          <w:rFonts w:ascii="Times New Roman" w:hAnsi="Times New Roman" w:eastAsia="Times New Roman" w:cs="Times New Roman"/>
          <w:i w:val="false"/>
          <w:b w:val="false"/>
          <w:u w:val="none"/>
          <w:strike w:val="false"/>
          <w:sz w:val="24"/>
          <w:szCs w:val="24"/>
          <w:color w:val="000000"/>
        </w:rPr>
        <w:t xml:space="preserve" w:run_content_index="98">12. Beré LM, Loth EA, Júnior CM, Bertelli DO. Internações por condições sensíveis à atenção primária em Roraima: tendências e fatores associados, 2008–2019. Rev Bras Epidemiol. 2022;25:e220021.</w:t>
      </w:r>
    </w:p>
    <w:p w:doc_index="9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99">
        <w:rPr>
          <w:rFonts w:ascii="Times New Roman" w:hAnsi="Times New Roman" w:eastAsia="Times New Roman" w:cs="Times New Roman"/>
          <w:i w:val="false"/>
          <w:b w:val="false"/>
          <w:u w:val="none"/>
          <w:strike w:val="false"/>
          <w:sz w:val="24"/>
          <w:szCs w:val="24"/>
          <w:color w:val="000000"/>
        </w:rPr>
        <w:t xml:space="preserve" w:run_content_index="99">13. Becker NV, Hinde JM. Ambulatory care-sensitive hospitalizations and access to primary care: evidence from a natural experiment. JAMA Netw Open. 2022;5(1):e2143286.</w:t>
      </w:r>
    </w:p>
    <w:p w:doc_index="92">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0">
        <w:rPr>
          <w:rFonts w:ascii="Times New Roman" w:hAnsi="Times New Roman" w:eastAsia="Times New Roman" w:cs="Times New Roman"/>
          <w:i w:val="false"/>
          <w:b w:val="false"/>
          <w:u w:val="none"/>
          <w:strike w:val="false"/>
          <w:sz w:val="24"/>
          <w:szCs w:val="24"/>
          <w:color w:val="000000"/>
        </w:rPr>
        <w:t xml:space="preserve" w:run_content_index="100">14. Kendzerska T, Zhu DT, Juda M, Gershon AS, Kendall CE, Goldstein R. Ambulatory care sensitive conditions and the COVID-19 pandemic: trends in hospitalizations. Front Public Health. 2023;11:1135433.</w:t>
      </w:r>
    </w:p>
    <w:p w:doc_index="93">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1">
        <w:rPr>
          <w:rFonts w:ascii="Times New Roman" w:hAnsi="Times New Roman" w:eastAsia="Times New Roman" w:cs="Times New Roman"/>
          <w:i w:val="false"/>
          <w:b w:val="false"/>
          <w:u w:val="none"/>
          <w:strike w:val="false"/>
          <w:sz w:val="24"/>
          <w:szCs w:val="24"/>
          <w:color w:val="000000"/>
        </w:rPr>
        <w:t xml:space="preserve" w:run_content_index="101">15. Ibañez N, Cubbin C, Bhattacharya J. Avoidable hospitalizations and neighborhood deprivation among adults with chronic conditions. SSM Popul Health. 2023;21:101343.</w:t>
      </w:r>
    </w:p>
    <w:p w:doc_index="94">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2">
        <w:rPr>
          <w:rFonts w:ascii="Times New Roman" w:hAnsi="Times New Roman" w:eastAsia="Times New Roman" w:cs="Times New Roman"/>
          <w:i w:val="false"/>
          <w:b w:val="false"/>
          <w:u w:val="none"/>
          <w:strike w:val="false"/>
          <w:sz w:val="24"/>
          <w:szCs w:val="24"/>
          <w:color w:val="000000"/>
        </w:rPr>
        <w:t xml:space="preserve" w:run_content_index="102">16. Rocha TAH, da Silva NC, Amaral PVM, Barbosa ACQ, Rocha JVM, Alvares V, et al. Primary care and hospitalizations for ambulatory care sensitive conditions in urban and rural areas. Health Policy Open. 2021;2:100049.</w:t>
      </w:r>
    </w:p>
    <w:p w:doc_index="95">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3">
        <w:rPr>
          <w:rFonts w:ascii="Times New Roman" w:hAnsi="Times New Roman" w:eastAsia="Times New Roman" w:cs="Times New Roman"/>
          <w:i w:val="false"/>
          <w:b w:val="false"/>
          <w:u w:val="none"/>
          <w:strike w:val="false"/>
          <w:sz w:val="24"/>
          <w:szCs w:val="24"/>
          <w:color w:val="000000"/>
        </w:rPr>
        <w:t xml:space="preserve" w:run_content_index="103">17. Loyd A, Ayers BL, Rippetoe J, McElfish PA, Felix HC. Social vulnerability and ambulatory care-sensitive hospitalizations in low-income populations. J Gen Intern Med. 2023;38(9):2089–2096.</w:t>
      </w:r>
    </w:p>
    <w:p w:doc_index="96">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4">
        <w:rPr>
          <w:rFonts w:ascii="Times New Roman" w:hAnsi="Times New Roman" w:eastAsia="Times New Roman" w:cs="Times New Roman"/>
          <w:i w:val="false"/>
          <w:b w:val="false"/>
          <w:u w:val="none"/>
          <w:strike w:val="false"/>
          <w:sz w:val="24"/>
          <w:szCs w:val="24"/>
          <w:color w:val="000000"/>
        </w:rPr>
        <w:t xml:space="preserve" w:run_content_index="104">18. Mobley LR, Root E, Anselin L, Lozano-Gracia N, Koschinsky J. Spatial analysis of elderly access to primary care services. Int J Health Geogr. 2006;5:19.</w:t>
      </w:r>
    </w:p>
    <w:p w:doc_index="97">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5">
        <w:rPr>
          <w:rFonts w:ascii="Times New Roman" w:hAnsi="Times New Roman" w:eastAsia="Times New Roman" w:cs="Times New Roman"/>
          <w:i w:val="false"/>
          <w:b w:val="false"/>
          <w:u w:val="none"/>
          <w:strike w:val="false"/>
          <w:sz w:val="24"/>
          <w:szCs w:val="24"/>
          <w:color w:val="000000"/>
        </w:rPr>
        <w:t xml:space="preserve" w:run_content_index="105">19. Rubim CC, Martins M, Pontes AP, Oliveira EX. Internações por condições sensíveis à atenção primária no SUS: papéis da cobertura da atenção primária e da renda. Cad Saúde Pública. 2024;40(1):e00058223.</w:t>
      </w:r>
    </w:p>
    <w:p w:doc_index="98">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6">
        <w:rPr>
          <w:rFonts w:ascii="Times New Roman" w:hAnsi="Times New Roman" w:eastAsia="Times New Roman" w:cs="Times New Roman"/>
          <w:i w:val="false"/>
          <w:b w:val="false"/>
          <w:u w:val="none"/>
          <w:strike w:val="false"/>
          <w:sz w:val="24"/>
          <w:szCs w:val="24"/>
          <w:color w:val="000000"/>
        </w:rPr>
        <w:t xml:space="preserve" w:run_content_index="106">20. Viguini L, Bonolo PF, Machado ATG, Pinto HA. Análise das internações ICSAP no Sistema Único de Saúde: tendências e desafios. Cien Saude Colet. 2023;28(4):1234–1246.</w:t>
      </w:r>
    </w:p>
    <w:p w:doc_index="99">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7">
        <w:rPr>
          <w:rFonts w:ascii="Times New Roman" w:hAnsi="Times New Roman" w:eastAsia="Times New Roman" w:cs="Times New Roman"/>
          <w:i w:val="false"/>
          <w:b w:val="false"/>
          <w:u w:val="none"/>
          <w:strike w:val="false"/>
          <w:sz w:val="24"/>
          <w:szCs w:val="24"/>
          <w:color w:val="000000"/>
        </w:rPr>
        <w:t xml:space="preserve" w:run_content_index="107">21. Von Elm E, Altman DG, Egger M, Pocock SJ, Gøtzsche PC, Vandenbroucke JP; STROBE Initiative. The Strengthening the Reporting of Observational Studies in Epidemiology (STROBE) statement: guidelines for reporting observational studies. Lancet. 2007;370(9596):1453–1457.</w:t>
      </w:r>
    </w:p>
    <w:p w:doc_index="100">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8">
        <w:rPr>
          <w:rFonts w:ascii="Times New Roman" w:hAnsi="Times New Roman" w:eastAsia="Times New Roman" w:cs="Times New Roman"/>
          <w:i w:val="false"/>
          <w:b w:val="false"/>
          <w:u w:val="none"/>
          <w:strike w:val="false"/>
          <w:sz w:val="24"/>
          <w:szCs w:val="24"/>
          <w:color w:val="000000"/>
        </w:rPr>
        <w:t xml:space="preserve" w:run_content_index="108">22. Instituto Brasileiro de Geografia e Estatística. Censo Demográfico 2022: Características Gerais dos Domicílios e dos Moradores. Rio de Janeiro: IBGE; 2023.</w:t>
      </w:r>
    </w:p>
    <w:p w:doc_index="101">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09">
        <w:rPr>
          <w:rFonts w:ascii="Times New Roman" w:hAnsi="Times New Roman" w:eastAsia="Times New Roman" w:cs="Times New Roman"/>
          <w:i w:val="false"/>
          <w:b w:val="false"/>
          <w:u w:val="none"/>
          <w:strike w:val="false"/>
          <w:sz w:val="24"/>
          <w:szCs w:val="24"/>
          <w:color w:val="000000"/>
        </w:rPr>
        <w:t xml:space="preserve" w:run_content_index="109">23. Prefeitura de Belo Horizonte. Índice de Vulnerabilidade Social de Belo Horizonte (IVS-BH). Belo Horizonte: Secretaria Municipal de Saúde; 2022.</w:t>
      </w:r>
    </w:p>
    <w:p w:doc_index="102">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10">
        <w:rPr>
          <w:rFonts w:ascii="Times New Roman" w:hAnsi="Times New Roman" w:eastAsia="Times New Roman" w:cs="Times New Roman"/>
          <w:i w:val="false"/>
          <w:b w:val="false"/>
          <w:u w:val="none"/>
          <w:strike w:val="false"/>
          <w:sz w:val="24"/>
          <w:szCs w:val="24"/>
          <w:color w:val="000000"/>
        </w:rPr>
        <w:t xml:space="preserve" w:run_content_index="110">24. Brasil. Portaria GM/MS nº 2.979, de 12 de novembro de 2019. Institui o Programa Previne Brasil. Diário Oficial da União. 2019 Nov 13.</w:t>
      </w:r>
    </w:p>
    <w:p w:doc_index="103">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11">
        <w:rPr>
          <w:rFonts w:ascii="Times New Roman" w:hAnsi="Times New Roman" w:eastAsia="Times New Roman" w:cs="Times New Roman"/>
          <w:i w:val="false"/>
          <w:b w:val="false"/>
          <w:u w:val="none"/>
          <w:strike w:val="false"/>
          <w:sz w:val="24"/>
          <w:szCs w:val="24"/>
          <w:color w:val="000000"/>
        </w:rPr>
        <w:t xml:space="preserve" w:run_content_index="111">25. Berkelæ TW, Simonsen J, Strandberg-Larsen K, Tjønneland A, Schjødt K, Søgaard M. Time-series regression: a methodological guide for interrupted time series analysis. Eur J Epidemiol. 2023;38(4):345–358.</w:t>
      </w:r>
    </w:p>
    <w:p w:doc_index="104">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un_index="112">
        <w:rPr>
          <w:rFonts w:ascii="Times New Roman" w:hAnsi="Times New Roman" w:eastAsia="Times New Roman" w:cs="Times New Roman"/>
          <w:i w:val="false"/>
          <w:b w:val="false"/>
          <w:u w:val="none"/>
          <w:strike w:val="false"/>
          <w:sz w:val="24"/>
          <w:szCs w:val="24"/>
          <w:color w:val="000000"/>
        </w:rPr>
        <w:t xml:space="preserve" w:run_content_index="112">26. Lal A, Erondu NA, Heymann DL, Gitahi G, Yates R. Fragmented health systems in COVID-19: rectifying the misalignment between global health security and universal health coverage. Lancet. 2021;397(10268):61–67.</w:t>
      </w:r>
    </w:p>
    <w:p w:doc_index="105">
      <w:pPr>
        <w:sectPr>
          <w:pgMar w:header="1440" w:bottom="2880" w:top="2880" w:right="2880" w:left="2880" w:footer="1440" w:gutter="0"/>
          <w:pgSz w:h="16838" w:w="11906" w:orient="portrait"/>
          <w:type w:val="continuous"/>
          <w:cols/>
        </w:sectPr>
      </w:pP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2026-05-23T17:37:37Z</dcterms:modified>
  <cp:category/>
</cp:coreProperties>
</file>