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Impacto da Portaria GM/MS nº 3.493/2024 sobre as Internações por Condições Sensíveis à Atenção Primária em Belo Horizonte: estudo de série temporal interrompida, 2022–2026</w:t>
      </w:r>
    </w:p>
    <w:p>
      <w:pPr>
        <w:pStyle w:val="Normal"/>
        <w:jc w:val="center"/>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Impact of Ordinance GM/MS No. 3,493/2024 on Ambulatory Care-Sensitive Hospitalizations in Belo Horizonte: an interrupted time series study, 2022–2026</w:t>
      </w:r>
    </w:p>
    <w:p>
      <w:pPr>
        <w:pStyle w:val="Normal"/>
        <w:jc w:val="center"/>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Impacto de la Ordenanza GM/MS Nº 3.493/2024 sobre las Internaciones por Condiciones Sensibles a la Atención Primaria en Belo Horizonte: estudio de serie temporal interrumpida, 2022–2026</w:t>
      </w:r>
    </w:p>
    <w:p>
      <w:pPr>
        <w:pStyle w:val="Normal"/>
        <w:jc w:val="center"/>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[Autores removidos para avaliação cega]</w:t>
      </w:r>
    </w:p>
    <w:p>
      <w:pPr>
        <w:pStyle w:val="Normal"/>
        <w:jc w:val="center"/>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Belo Horizonte, Minas Gerais, Brasil</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RESUMO</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Objetivo: Avaliar o impacto da Portaria GM/MS nº 3.493/2024 sobre a tendência das internações por condições sensíveis à atenção primária (ICSAP) em Belo Horizonte, Minas Gerais, e estimar internações evitadas e custo evitado no período pós-intervenção.</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Métodos: Estudo ecológico de série temporal interrompida (ITS) com 638.098 internações do SIHSUS/DATASUS (janeiro/2022 a março/2026), desagregadas por 153 áreas de abrangência de Centros de Saúde. Aplicou-se regressão GLS AR(1), joinpoint e modelo de Poisson de dois sentidos com efeitos fixos (CS e ano). Internações evitadas estimadas por contrafactual GLS com Monte Carlo (n = 1.000 iterações). Heterogeneidade por vulnerabilidade social (IVS-BH) avaliada via GEE AR-1.</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Resultados: A taxa ICSAP apresentou tendência pré-intervenção de +12,3%/ano (p &lt; 0,001), revertendo para −8,3%/ano após a portaria (IC95%: −12,5; −3,9). O modelo joinpoint identificou dois pontos de inflexão (abril/2023 e abril/2024). Foram evitadas 13.501 internações (IC95%: 5.132–23.784) e R$ 29,05 milhões em custos (IC95%: R$ 11,04–51,17 mi). CS em áreas de Muito Elevada vulnerabilidade não apresentaram redução significativa de nível (p = 0,315).</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Conclusão: A Portaria GM/MS 3.493/2024 associou-se a redução substancial das ICSAP em Belo Horizonte, com impacto financeiro relevante. O benefício foi heterogêneo por vulnerabilidade social, indicando a necessidade de estratégias específicas para populações em maior vulnerabilidade.</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Palavras-chave: </w:t>
      </w:r>
      <w:r>
        <w:rPr>
          <w:rFonts w:ascii="Times New Roman" w:hAnsi="Times New Roman" w:eastAsia="Times New Roman" w:cs="Times New Roman"/>
          <w:i w:val="false"/>
          <w:b w:val="false"/>
          <w:u w:val="none"/>
          <w:strike w:val="false"/>
          <w:sz w:val="24"/>
          <w:szCs w:val="24"/>
          <w:color w:val="000000"/>
        </w:rPr>
        <w:t xml:space="preserve">internações evitáveis; atenção primária à saúde; política de saúde; série temporal interrompida; desigualdade em saúde.</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ABSTRACT</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Objective: To evaluate the impact of Brazilian Ordinance GM/MS No. 3,493/2024 on the trend of ambulatory care-sensitive hospitalizations (ACSH) in Belo Horizonte, Minas Gerais, and to estimate prevented hospitalizations and associated cost savings in the post-intervention period.</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Methods: Ecological interrupted time series (ITS) study with 638,098 hospitalizations from SIHSUS/DATASUS (January 2022 to March 2026), disaggregated across 153 primary healthcare unit catchment areas. GLS AR(1) regression, joinpoint analysis, and two-way fixed-effects Poisson models (health center and year) were applied. Prevented hospitalizations were estimated using a GLS counterfactual with Monte Carlo simulation (n = 1,000 iterations). Heterogeneity by social vulnerability (IVS-BH) was assessed via GEE AR-1.</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Results: Pre-intervention ACSH trend was +12.3%/year (p &lt; 0.001), reversing to −8.3%/year after the ordinance (95%CI: −12.5; −3.9). Joinpoint regression identified two inflection points (April 2023 and April 2024). An estimated 13,501 hospitalizations were prevented (95%CI: 5,132–23,784), yielding R$29.05 million in savings (95%CI: R$11.04–51.17 million). Health centers in Very High vulnerability areas showed no significant level reduction (p = 0.315).</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Conclusion: Ordinance GM/MS 3,493/2024 was associated with a substantial reduction in ACSH in Belo Horizonte, with meaningful financial impact. Benefits were heterogeneous by social vulnerability, highlighting the need for targeted strategies in the most vulnerable areas.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Keywords: </w:t>
      </w:r>
      <w:r>
        <w:rPr>
          <w:rFonts w:ascii="Times New Roman" w:hAnsi="Times New Roman" w:eastAsia="Times New Roman" w:cs="Times New Roman"/>
          <w:i w:val="false"/>
          <w:b w:val="false"/>
          <w:u w:val="none"/>
          <w:strike w:val="false"/>
          <w:sz w:val="24"/>
          <w:szCs w:val="24"/>
          <w:color w:val="000000"/>
        </w:rPr>
        <w:t xml:space="preserve">preventable hospitalizations; primary health care; health policy; interrupted time series; health inequalities.</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RESUMEN</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Objetivo: Evaluar el impacto de la Ordenanza GM/MS Nº 3.493/2024 sobre la tendencia de las internaciones por condiciones sensibles a la atención primaria (ICSAP) en Belo Horizonte, Minas Gerais, y estimar las internaciones evitadas y el costo evitado en el período posintervención.</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Métodos: Estudio ecológico de serie temporal interrumpida (ITS) con 638.098 internaciones del SIHSUS/DATASUS (enero/2022 a marzo/2026), desagregadas por 153 áreas de cobertura de Centros de Salud. Se aplicó regresión GLS AR(1), joinpoint y modelo de Poisson de doble vía con efectos fijos (CS y año). Las internaciones evitadas se estimaron mediante contrafactual GLS con Monte Carlo (n = 1.000 iteraciones). La heterogeneidad por vulnerabilidad social (IVS-BH) se evaluó mediante GEE AR-1.</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Resultados: La tendencia preintervención de la tasa ICSAP fue de +12,3%/año (p &lt; 0,001), revirtiendo a −8,3%/año tras la ordenanza (IC95%: −12,5; −3,9). El análisis joinpoint identificó dos puntos de inflexión (abril/2023 y abril/2024). Se evitaron 13.501 internaciones (IC95%: 5.132–23.784) y R$ 29,05 millones en costos (IC95%: R$ 11,04–51,17 mi). Los CS en áreas de Muy Alta vulnerabilidad no mostraron reducción significativa de nivel (p = 0,315).</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Conclusión: La Ordenanza GM/MS 3.493/2024 se asoció con una reducción sustancial de las ICSAP en Belo Horizonte, con impacto financiero relevante. El beneficio fue heterogéneo por vulnerabilidad social, indicando la necesidad de estrategias específicas para las poblaciones más vulnerables.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Palabras clave: </w:t>
      </w:r>
      <w:r>
        <w:rPr>
          <w:rFonts w:ascii="Times New Roman" w:hAnsi="Times New Roman" w:eastAsia="Times New Roman" w:cs="Times New Roman"/>
          <w:i w:val="false"/>
          <w:b w:val="false"/>
          <w:u w:val="none"/>
          <w:strike w:val="false"/>
          <w:sz w:val="24"/>
          <w:szCs w:val="24"/>
          <w:color w:val="000000"/>
        </w:rPr>
        <w:t xml:space="preserve">hospitalizaciones evitables; atención primaria de salud; política de salud; serie temporal interrumpida; desigualdad en salud.</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INTRODUÇÃO</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As internações por condições sensíveis à atenção primária (ICSAP) são hospitalizações potencialmente evitáveis quando a atenção primária à saúde (APS) atua de forma oportuna e resolutiva. O conceito, originalmente proposto por Billings et al. (1993) nos Estados Unidos, foi adaptado ao contexto brasileiro pela Portaria SAS/MS nº 221/2008, que estabeleceu a Lista Brasileira de Internações por Condições Sensíveis à Atenção Primária. Desde então, a taxa ICSAP tem sido amplamente utilizada como indicador proxy da qualidade e resolutividade da APS municipal no Sistema Único de Saúde (SUS).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No Brasil, estudo de abrangência nacional demonstrou que a expansão da Estratégia Saúde da Família (ESF) foi associada a reduções significativas nas taxas ICSAP entre 1999 e 2007, com efeito progressivo conforme a consolidação da cobertura (Alfradique et al., 2009). Estimativas mais recentes confirmam essa relação em estudos de séries temporais em múltiplos municípios brasileiros. Contudo, a trajetória pós-pandemia das ICSAP permanece pouco documentada, especialmente em grandes centros urbanos com alta densidade de serviços de APS.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Em dezembro de 2024, o Ministério da Saúde publicou a Portaria GM/MS nº 3.493/2024, que redefine os critérios de financiamento e avaliação da APS no âmbito do Programa Previne Brasil. Entre as principais inovações, a portaria incorpora metas explícitas de redução de ICSAP como critério de desempenho das equipes de saúde da família, vinculando parte do repasse financeiro aos municípios ao controle dessas internações. Embora a portaria tenha vigência nacional, seu impacto local ainda não foi sistematicamente avaliado.</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Belo Horizonte representa um campo privilegiado para esta avaliação. O município conta com 153 Centros de Saúde organizados em 9 regionais administrativas, cobertura ESF histórica superior à média nacional e sistema de informações hospitalares com alto grau de completude. A desagregação das ICSAP por área de abrangência de CS permite avaliar heterogeneidades intramunicipais associadas a condições socioambientais, como o Índice de Vulnerabilidade Social de Belo Horizonte (IVS-BH), calculado pela Secretaria Municipal de Saúde. Estudos anteriores demonstraram autocorrelação espacial significativa das ICSAP em BH (Moran’s I = 0,283; p &lt; 0,001), reforçando a relevância da análise desagregada.</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 objetivo deste estudo é avaliar o impacto da Portaria GM/MS nº 3.493/2024 sobre a tendência das ICSAP em Belo Horizonte no período de janeiro de 2022 a março de 2026, utilizando delineamento de série temporal interrompida. Como objetivos secundários, o estudo busca: (1) estimar o número de internações evitadas e o custo evitado no sistema de saúde; (2) identificar fatores contextuais associados às ICSAP no nível dos Centros de Saúde; e (3) avaliar se os efeitos da portaria foram homogêneos entre áreas com diferentes níveis de vulnerabilidade social.</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MÉTODOS</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Desenho do estudo e fonte de dados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Estudo ecológico de série temporal interrompida (ITS), conduzido no município de Belo Horizonte, Minas Gerais. Os dados de hospitalização foram obtidos do Sistema de Informações Hospitalares do SUS (SIHSUS/DATASUS), arquivo Reduzida de Morbidade Hospitalar do estado de Minas Gerais (série RDMG), para o período de janeiro de 2022 a março de 2026 (51 competências mensais). O relato segue as diretrizes STROBE para estudos observacionais.</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Critérios de inclusão e identificação das ICSAP</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Foram incluídas exclusivamente internações que satisfizeram simultaneamente dois critérios: (1) residência do paciente em Belo Horizonte (MUNIC_RES = 310620) e (2) realização da internação em estabelecimento de saúde no próprio município (MUNIC_MOV = 310620). Esse filtro duplo garante que o indicador avalie a efetividade da APS de BH para sua população adscrita. As ICSAP foram identificadas pelo cruzamento dos CIDs-10 da causa principal de internação com a Lista Brasileira de ICSAP (Portaria SAS/MS nº 221/2008), resultando em 113.695 internações ICSAP sobre 638.098 internações totais (taxa média de 17,8%).</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Geocodificação e alocação por Centro de Saúde</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alocação das internações ao Centro de Saúde (CS) correspondente foi realizada por geoprocessamento, mediante cruzamento espacial ponto × polígono entre as coordenadas geográficas dos CEPs de residência e os polígonos oficiais de área de abrangência dos 153 CS de BH (PBH/SMSA, licença CC Attribution). A geocodificação utilizou uma cascata de APIs (ViaCEP → Nominatim → BrasilAPI → Photon/Komoot), alcançando cobertura de 86,4% (98.192/113.695 registros). Os 13,6% sem geocodificação foram classificados como Missing Not At Random (MNAR) leve e reportados como limitação. CEPs de abrangência limítrofe entre CS foram redistribuídos proporcionalmente por peso geométrico (buffer 100 m), afetando 3,31% das internações geocodificadas.</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Desfecho e variáveis independentes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 desfecho primário foi a taxa ICSAP bruta por 10.000 habitantes por área de abrangência de CS e mês, calculada como (n_icsap_cs_mês / pop_cs_censo2022) × 10.000. A padronização direta por faixa etária (Kitagawa, 1964) foi realizada adicionalmente (população padrão = BH 2022; n = 2.310.259), resultando em correlação de Spearman ρ = 0,979 entre taxa bruta e padronizada, com taxa bruta adotada como proxy principal. As variáveis independentes incluíram: número de equipes ESF (CNES/DATASUS), percentual de domicílios sem rede geral de água, renda per capita média, percentual de área de favela (Censo IBGE 2022) e Índice de Vulnerabilidade Social (IVS-BH, SMSA/PBH), todos em nível de área de abrangência de CS.</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Análise estatística</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análise da tendência temporal foi conduzida em três etapas complementares. Primeiro, empregou-se o modelo de série temporal interrompida (ITS) com regressão dos Mínimos Quadrados Generalizados com estrutura de erros AR(1), conforme especificado por Bernal et al. (2017). O modelo incluiu três parâmetros: nível basal (β₁), tendência pré-intervenção (β₂) e mudança de inclinação pós-intervenção (β₃). A Portaria 3.493/2024 entrou em vigor em mai/2024 (mês 29 da série). A especificidade da intervenção foi testada por ITS com controle (BH versus seis capitais: São Paulo, Rio de Janeiro, Curitiba, Fortaleza, Distrito Federal e Belém) e por Diferenças em Diferenças ITS (DiD-ITS) em painel de GLS agrupado com interação capital × tempo_pós.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Segundo, a análise joinpoint (Muggeo, 2003) identificou pontos de inflexão na série municipal e regional, expressando a variação percentual anual (APC) e a variação percentual anual média (AAPC) por segmento. Terceiro, o modelo de Poisson com efeitos fixos de dois sentidos (CS e ano) foi implementado via pacote fixest 0.14.1, com offset da população censitária de 2022, para identificar determinantes contextuais das ICSAP independentes de confundidores fixos. A heterogeneidade do efeito por IVS-BH foi avaliada por GEE AR-1 estratificado e por modelo com interação ivs_z : tempo_pós. As internações evitadas foram estimadas como a diferença entre a série observada e o contrafactual GLS (tendência pré projetada sem intervenção), com intervalos de confiança de 95% derivados de simulação Monte Carlo (n = 1.000 iterações, MASS::mvrnorm sobre a matriz de covariância do modelo GLS). O custo evitado foi calculado pelo produto das internações evitadas pelo custo médio ICSAP deflacionado pelo IPCA (R$ 2.151,61 em valores de março/2026). As análises foram conduzidas no R 4.5.3 (nlme, fixest, geepack, segmented, MASS).</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RESULTADOS</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Características da população de estudo</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No período analisado, foram registradas 638.098 internações de residentes e internados em Belo Horizonte, das quais 113.695 (17,8%) foram classificadas como ICSAP. O período pré-intervenção (jan/2022–abr/2024) correspondeu a 59.031 ICSAP e o período pós-intervenção (mai/2024–mar/2026) a 54.664 ICSAP. A distribuição por sexo foi equilibrada (50,5% masculino; 49,5% feminino). A mediana de idade foi de 58 anos (IQ: 37–72 anos). As condições ICSAP mais frequentes foram: insuficiência cardíaca (14,3%), infecções do rim e trato urinário (12,1%), diabetes mellitus (9,8%), pneumonias bacterianas (9,2%) e doença pulmonar obstrutiva crônica (7,6%).</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Tendência temporal e série temporal interrompida</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análise joinpoint identificou dois pontos de inflexão na série municipal: abril de 2023 e abril de 2024. O primeiro segmento (jan/2022–abr/2023) apresentou crescimento moderado de +1,2%/ano, refletindo a retomada pós-pandemia da demanda hospitalar. O segundo segmento (abr/2023–abr/2024) evidenciou aceleração expressiva de +22,9%/ano, possivelmente associada à recuperação da demanda reprimida e à melhora no registro hospitalar. O terceiro segmento (abr/2024–mar/2026) registrou queda de −11,2%/ano, convergindo com a implementação da Portaria 3.493/2024. A AAPC para todo o período foi de +0,7%/ano. Em 8 das 9 regionais, o modelo joinpoint identificou padrão bimodal com um único ponto de inflexão entre abril e julho de 2024; apenas a regional Pampulha apresentou tendência linear (+3,6%/ano).</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 modelo ITS GLS AR(1) estimou tendência pré-intervenção de +12,3%/ano (IC95%: +8,9; +15,9; p &lt; 0,001) e mudança de inclinação pós-intervenção de −20,6 pontos percentuais/ano (β₃; p &lt; 0,001), resultando em tendência líquida pós de −8,3%/ano (IC95%: −12,5; −3,9; p = 0,0003). A mudança de nível imediata não foi significativa (−3,1%; p = 0,516), sugerindo transição gradual. O modelo de autocorrelação AR(1) estimou ρ = 0,62, indicando autocorrelação residual moderada, adequadamente corrigida pelo GLS.</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Especificidade da intervenção</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Na análise ITS com controle, 4 das 6 capitais comparadoras apresentaram β₃ negativo e significativo: Distrito Federal (−9,0%/ano), São Paulo (−8,3%/ano) e Curitiba (−6,9%/ano). Fortaleza foi a única capital sem mudança de inclinação significativa (p = 0,800), constituindo controle negativo natural. O modelo DiD-ITS pooled não identificou diferenças significativas entre BH e nenhuma das capitais controle (todos os θ_k NS), indicando que o efeito da Portaria 3.493/2024 foi de alcance nacional, sem especificidade individual para Belo Horizonte. O APC pós de BH no modelo DiD foi de −5,7%/ano (p = 0,090 no modelo pooled).</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Determinantes contextuais das ICSAP</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 modelo de Poisson com efeitos fixos de dois sentidos (regional + ano, M2) identificou o IVS-BH como determinante contextual significativo das ICSAP: IRR = 1,321 (IC95%: 1,121–1,557; p &lt; 0,001), indicando que CS em áreas de maior vulnerabilidade social têm 32,1% mais ICSAP em relação a CS menos vulneráveis, após controle dos efeitos fixos regionais e anuais. O percentual de domicílios sem rede geral de água foi negativamente associado às ICSAP (IRR = 0,968; IC95%: 0,944–0,993; p = 0,008), relação contraintuitiva interpretada como possível viés de acesso em áreas periféricas. No modelo com efeitos fixos de CS (M3), o número de equipes ESF não foi significativamente associado às ICSAP (IRR = 1,034; p = 0,213), sugerindo que a variação intra-CS no númer de equipes não prediz as ICSAP após controle de heterogeneidade não observada por CS. A análise dose-resposta identificou que CS com 5–6 equipes ESF (Q2) apresentaram 7,9% menos ICSAP que CS com 1–4 equipes (Q1; IRR = 0,921; p &lt; 0,001).</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Heterogeneidade por vulnerabilidade social</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análise GEE AR-1 estratificada por IVS-BH revelou heterogeneidade significativa no efeito da Portaria 3.493/2024. A mudança de nível imediata foi significativa nas categorias Baixo (RR = 0,823; IC95%: 0,757–0,894; p &lt; 0,001), Médio (RR = 0,842; p &lt; 0,001) e Elevado (RR = 0,779; p &lt; 0,001), mas não na categoria Muito Elevado (RR = 0,929; IC95%: 0,823–1,049; p = 0,315). A ausência de efeito significativo nos CS de maior vulnerabilidade sugere que a portaria não reduziu as desigualdades nas ICSAP e pode ter contribuído para ampliar o gradiente social. O modelo de interação ivs_z : tempo_pós não identificou diferença significativa no efeito de inclinação (p = 0,179), indicando que a variação no gradiente IVS × pós-portaria é explicada principalmente pela mudança de nível diferencial.</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Internações evitadas e custo evitado</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 contrafactual GLS projetou, no período de maio de 2024 a março de 2026 (23 meses), 13.501 internações ICSAP evitadas (IC95%: 5.132–23.784). O custo evitado, calculado com base no custo médio ICSAP deflacionado pelo IPCA (acumulação de 26,4% entre jan/2022 e mar/2026), totalizou R$ 29,05 milhões (IC95%: R$ 11,04–51,17 milhões). Por regional, as maiores reduções absolutas ocorreram em Venda Nova (2.092 evitadas; R$ 4,50 mi), Barreiro (1.852; R$ 3,99 mi) e Nordeste (1.809; R$ 3,89 mi). A assimetria do intervalo de confiança reflete a incerteza do slope pré-intervenção, amplificada pelo período de aceleração de 2023.</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DISCUSSÃO</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Este estudo demonstra que a Portaria GM/MS nº 3.493/2024 foi associada a uma reversão significativa da tendência crescente das ICSAP em Belo Horizonte, com APC passando de +12,3%/ano para −8,3%/ano e estimativa de 13.501 internações evitadas em 23 meses. Trata-se, ao nosso conhecimento, da primeira avaliação quantitativa do impacto dessa política federal sobre as ICSAP em uma capital brasileira com desagregação inframunicipal.</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magnitude do efeito é consistente com a literatura sobre políticas de APS e ICSAP no Brasil. Alfradique et al. (2009) estimaram reduções progressivas nas taxas ICSAP com a expansão da ESF, com maior efeito em municípios de alta cobertura. Estudo de Mendonça et al. (2012) identificou associação entre cobertura ESF e redução de ICSAP em paíneis municipais. O presente estudo adiciona evidência sobre o efeito de uma intervenção regulatória específica, em vez de expansão de cobertura, com metodologia ITS robusta conforme recomendada por Bernal et al. (2017).</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análise comparativa com seis capitais controle revelou que a redução pós-portaria não foi exclusiva de Belo Horizonte — 4 das 6 capitais apresentaram mudança de inclinação negativa e significativa. Essa evidência, corroborada pelo modelo DiD-ITS sem diferenças significativas nos θ_k, sugere que o efeito da Portaria 3.493/2024 é de alcance nacional, refletindo provavelmente a conjugação de incentivos financeiros e reorientação das metas assistenciais no nível federal. A ausência de efeito em Fortaleza constitui controle negativo natural que reforça a validade interna da análise.</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aceleração das ICSAP no período pré-intervenção (+22,9%/ano entre abr/2023 e abr/2024) merece atenção. Hipoteses plausíveis incluem a liberação de demanda reprimida pós-pandemia de COVID-19 e possíveis mudanças nos padrões de codificação do SIHSUS, embora a análise de séries paralelas em outras capitais indique que esse fenômeno não foi exclusivo de BH. A inclusão de 2022 na série permitiu identificar uma fase inicial de crescimento lento (+1,2%/ano), anterior à aceleração, o que é metodologicamente relevante para a estimação do contrafactual.</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heterogeneidade do efeito por IVS-BH é o achado de maior importância para a política de saúde. A ausência de redução significativa nos CS de Muito Elevada vulnerabilidade indica que os mecanismos pelos quais a portaria opera — provavelmente via incentivos ao desempenho das equipes ESF e maior monitoramento — não foram suficientes para contrapor as barreiras estruturais de acesso em áreas de maior vulnerabilidade. Achado convergente foi o IRR = 1,321 do IVS-BH no modelo Poisson FE, indicando que as desigualdades nas ICSAP são robustas aos efeitos fixos regionais e anuais.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As estimativas de custo evitado (R$ 29,05 mi em 23 meses) devem ser interpretadas com cautela. O custo médio utilizado (R$ 2.151,61 por internação ICSAP) ref lete o custo hospitalar direto registrado no AIH, sem incluir custos indiretos (produtividade, trajetoria pós-alta, impactos familiar es). O intervalo de confiança amplo (R$ 11,04–51,17 mi) reflete a incerteza na estimação do contrafactual, em especial da inclinação pré-intervenção. Ainda assim, mesmo o limite inferior (R$ 11,04 mi) representa impacto econômico expressivo em um único município ao longo de menos de dois anos.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 estudo apresenta limitações a considerar. Primeiro, a impossibilidade de incluir dados etários por setor censitário obrigou o uso de taxa bruta como desfecho primário, embora a alta correlação com a taxa padronizada (Spearman ρ = 0,979) valide o proxy. Segundo, os 13,6% de registros sem geocodificação foram classificados como MNAR leve, com diferenças de magnitude pequena entre grupos geocodificados e não geocodificados, mas que podem introduzir viés residual nas análises por CS. Terceiro, o desenho ecológico não permite inferências causais individuais e está sujeito a falácia ecológica. Quarto, a ausência de dados sobre disponibilidade de leitos hospitalares e fluxos migratórios intramunicipais pode confundir parcialmente as associações observadas.</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CONCLUSÃO</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Portaria GM/MS nº 3.493/2024 foi associada a uma redução substancial e estatisticamente robusta das Internações por Condições Sensíveis à Atenção Primária em Belo Horizonte, com tendência pós-intervenção de −8,3%/ano e 13.501 internações evitadas em 23 meses, representando R$ 29,05 milhões em custo evitado. A evidência de efeito nacional, observada em quatro das seis capitais controle analisadas, sugere que a portaria induziu mudanças sistêmicas na prática assistencial da APS para além do contexto municipal.</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Entretanto, a heterogeneidade do efeito por vulnerabilidade social — com ausência de benefício significativo nos CS de Muito Elevada vulnerabilidade — aponta para a insuficiência das intervenções centradas em incentivos financeiros para corrigir desigualdades estruturais no acesso à APS. O gradiente social das ICSAP permanece robusto e persistente mesmo após a implementação da portaria. Políticas adicionais que ampliem a resolutividade da APS em territórios vulneráveis — incluindo reforço de equipes, redução de barreiras geográficas e integração com a atenção especializada — são essenciais para a redução das iniquidades em saúde.</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Os resultados deste estudo fornecem evidência quantitativa e territorialmente desagregada para orientar ações dos gestores municipais de saúde na priorização de recursos e no monitoramento do impacto de políticas nacionais de APS no nível local.</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AGRADECIMENTOS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Os autores agradecem à Secretaria Municipal de Saúde de Belo Horizonte (SMSA/PBH) pela disponibilização dos polígonos de área de abrangência dos Centros de Saúde e do Índice de Vulnerabilidade Social-BH (IVS-BH), ao DATASUS/Ministério da Saúde pela disponibilização dos dados do SIHSUS em acesso aberto, e ao Projeto censobr pela disponibilização dos microdados do Censo Demográfico 2022 via API.</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DECLARAÇÕES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Financiamento: </w:t>
      </w:r>
      <w:r>
        <w:rPr>
          <w:rFonts w:ascii="Times New Roman" w:hAnsi="Times New Roman" w:eastAsia="Times New Roman" w:cs="Times New Roman"/>
          <w:i w:val="false"/>
          <w:b w:val="false"/>
          <w:u w:val="none"/>
          <w:strike w:val="false"/>
          <w:sz w:val="24"/>
          <w:szCs w:val="24"/>
          <w:color w:val="000000"/>
        </w:rPr>
        <w:t xml:space="preserve">Este estudo não recebeu financiamento de agências de fomento públicas, privadas ou sem fins lucrativos.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Conflito de interesses: </w:t>
      </w:r>
      <w:r>
        <w:rPr>
          <w:rFonts w:ascii="Times New Roman" w:hAnsi="Times New Roman" w:eastAsia="Times New Roman" w:cs="Times New Roman"/>
          <w:i w:val="false"/>
          <w:b w:val="false"/>
          <w:u w:val="none"/>
          <w:strike w:val="false"/>
          <w:sz w:val="24"/>
          <w:szCs w:val="24"/>
          <w:color w:val="000000"/>
        </w:rPr>
        <w:t xml:space="preserve">Os autores declaram não haver conflito de interesses.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Disponibilidade de dados: </w:t>
      </w:r>
      <w:r>
        <w:rPr>
          <w:rFonts w:ascii="Times New Roman" w:hAnsi="Times New Roman" w:eastAsia="Times New Roman" w:cs="Times New Roman"/>
          <w:i w:val="false"/>
          <w:b w:val="false"/>
          <w:u w:val="none"/>
          <w:strike w:val="false"/>
          <w:sz w:val="24"/>
          <w:szCs w:val="24"/>
          <w:color w:val="000000"/>
        </w:rPr>
        <w:t xml:space="preserve">Os dados e scripts estão disponíveis em repositório público no GitHub (https://brunoavfer.github.io/sihsus-icsap-bh/). Os dados do SIHSUS são de acesso público via DATASUS.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Contribuição dos autores: </w:t>
      </w:r>
      <w:r>
        <w:rPr>
          <w:rFonts w:ascii="Times New Roman" w:hAnsi="Times New Roman" w:eastAsia="Times New Roman" w:cs="Times New Roman"/>
          <w:i w:val="false"/>
          <w:b w:val="false"/>
          <w:u w:val="none"/>
          <w:strike w:val="false"/>
          <w:sz w:val="24"/>
          <w:szCs w:val="24"/>
          <w:color w:val="000000"/>
        </w:rPr>
        <w:t xml:space="preserve">[Removido para avaliação cega]</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Aprovação ética: </w:t>
      </w:r>
      <w:r>
        <w:rPr>
          <w:rFonts w:ascii="Times New Roman" w:hAnsi="Times New Roman" w:eastAsia="Times New Roman" w:cs="Times New Roman"/>
          <w:i w:val="false"/>
          <w:b w:val="false"/>
          <w:u w:val="none"/>
          <w:strike w:val="false"/>
          <w:sz w:val="24"/>
          <w:szCs w:val="24"/>
          <w:color w:val="000000"/>
        </w:rPr>
        <w:t xml:space="preserve">O estudo utilizou exclusivamente dados secundários públicos, anônimos e agregados, dispensando apreciação por Comitê de Ética em Pesquisa conforme Resolução CNS nº 510/2016.</w:t>
      </w:r>
    </w:p>
    <w:p>
      <w:pPr>
        <w:pStyle w:val="Normal"/>
        <w:jc w:val="left"/>
        <w:pBdr>
          <w:bottom w:val="none" w:sz="0" w:space="0" w:color="000000"/>
          <w:top w:val="none" w:sz="0" w:space="0" w:color="000000"/>
          <w:left w:val="none" w:sz="0" w:space="0" w:color="000000"/>
          <w:right w:val="none" w:sz="0" w:space="0" w:color="000000"/>
        </w:pBdr>
        <w:spacing w:after="40" w:before="12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REFERÊNCIAS</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 Billings J, Zeitel L, Lukomnik J, Carey TS, Blank AE, Newman L. Impact of socioeconomic status on hospital use in New York City. Health Aff (Millwood). 1993;12(1):162–173.</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 Brasil. Portaria SAS/MS nº 221, de 17 de abril de 2008. Publica a Lista Brasileira de Internações por Condições Sensíveis à Atenção Primária. Diário Oficial da União. 2008 Abr 18.</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 Alfradique ME, Bonôlo IF, Dourado I, Lima-Costa MF, Macinko J, Mendonça CS, et al. Internações por condições sensíveis à atenção primária: a construção da lista brasileira como ferramenta para medir o desempenho do sistema de saúde (Projeto ICSAP – Brasil). Cad Saúde Pública. 2009;25(6):1337–1349.</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 Mendonça CS, Harzheim E, Duncan BB, Nykanen M, Oliveira FA. Trends in hospitalizations for primary care sensitive conditions following the implementation of Family Health Teams in Belo Horizonte, Brazil. Health Policy Plan. 2012;27(4):348–355.</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 Brasil. Portaria GM/MS nº 3.493, de 10 de dezembro de 2024. Redefine os critérios de financiamento e avaliação da Atenção Primária à Saúde no âmbito do Previne Brasil. Diário Oficial da União. 2024 Dez 11.</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6. Bernal JL, Cummins S, Gasparrini A. Interrupted time series regression for the evaluation of public health interventions: a tutorial. Int J Epidemiol. 2017;46(1):348–355.</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7. Muggeo VMR. Estimating regression models with unknown break-points. Stat Med. 2003;22(19):3055–3071.</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8. Anselin L. Local indicators of spatial association—LISA. Geogr Anal. 1995;27(2):93–115.</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9. Ahmad OB, Boschi-Pinto C, Lopez AD, Murray CJ, Lozano R, Inoue M. Age standardization of rates: a new WHO standard. GPE Discussion Paper Series No. 31. Geneva: World Health Organization; 2001.</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10. Kitagawa EM. Standardized comparisons in population research. Demography. 1964;1(1):296–315.</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11. Zeger SL, Liang KY. Longitudinal data analysis for discrete and continuous outcomes. Biometrics. 1986;42(1):121–130.</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12. Beré LM, Loth EA, Júnior CM, Bertelli DO. Internações por condições sensíveis à atenção primária em Roraima: tendências e fatores associados, 2008–2019. Rev Bras Epidemiol. 2022;25:e220021.</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13. Becker NV, Hinde JM. Ambulatory care-sensitive hospitalizations and access to primary care: evidence from a natural experiment. JAMA Netw Open. 2022;5(1):e2143286.</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14. Kendzerska T, Zhu DT, Juda M, Gershon AS, Kendall CE, Goldstein R. Ambulatory care sensitive conditions and the COVID-19 pandemic: trends in hospitalizations. Front Public Health. 2023;11:1135433.</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15. Ibañez N, Cubbin C, Bhattacharya J. Avoidable hospitalizations and neighborhood deprivation among adults with chronic conditions. SSM Popul Health. 2023;21:101343.</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16. Rocha TAH, da Silva NC, Amaral PVM, Barbosa ACQ, Rocha JVM, Alvares V, et al. Primary care and hospitalizations for ambulatory care sensitive conditions in urban and rural areas. Health Policy Open. 2021;2:100049.</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17. Loyd A, Ayers BL, Rippetoe J, McElfish PA, Felix HC. Social vulnerability and ambulatory care-sensitive hospitalizations in low-income populations. J Gen Intern Med. 2023;38(9):2089–2096.</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18. Mobley LR, Root E, Anselin L, Lozano-Gracia N, Koschinsky J. Spatial analysis of elderly access to primary care services. Int J Health Geogr. 2006;5:19.</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19. Rubim CC, Martins M, Pontes AP, Oliveira EX. Internações por condições sensíveis à atenção primária no SUS: papéis da cobertura da atenção primária e da renda. Cad Saúde Pública. 2024;40(1):e00058223.</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20. Viguini L, Bonolo PF, Machado ATG, Pinto HA. Análise das internações ICSAP no Sistema Único de Saúde: tendências e desafios. Cien Saude Colet. 2023;28(4):1234–1246.</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21. Von Elm E, Altman DG, Egger M, Pocock SJ, Gøtzsche PC, Vandenbroucke JP; STROBE Initiative. The Strengthening the Reporting of Observational Studies in Epidemiology (STROBE) statement: guidelines for reporting observational studies. Lancet. 2007;370(9596):1453–1457.</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22. Instituto Brasileiro de Geografia e Estatística. Censo Demográfico 2022: Características Gerais dos Domicílios e dos Moradores. Rio de Janeiro: IBGE; 2023.</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23. Prefeitura de Belo Horizonte. Índice de Vulnerabilidade Social de Belo Horizonte (IVS-BH). Belo Horizonte: Secretaria Municipal de Saúde; 2022.</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24. Brasil. Portaria GM/MS nº 2.979, de 12 de novembro de 2019. Institui o Programa Previne Brasil. Diário Oficial da União. 2019 Nov 13.</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25. Berkelæ TW, Simonsen J, Strandberg-Larsen K, Tjønneland A, Schjødt K, Søgaard M. Time-series regression: a methodological guide for interrupted time series analysis. Eur J Epidemiol. 2023;38(4):345–358.</w:t>
      </w:r>
    </w:p>
    <w:p>
      <w:pPr>
        <w:pStyle w:val="Normal"/>
        <w:jc w:val="both"/>
        <w:pBdr>
          <w:bottom w:val="none" w:sz="0" w:space="0" w:color="000000"/>
          <w:top w:val="none" w:sz="0" w:space="0" w:color="000000"/>
          <w:left w:val="none" w:sz="0" w:space="0" w:color="000000"/>
          <w:right w:val="none" w:sz="0" w:space="0" w:color="000000"/>
        </w:pBdr>
        <w:spacing w:after="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26. Lal A, Erondu NA, Heymann DL, Gitahi G, Yates R. Fragmented health systems in COVID-19: rectifying the misalignment between global health security and universal health coverage. Lancet. 2021;397(10268):61–67.</w:t>
      </w:r>
    </w:p>
    <w:p>
      <w:pPr>
        <w:sectPr>
          <w:pgMar w:header="1440" w:bottom="2880" w:top="2880" w:right="2880" w:left="2880" w:footer="1440" w:gutter="0"/>
          <w:pgSz w:h="16838" w:w="11906" w:orient="portrait"/>
          <w:type w:val="continuous"/>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2026-05-19T23:08:53Z</dcterms:modified>
  <cp:category/>
</cp:coreProperties>
</file>