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F1A4" w14:textId="77777777" w:rsidR="00881C1D" w:rsidRPr="00881C1D" w:rsidRDefault="00881C1D" w:rsidP="00881C1D">
      <w:pPr>
        <w:rPr>
          <w:b/>
          <w:bCs/>
          <w:lang w:val="pt-BR"/>
        </w:rPr>
      </w:pPr>
      <w:r w:rsidRPr="00881C1D">
        <w:rPr>
          <w:b/>
          <w:bCs/>
          <w:lang w:val="pt-BR"/>
        </w:rPr>
        <w:t>Introdução</w:t>
      </w:r>
    </w:p>
    <w:p w14:paraId="165114CB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Incluir uma subseção de dois ou três parágrafos sintetizando como o projeto terminou no PI5: o que já estava desenvolvido, o estágio da solução e o que serviu de ponto de partida para o PI6. Essa síntese deve permitir distinguir o trabalho anterior das evoluções realizadas neste semestre.</w:t>
      </w:r>
    </w:p>
    <w:p w14:paraId="3F977F05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Acrescentar aos objetivos específicos a adequação do tratamento dos dados à legislação, especialmente à LGPD, pois esse esforço passou a integrar o escopo do PI6.</w:t>
      </w:r>
    </w:p>
    <w:p w14:paraId="31F0C366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Avaliar a redução da descrição socioeconômica da região de fronteira, preservando as informações necessárias para compreender a empresa e o problema. Trata-se de uma sugestão de concisão, sem necessidade de refazer toda a introdução.</w:t>
      </w:r>
    </w:p>
    <w:p w14:paraId="7C84FF0F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Revisar as expressões enfáticas, como “mercado consumidor robusto”, “pujança”, “notório avanço” e “centralidade absoluta”. Preferir descrições objetivas e sustentadas pelas referências, evitando atribuir às fontes avaliações que elas não apresentam.</w:t>
      </w:r>
    </w:p>
    <w:p w14:paraId="1539EEF1" w14:textId="77777777" w:rsidR="00881C1D" w:rsidRPr="00881C1D" w:rsidRDefault="00881C1D" w:rsidP="00881C1D">
      <w:pPr>
        <w:rPr>
          <w:b/>
          <w:bCs/>
          <w:lang w:val="pt-BR"/>
        </w:rPr>
      </w:pPr>
      <w:r w:rsidRPr="00881C1D">
        <w:rPr>
          <w:b/>
          <w:bCs/>
          <w:lang w:val="pt-BR"/>
        </w:rPr>
        <w:t>Referencial teórico</w:t>
      </w:r>
    </w:p>
    <w:p w14:paraId="6A905D34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 xml:space="preserve">Organizar e numerar as seções e subseções, diferenciando seus níveis e atualizando o sumário. Padronizar também os recuos e espaçamentos conforme o </w:t>
      </w:r>
      <w:proofErr w:type="spellStart"/>
      <w:r w:rsidRPr="00881C1D">
        <w:rPr>
          <w:lang w:val="pt-BR"/>
        </w:rPr>
        <w:t>template</w:t>
      </w:r>
      <w:proofErr w:type="spellEnd"/>
      <w:r w:rsidRPr="00881C1D">
        <w:rPr>
          <w:lang w:val="pt-BR"/>
        </w:rPr>
        <w:t>.</w:t>
      </w:r>
    </w:p>
    <w:p w14:paraId="3F5482EF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Revisar o conteúdo para concentrar neste capítulo a fundamentação teórica e os trabalhos relacionados. Explicações sobre como os algoritmos foram utilizados no projeto devem ficar na metodologia; os resultados obtidos e seus efeitos na empresa devem ficar em resultados e discussão.</w:t>
      </w:r>
    </w:p>
    <w:p w14:paraId="282FEC02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Substituir a expressão “Impacto no Negócio” por “Aplicação na análise de risco” ou equivalente, pois os trechos apresentam possibilidades de aplicação dos algoritmos, e não impactos efetivamente demonstrados na empresa.</w:t>
      </w:r>
    </w:p>
    <w:p w14:paraId="517DD2C1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Acrescentar a implantação contínua (</w:t>
      </w:r>
      <w:proofErr w:type="spellStart"/>
      <w:r w:rsidRPr="00881C1D">
        <w:rPr>
          <w:i/>
          <w:iCs/>
          <w:lang w:val="pt-BR"/>
        </w:rPr>
        <w:t>Continuous</w:t>
      </w:r>
      <w:proofErr w:type="spellEnd"/>
      <w:r w:rsidRPr="00881C1D">
        <w:rPr>
          <w:i/>
          <w:iCs/>
          <w:lang w:val="pt-BR"/>
        </w:rPr>
        <w:t xml:space="preserve"> Deployment</w:t>
      </w:r>
      <w:r w:rsidRPr="00881C1D">
        <w:rPr>
          <w:lang w:val="pt-BR"/>
        </w:rPr>
        <w:t>) e diferenciá-la da entrega contínua (</w:t>
      </w:r>
      <w:proofErr w:type="spellStart"/>
      <w:r w:rsidRPr="00881C1D">
        <w:rPr>
          <w:i/>
          <w:iCs/>
          <w:lang w:val="pt-BR"/>
        </w:rPr>
        <w:t>Continuous</w:t>
      </w:r>
      <w:proofErr w:type="spellEnd"/>
      <w:r w:rsidRPr="00881C1D">
        <w:rPr>
          <w:i/>
          <w:iCs/>
          <w:lang w:val="pt-BR"/>
        </w:rPr>
        <w:t xml:space="preserve"> Delivery</w:t>
      </w:r>
      <w:r w:rsidRPr="00881C1D">
        <w:rPr>
          <w:lang w:val="pt-BR"/>
        </w:rPr>
        <w:t>). Explicitar a diferença entre manter uma solução pronta para entrar em operação e realizar sua implantação, complementando os conceitos de integração e treinamento contínuos já apresentados.</w:t>
      </w:r>
    </w:p>
    <w:p w14:paraId="630B21A2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 xml:space="preserve">Acrescentar uma breve contextualização sobre a origem do </w:t>
      </w:r>
      <w:proofErr w:type="spellStart"/>
      <w:r w:rsidRPr="00881C1D">
        <w:rPr>
          <w:lang w:val="pt-BR"/>
        </w:rPr>
        <w:t>MLflow</w:t>
      </w:r>
      <w:proofErr w:type="spellEnd"/>
      <w:r w:rsidRPr="00881C1D">
        <w:rPr>
          <w:lang w:val="pt-BR"/>
        </w:rPr>
        <w:t xml:space="preserve"> na </w:t>
      </w:r>
      <w:proofErr w:type="spellStart"/>
      <w:r w:rsidRPr="00881C1D">
        <w:rPr>
          <w:lang w:val="pt-BR"/>
        </w:rPr>
        <w:t>Databricks</w:t>
      </w:r>
      <w:proofErr w:type="spellEnd"/>
      <w:r w:rsidRPr="00881C1D">
        <w:rPr>
          <w:lang w:val="pt-BR"/>
        </w:rPr>
        <w:t xml:space="preserve"> e esclarecer que a ferramenta apoia a implementação de práticas de </w:t>
      </w:r>
      <w:proofErr w:type="spellStart"/>
      <w:r w:rsidRPr="00881C1D">
        <w:rPr>
          <w:lang w:val="pt-BR"/>
        </w:rPr>
        <w:t>MLOps</w:t>
      </w:r>
      <w:proofErr w:type="spellEnd"/>
      <w:r w:rsidRPr="00881C1D">
        <w:rPr>
          <w:lang w:val="pt-BR"/>
        </w:rPr>
        <w:t>. Incluir também uma subseção de fundamentação sobre a LGPD, coerente com sua inclusão nos objetivos específicos.</w:t>
      </w:r>
    </w:p>
    <w:p w14:paraId="3D1636CB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Revisar afirmações absolutas, como “elimina gargalos” e “assegura reprodução determinística”, conferindo sua sustentação nas referências. Reformular com maior cautela quando a fonte não respaldar exatamente o alcance da afirmação.</w:t>
      </w:r>
    </w:p>
    <w:p w14:paraId="1840D5A7" w14:textId="77777777" w:rsidR="00881C1D" w:rsidRPr="00881C1D" w:rsidRDefault="00881C1D" w:rsidP="00881C1D">
      <w:pPr>
        <w:rPr>
          <w:b/>
          <w:bCs/>
          <w:lang w:val="pt-BR"/>
        </w:rPr>
      </w:pPr>
      <w:r w:rsidRPr="00881C1D">
        <w:rPr>
          <w:b/>
          <w:bCs/>
          <w:lang w:val="pt-BR"/>
        </w:rPr>
        <w:t>Metodologia</w:t>
      </w:r>
    </w:p>
    <w:p w14:paraId="0A511B39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Renomear “Materiais e Métodos” para “Metodologia”. Detalhar o caminho efetivamente seguido, incluindo os dados utilizados, os critérios de seleção e exclusão, os tratamentos, a engenharia de atributos e a experimentação dos modelos, permitindo compreender como os resultados foram obtidos.</w:t>
      </w:r>
    </w:p>
    <w:p w14:paraId="648E0BFB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 xml:space="preserve">Corrigir a identificação da ferramenta de gestão: o </w:t>
      </w:r>
      <w:proofErr w:type="spellStart"/>
      <w:r w:rsidRPr="00881C1D">
        <w:rPr>
          <w:lang w:val="pt-BR"/>
        </w:rPr>
        <w:t>Jira</w:t>
      </w:r>
      <w:proofErr w:type="spellEnd"/>
      <w:r w:rsidRPr="00881C1D">
        <w:rPr>
          <w:lang w:val="pt-BR"/>
        </w:rPr>
        <w:t xml:space="preserve"> foi utilizado no PI5 e o Microsoft </w:t>
      </w:r>
      <w:proofErr w:type="spellStart"/>
      <w:r w:rsidRPr="00881C1D">
        <w:rPr>
          <w:lang w:val="pt-BR"/>
        </w:rPr>
        <w:t>Planner</w:t>
      </w:r>
      <w:proofErr w:type="spellEnd"/>
      <w:r w:rsidRPr="00881C1D">
        <w:rPr>
          <w:lang w:val="pt-BR"/>
        </w:rPr>
        <w:t xml:space="preserve"> no PI6. Ajustar o texto, a legenda da figura e a lista de ilustrações para refletir essa distinção.</w:t>
      </w:r>
    </w:p>
    <w:p w14:paraId="386E97D1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lastRenderedPageBreak/>
        <w:t>Manter a descrição das medidas de proteção dos dados já apresentada, revisando expressões categóricas como “estrito atendimento” e “qualquer possibilidade de reidentificação”. Descrever objetivamente os procedimentos adotados, sem apresentar garantias mais amplas do que o trabalho demonstra.</w:t>
      </w:r>
    </w:p>
    <w:p w14:paraId="05C2FB88" w14:textId="77777777" w:rsidR="00881C1D" w:rsidRPr="00881C1D" w:rsidRDefault="00881C1D" w:rsidP="00881C1D">
      <w:pPr>
        <w:rPr>
          <w:b/>
          <w:bCs/>
          <w:lang w:val="pt-BR"/>
        </w:rPr>
      </w:pPr>
      <w:r w:rsidRPr="00881C1D">
        <w:rPr>
          <w:b/>
          <w:bCs/>
          <w:lang w:val="pt-BR"/>
        </w:rPr>
        <w:t>Resultados e discussão</w:t>
      </w:r>
    </w:p>
    <w:p w14:paraId="24383247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Transferir para a metodologia os trechos da análise exploratória que descrevem seleção de dados, filtragem, limpeza, preparação e engenharia de atributos. Concentrar a síntese histórica do PI5 na introdução e explicitar que a análise foi refeita no PI6 com a base atualizada, conforme informado na conversa.</w:t>
      </w:r>
    </w:p>
    <w:p w14:paraId="1AED852B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>Manter neste capítulo principalmente as saídas dos modelos, os gráficos, as métricas, as comparações e suas interpretações. Priorizar a discussão do desempenho encontrado e de sua utilidade para a análise de risco da empresa.</w:t>
      </w:r>
    </w:p>
    <w:p w14:paraId="251A7F04" w14:textId="77777777" w:rsidR="00881C1D" w:rsidRPr="00881C1D" w:rsidRDefault="00881C1D" w:rsidP="00881C1D">
      <w:pPr>
        <w:rPr>
          <w:b/>
          <w:bCs/>
          <w:lang w:val="pt-BR"/>
        </w:rPr>
      </w:pPr>
      <w:r w:rsidRPr="00881C1D">
        <w:rPr>
          <w:b/>
          <w:bCs/>
          <w:lang w:val="pt-BR"/>
        </w:rPr>
        <w:t>Implantação e próximos passos</w:t>
      </w:r>
    </w:p>
    <w:p w14:paraId="04877F5E" w14:textId="77777777" w:rsidR="00881C1D" w:rsidRPr="00881C1D" w:rsidRDefault="00881C1D" w:rsidP="00881C1D">
      <w:pPr>
        <w:rPr>
          <w:lang w:val="pt-BR"/>
        </w:rPr>
      </w:pPr>
      <w:r w:rsidRPr="00881C1D">
        <w:rPr>
          <w:lang w:val="pt-BR"/>
        </w:rPr>
        <w:t xml:space="preserve">Testar a integração da apresentação com o </w:t>
      </w:r>
      <w:proofErr w:type="spellStart"/>
      <w:r w:rsidRPr="00881C1D">
        <w:rPr>
          <w:lang w:val="pt-BR"/>
        </w:rPr>
        <w:t>Databricks</w:t>
      </w:r>
      <w:proofErr w:type="spellEnd"/>
      <w:r w:rsidRPr="00881C1D">
        <w:rPr>
          <w:lang w:val="pt-BR"/>
        </w:rPr>
        <w:t xml:space="preserve"> e definir se será possível consumir o modelo diretamente da plataforma ou se será utilizada a arquitetura do semestre anterior. Ajustar o relatório e o guia de implantação para refletir a solução efetivamente adotada.</w:t>
      </w:r>
    </w:p>
    <w:p w14:paraId="4CC2E13A" w14:textId="4170B2BE" w:rsidR="00C249AB" w:rsidRPr="00881C1D" w:rsidRDefault="00C249AB" w:rsidP="00881C1D">
      <w:pPr>
        <w:rPr>
          <w:lang w:val="pt-BR"/>
        </w:rPr>
      </w:pPr>
    </w:p>
    <w:sectPr w:rsidR="00C249AB" w:rsidRPr="00881C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C4E03"/>
    <w:multiLevelType w:val="multilevel"/>
    <w:tmpl w:val="3F6A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F5F65"/>
    <w:multiLevelType w:val="multilevel"/>
    <w:tmpl w:val="D3D6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20793"/>
    <w:multiLevelType w:val="multilevel"/>
    <w:tmpl w:val="7084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D72F2"/>
    <w:multiLevelType w:val="multilevel"/>
    <w:tmpl w:val="FB0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B57BC"/>
    <w:multiLevelType w:val="multilevel"/>
    <w:tmpl w:val="22F8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E2A23"/>
    <w:multiLevelType w:val="multilevel"/>
    <w:tmpl w:val="83AC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D4B2B"/>
    <w:multiLevelType w:val="multilevel"/>
    <w:tmpl w:val="C8BA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87A2B"/>
    <w:multiLevelType w:val="multilevel"/>
    <w:tmpl w:val="4184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696043">
    <w:abstractNumId w:val="3"/>
  </w:num>
  <w:num w:numId="2" w16cid:durableId="779183999">
    <w:abstractNumId w:val="2"/>
  </w:num>
  <w:num w:numId="3" w16cid:durableId="867530328">
    <w:abstractNumId w:val="1"/>
  </w:num>
  <w:num w:numId="4" w16cid:durableId="1091003519">
    <w:abstractNumId w:val="4"/>
  </w:num>
  <w:num w:numId="5" w16cid:durableId="979306693">
    <w:abstractNumId w:val="0"/>
  </w:num>
  <w:num w:numId="6" w16cid:durableId="433599589">
    <w:abstractNumId w:val="5"/>
  </w:num>
  <w:num w:numId="7" w16cid:durableId="1966883621">
    <w:abstractNumId w:val="7"/>
  </w:num>
  <w:num w:numId="8" w16cid:durableId="1686518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3A"/>
    <w:rsid w:val="000A27C9"/>
    <w:rsid w:val="000A4B8F"/>
    <w:rsid w:val="00150437"/>
    <w:rsid w:val="001A55AE"/>
    <w:rsid w:val="00262979"/>
    <w:rsid w:val="0035090D"/>
    <w:rsid w:val="004836E6"/>
    <w:rsid w:val="00811E9E"/>
    <w:rsid w:val="00841666"/>
    <w:rsid w:val="00872B5A"/>
    <w:rsid w:val="00881C1D"/>
    <w:rsid w:val="009E0D5D"/>
    <w:rsid w:val="00A37AAE"/>
    <w:rsid w:val="00A40D3A"/>
    <w:rsid w:val="00AC761E"/>
    <w:rsid w:val="00B41005"/>
    <w:rsid w:val="00B72485"/>
    <w:rsid w:val="00B80D26"/>
    <w:rsid w:val="00C01C42"/>
    <w:rsid w:val="00C142BF"/>
    <w:rsid w:val="00C249AB"/>
    <w:rsid w:val="00D43CF0"/>
    <w:rsid w:val="00D9624B"/>
    <w:rsid w:val="00FE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D5A7"/>
  <w15:chartTrackingRefBased/>
  <w15:docId w15:val="{1CAA4388-AECE-476E-98D2-9DEEFD58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0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0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0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0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0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0D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0D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0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0D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0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0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0D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D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0D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0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0D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0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638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7</cp:revision>
  <dcterms:created xsi:type="dcterms:W3CDTF">2026-10-02T21:44:00Z</dcterms:created>
  <dcterms:modified xsi:type="dcterms:W3CDTF">2026-10-03T20:12:00Z</dcterms:modified>
</cp:coreProperties>
</file>