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 w:line="240" w:lineRule="auto"/>
        <w:ind w:firstLine="0"/>
        <w:widowControl/>
        <w:keepNext/>
      </w:pPr>
      <w:r>
        <w:rPr>
          <w:rFonts w:ascii="Arial" w:hAnsi="Arial" w:cs="Arial"/>
          <w:sz w:val="28"/>
          <w:szCs w:val="28"/>
          <w:b/>
        </w:rPr>
        <w:t xml:space="preserve">DA REGRA DE NEGÓCIO À AVALIAÇÃO CRÍTICA DE MODELOS:</w:t>
      </w:r>
    </w:p>
    <w:p>
      <w:pPr>
        <w:jc w:val="center"/>
        <w:spacing w:before="0" w:after="18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FORMAÇÃO EM CIÊNCIA DE DADOS POR PROJETOS INTEGRADORES</w:t>
      </w:r>
    </w:p>
    <w:p>
      <w:pPr>
        <w:jc w:val="center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RESUMO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Analisa-se a formação em Ciência de Dados para Negócios por meio de seis Projetos Integradores. A análise documental e reflexiva relaciona artefatos acadêmicos à evolução de competências técnicas e profissionais. Os resultados evidenciam integração entre negócio, engenharia, comunicação e avaliação de modelos, com reconhecimento de limitações experimentais. Conclui-se que a formação inclui justificar decisões e delimitar evidências, permanecendo pendentes a validação temporal e a homologação do projeto final.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Palavras-chave: formação profissional; portfólio reflexivo; pensamento analítico; governança de dados; aprendizado de máquina.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INTRODUÇÃO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formação em Ciência de Dados para Negócios demanda articular conhecimentos que frequentemente aparecem separados no desenvolvimento de soluções: compreensão de processos organizacionais, preparação de bases, análise, modelagem e comunicação. Nesse percurso, a disponibilidade de ferramentas não resolve, por si só, questões sobre o significado dos indicadores, a adequação dos dados ou o alcance de uma previsão. A perspectiva de Provost e Fawcett (2016), adotada no trabalho de origem, situa o pensamento analítico no contexto dos problemas de negócio e oferece uma referência para examinar essa articulação.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Este estudo apresenta uma síntese de um Trabalho de Graduação organizado como portfólio integrador em um curso superior de tecnologia. Seu objeto é uma trajetória individual de formação construída por meio de seis Projetos Integradores, sendo o último ainda em andamento no recorte documental analisado. O percurso parte da concepção de um negócio, passa pela visualização de indicadores, pela gestão acadêmica e pela engenharia de dados e chega à construção e à revisão de um classificador de risco para uma distribuidora de bebidas. As entregas envolveram atividades coletivas; a análise reflexiva concentra-se nas contribuições e nos aprendizados documentados pelo estudante.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questão orientadora é: como as evidências produzidas nos Projetos Integradores permitem compreender a evolução de competências e do julgamento crítico na formação em Ciência de Dados para Negócios? O objetivo geral é analisar essa evolução, articulando as entregas técnicas aos critérios empregados para interpretar seus resultados. Especificamente, busca-se reconstituir as conexões entre os projetos, identificar situações em que a revisão das evidências alterou a compreensão de uma solução e delimitar resultados alcançados e atividades ainda previstas.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relevância do estudo está na possibilidade de examinar a formação profissional por meio de decisões concretas, como definir uma regra de risco, escolher uma unidade de análise ou reconhecer que uma métrica elevada não comprova antecipação de eventos. A contribuição assume a forma de um relato documental e reflexivo, situado em uma trajetória específica. Sua aproximação ao debate sobre o futuro das profissões decorre da integração entre conhecimentos de negócio, tecnologia e responsabilidade na interpretação dos dados. O estudo não dispõe de acompanhamento de egressos ou comparação entre turmas que permita atribuir eficácia geral ao modelo de formação.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METODOLOGIA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Trata-se de um estudo descritivo, de abordagem qualitativa e caráter documental e reflexivo, com apresentação de resultados quantitativos já registrados no portfólio. A unidade de análise é a trajetória formativa individual. O corpus compreende relatórios, notebooks computacionais, aplicações, painéis, atas de reuniões, guias de uso e implantação e registros de experimentos dos seis Projetos Integradores. O sexto projeto é considerado apenas pelas entregas e avaliações documentadas até a elaboração do TG. Este resumo sintetiza esse recorte, sem incorporar como concluídas as etapas futuras anunciadas no documento.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construção do portfólio seguiu quatro procedimentos. Primeiro, realizou-se o inventário dos artefatos produzidos ao longo dos semestres. Segundo, a curadoria priorizou materiais verificáveis e pertinentes à compreensão da formação, preservando a atribuição das entregas coletivas. Terceiro, a reconstituição crítica confrontou o relato com código, saídas de execução e documentos de interação com a organização parceira. Por fim, a redação integrada relacionou problemas, soluções, resultados e aprendizados. Na síntese apresentada, essas relações são organizadas em torno da compreensão do negócio, da preparação e comunicação de dados e da avaliação crítica de modelos.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confronto documental adotou uma distinção central: um resultado registrado, uma funcionalidade demonstrada e uma expectativa de impacto constituem evidências de naturezas diferentes. Por exemplo, a existência de um guia de manutenção documenta procedimentos propostos, mas não comprova sua execução continuada. Analogamente, uma ata de entrega registra uma interação com a empresa, sem demonstrar redução posterior de perdas. Divergências entre narrativa e implementação foram mantidas como elementos de análise, em vez de serem suprimidas para produzir uma trajetória sem dificuldades.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As métricas citadas foram transcritas da execução preservada e da revisão descritas no TG; não correspondem a experimentos refeitos para esta submissão. A análise interpreta seus procedimentos de obtenção e seus limites. No quinto projeto, considera-se a comparação de três classificadores; no sexto, a grade de cenários que varia população, definição do alvo, atributos e algoritmo. A relação entre essas experiências e o desenvolvimento de competências é interpretativa. O estudo não emprega escala padronizada de aprendizagem, grupo de controle ou teste estatístico de evolução profissional.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DISCUSSÕES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Do problema organizacional à comunicação de indicadores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No primeiro projeto, a concepção de uma plataforma de gestão e reserva de espaços esportivos exigiu explicitar público, proposta de valor, processos e receitas antes de selecionar recursos tecnológicos. O caráter conceitual da proposta delimitava seus resultados: planos, análises e projeções sustentavam a formulação do negócio, sem constituir evidência de uma operação comercial validada. Para uma trajetória marcada por experiência prévia em desenvolvimento de sistemas, essa etapa ampliou a atenção dedicada à finalidade do dado e à decisão que se pretendia apoiar.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No segundo projeto, os painéis em Power BI introduziram a necessidade de organizar informações para consulta e interpretação gerencial. A modelagem dimensional, discutida por Kimball e Ross (2013), ofereceu suporte à distinção entre eventos mensuráveis e dimensões de análise. O aprendizado envolveu reconhecer a granularidade dos registros e selecionar agregações compatíveis com as perguntas propostas. Uma medida pode estar calculada corretamente e ainda ser inadequada à comparação desejada quando reúne eventos ou períodos distintos.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comunicação visual acrescentou outra dimensão à competência técnica: tornar o resultado compreensível para quem precisa utilizá-lo. A organização de tabelas e gráficos, em diálogo com Few (2012), foi tratada como parte da análise. No portfólio, esse cuidado reaparece em etapas posteriores na apresentação de faixas de risco e na explicação das diferenças entre indicadores. A conexão entre projetos indica que a visualização não se restringiu a uma entrega isolada, passando a integrar o modo de apresentar uma solução aplicada.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terceiro projeto deslocou a análise para o Plano de Gestão Anual de uma instituição de ensino. A interpretação de ações, metas e recursos exigiu identificar fontes e períodos de referência e distinguir a arquitetura proposta das etapas efetivamente demonstradas. Os painéis e o desenho da solução documentaram uma aplicação à gestão acadêmica, mas o acervo não sustentava afirmar que todo o fluxo funcionava de maneira automatizada. A experiência reforçou a atenção ao significado institucional de cada indicador e à distância entre descrição de uma solução e comprovação de sua operação.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Da preparação de dados à entrega de uma aplicação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quarto projeto desenvolveu um serviço de consulta de endereços, reunindo importação, limpeza, armazenamento e acesso por interface web e interface de programação. Os processos de extração, transformação e carga, discutidos por Vassiliadis (2009), ajudaram a organizar a passagem de uma fonte de dados para uma estrutura consumida por aplicações. Nessa etapa, a experiência em engenharia de software encontrou um problema de qualidade e disponibilização de dados, aproximando competências de desenvolvimento e análise.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encadeamento dessas experiências tornou-se mais explícito no quinto projeto, realizado com uma distribuidora de bebidas que associa vendas ao empréstimo de equipamentos em comodato. A demanda envolvia atrasos financeiros e retenção de equipamentos, com implicações para o caixa e a disponibilidade de ativos. O problema comercial orientou a construção de uma base por cliente e a comparação de regressão logística, árvore de decisão e floresta aleatória. Os fundamentos do aprendizado supervisionado (Mitchell, 1997) e sua implementação computacional (Pedregosa et al., 2011) apoiaram essa etapa.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base consolidada possuía 1.091 clientes, dos quais 264 atenderam ao requisito de pelo menos três compras para modelagem. Nesse recorte, 247 receberam o rótulo de alto risco e 17 integraram a outra classe. A divisão estratificada separou 184 observações para treinamento e 80 para teste, com validação cruzada em cinco partições do treino. Esses números são relevantes porque delimitam a população avaliada e evidenciam o forte desequilíbrio entre as classes. Uma métrica agregada, examinada sem esse contexto, poderia ocultar erros importantes no pequeno grupo minoritário.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floresta aleatória apresentou área sob a curva ROC de 0,992 no teste e foi selecionada na comparação registrada. O produto incluiu uma aplicação de consulta e documentação de uso e implantação, com entrega do link e do guia registrada em ata. O percurso reuniu diagnóstico, extração, preparação, treinamento, interface e comunicação com a empresa. Contudo, a análise reflexiva mostrou que o significado formativo dessa entrega dependia também de revisar o que a avaliação realmente media.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Da métrica elevada à delimitação da evidência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No experimento do quinto projeto, atributos relacionados a atrasos e o rótulo de risco eram construídos com o mesmo histórico agregado. A AUC obtida expressa, portanto, capacidade de classificação retrospectiva naquele recorte, sem comprovar previsão de inadimplência futura. A escolha do vencedor também utilizou o teste, o que limita sua independência como avaliação final. A revisão deslocou a pergunta de qual algoritmo atingiu o maior valor para quais informações estavam disponíveis e qual fenômeno havia sido efetivamente avaliado.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Outro achado envolveu a unidade de contagem da taxa de atraso de comodato. O código somava registros atrasados e dividia por contratos distintos; quando um contrato ocupava várias linhas, a taxa podia ultrapassar 100%. A correção exigia alinhar numerador e denominador e revisar os rótulos afetados antes de nova avaliação. O episódio evidencia uma competência que atravessa negócio e engenharia: verificar se a regra traduzida em código mantém o significado pretendido. Uma implementação executável não assegura, por si só, a consistência do indicador.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análise também separou impacto esperado de resultado observado. A redução de perdas de 35% mencionada no relatório técnico permanecia uma projeção, sem acompanhamento posterior que comprovasse ganho realizado. Da mesma forma, os procedimentos de retreinamento e manutenção estavam documentados, mas sua execução continuada não constava das evidências examinadas. Essas delimitações integram o resultado do estudo: reconhecer o alcance de uma afirmação passou a compor o critério de qualidade aplicado à própria produção acadêmica.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Governança e revisão das decisões anteriores ao treinamento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sexto projeto deu continuidade ao mesmo contexto empresarial, com reconstrução do fluxo em oito notebooks e separação entre extração, ingestão, análise, preparação, modelagem e comparação de cenários. Foram documentados versionamento de dados, verificações de consistência, publicação de tabela gerenciada e rastreamento de experimentos. A governança, tratada por DAMA International (2017), aparece nessa experiência como organização explícita de regras, responsabilidades e registros necessários à compreensão e à reprodução dos resultados.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revisão da origem dos dados identificou que movimentações de comodato poderiam ser contadas como compras, embora seus valores financeiros fossem nulos. Assim, o total de faturamento podia permanecer correto enquanto a frequência de compra e o valor médio por pedido eram distorcidos. As verificações passaram a contemplar, entre outros pontos, unicidade de chaves, conservação de valores e coerência entre frequência e pedidos de venda. O aprendizado foi vincular o controle técnico ao funcionamento do processo organizacional, ampliando a auditoria para além da soma de valores.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Também foram excluídos nomes da extração analítica e identificadas colunas de bloqueio que revelavam a ocorrência de atraso. A retirada de nomes reduziu a exposição nominal, sem tornar a base anônima, pois identificadores de clientes permaneceram. Quanto à modelagem, reconhecer variáveis que reproduziam a resposta evitou tratar informações posteriores ao problema como se fossem explicações disponíveis antecipadamente. Duas médias de atraso foram examinadas em cenários específicos justamente por sua proximidade com a construção do alvo.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grade de comparação reuniu quatro eixos: população, definição do alvo, conjunto de atributos e algoritmo. Foram registrados 255 cenários, com 252 avaliados e três descartados por inviabilidade de validação. A seleção passou a priorizar o coeficiente de correlação de Matthews (MCC), acompanhado por outras métricas e estimativas de incerteza. Na síntese descritiva, a amplitude das médias de MCC foi 0,261 entre conjuntos de atributos, 0,205 entre definições do alvo, 0,121 entre populações e 0,103 entre algoritmos.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Essas amplitudes descrevem a grade observada; não isolam efeitos causais. Ainda assim, oferecem um contraste relevante para a reflexão formativa: as variações associadas à representação do problema foram maiores que a variação entre algoritmos. A comparação de cenários correspondentes com e sem as duas médias de atraso registrou queda média de MCC de 0,195. O melhor MCC com todos os atributos foi 0,716; sem essas médias, o melhor valor foi 0,485, acompanhado de AUC de 0,840. Esses resultados provêm da validação cruzada e não constituem uma avaliação prospectiva.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retirada dos atributos mais próximos do alvo reduziu um atalho informacional, mas não resolveu a ausência de separação temporal. Além disso, os clientes do conjunto denominado teste já haviam participado da comparação de cenários, pois a separação ocorreu posteriormente. Por isso, o estágio documentado ainda exigia validação final independente, observação de desfechos posteriores e homologação pela empresa. Os valores do quinto e do sexto projetos também não devem ser lidos como uma série diretamente comparável, uma vez que mudaram a extração, os recortes e os procedimentos de avaliação.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Síntese das competências e alcance do relato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O conjunto dos projetos evidencia uma passagem da construção de artefatos à justificação das decisões que os sustentam. A compreensão do negócio orientou perguntas e regras; a engenharia organizou os dados; a visualização apoiou sua comunicação; e a experimentação mostrou a necessidade de interpretar métricas em relação à população, ao alvo e aos atributos. A revisão documental conectou essas dimensões ao identificar discrepâncias que não seriam percebidas pela apresentação isolada do produto final.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Essa interpretação encontra apoio em situações observáveis do portfólio, como a revisão do indicador de comodato, a distinção entre classificação retrospectiva e previsão e o registro de cenários inviáveis. Entretanto, não permite medir quanto de cada competência foi adquirido exclusivamente no curso. A experiência profissional prévia, o trabalho em equipe e as condições particulares dos projetos também compõem a trajetória. O relato oferece evidências situadas para discutir formação e julgamento profissional, sem representar todos os estudantes ou demonstrar superioridade de uma abordagem pedagógica.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CONSIDERAÇÕES FINAIS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análise atingiu o objetivo de relacionar os Projetos Integradores à evolução documentada de competências em Ciência de Dados para Negócios. O percurso articulou formulação de problemas, organização de dados, comunicação e construção de modelos, tendo como resultado central a ampliação dos critérios utilizados para avaliar uma entrega. A revisão de uma métrica elevada e a identificação de inconsistências na definição de indicadores mostram que o julgamento crítico passou a acompanhar a capacidade de implementar soluções.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 contribuição ao debate sobre formação profissional consiste em apresentar situações nas quais a qualidade do trabalho depende de justificar escolhas e reconhecer seus limites. Nesse contexto, o portfólio funciona como registro que permite confrontar afirmações com artefatos e conectar experiências realizadas em momentos distintos. A análise sugere utilidade dessa prática para tornar visível a relação entre domínio técnico, compreensão organizacional e comunicação responsável, sem atribuir ao caso evidência de eficácia pedagógica generalizável.</w:t>
      </w:r>
    </w:p>
    <w:p>
      <w:pPr>
        <w:jc w:val="both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As limitações incluem o caráter retrospectivo e individual do relato, a heterogeneidade dos documentos, as amostras pequenas dos experimentos e o sexto projeto ainda em andamento. Permanecem como etapas futuras a separação temporal entre atributos e desfechos, uma avaliação final independente, a consolidação operacional e a homologação pela organização parceira. Tais atividades deverão produzir novas evidências antes de sustentar afirmações sobre antecipação de risco ou impacto financeiro. Até o recorte analisado, o principal resultado formativo é compreender que a confiabilidade de um modelo depende de toda a cadeia de decisões que o produz.</w:t>
      </w:r>
    </w:p>
    <w:p>
      <w:pPr>
        <w:jc w:val="left"/>
        <w:spacing w:before="120" w:after="120" w:line="240" w:lineRule="auto"/>
        <w:ind w:firstLine="0"/>
        <w:widowControl/>
        <w:keepNext/>
      </w:pPr>
      <w:r>
        <w:rPr>
          <w:rFonts w:ascii="Arial" w:hAnsi="Arial" w:cs="Arial"/>
          <w:sz w:val="24"/>
          <w:szCs w:val="24"/>
          <w:b/>
        </w:rPr>
        <w:t xml:space="preserve">REFERÊNCIAS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DAMA INTERNATIONAL. </w:t>
      </w:r>
      <w:r>
        <w:rPr>
          <w:rFonts w:ascii="Arial" w:hAnsi="Arial" w:cs="Arial"/>
          <w:sz w:val="24"/>
          <w:szCs w:val="24"/>
          <w:b/>
        </w:rPr>
        <w:t xml:space="preserve">DAMA-DMBOK: Data Management Body of Knowledge</w:t>
      </w:r>
      <w:r>
        <w:rPr>
          <w:rFonts w:ascii="Arial" w:hAnsi="Arial" w:cs="Arial"/>
          <w:sz w:val="24"/>
          <w:szCs w:val="24"/>
        </w:rPr>
        <w:t xml:space="preserve">. 2. ed. New Jersey: Technics Publications, 2017.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FEW, Stephen. </w:t>
      </w:r>
      <w:r>
        <w:rPr>
          <w:rFonts w:ascii="Arial" w:hAnsi="Arial" w:cs="Arial"/>
          <w:sz w:val="24"/>
          <w:szCs w:val="24"/>
          <w:b/>
        </w:rPr>
        <w:t xml:space="preserve">Show me the numbers: designing tables and graphs to enlighten</w:t>
      </w:r>
      <w:r>
        <w:rPr>
          <w:rFonts w:ascii="Arial" w:hAnsi="Arial" w:cs="Arial"/>
          <w:sz w:val="24"/>
          <w:szCs w:val="24"/>
        </w:rPr>
        <w:t xml:space="preserve">. 2. ed. Burlingame: Analytics Press, 2012.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KIMBALL, Ralph; ROSS, Margy. </w:t>
      </w:r>
      <w:r>
        <w:rPr>
          <w:rFonts w:ascii="Arial" w:hAnsi="Arial" w:cs="Arial"/>
          <w:sz w:val="24"/>
          <w:szCs w:val="24"/>
          <w:b/>
        </w:rPr>
        <w:t xml:space="preserve">The data warehouse toolkit: the definitive guide to dimensional modeling</w:t>
      </w:r>
      <w:r>
        <w:rPr>
          <w:rFonts w:ascii="Arial" w:hAnsi="Arial" w:cs="Arial"/>
          <w:sz w:val="24"/>
          <w:szCs w:val="24"/>
        </w:rPr>
        <w:t xml:space="preserve">. 3. ed. Indianapolis: John Wiley &amp; Sons, 2013.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MITCHELL, Tom M. </w:t>
      </w:r>
      <w:r>
        <w:rPr>
          <w:rFonts w:ascii="Arial" w:hAnsi="Arial" w:cs="Arial"/>
          <w:sz w:val="24"/>
          <w:szCs w:val="24"/>
          <w:b/>
        </w:rPr>
        <w:t xml:space="preserve">Machine learning</w:t>
      </w:r>
      <w:r>
        <w:rPr>
          <w:rFonts w:ascii="Arial" w:hAnsi="Arial" w:cs="Arial"/>
          <w:sz w:val="24"/>
          <w:szCs w:val="24"/>
        </w:rPr>
        <w:t xml:space="preserve">. New York: McGraw-Hill, 1997.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PEDREGOSA, Fabian et al. Scikit-learn: machine learning in Python. </w:t>
      </w:r>
      <w:r>
        <w:rPr>
          <w:rFonts w:ascii="Arial" w:hAnsi="Arial" w:cs="Arial"/>
          <w:sz w:val="24"/>
          <w:szCs w:val="24"/>
          <w:b/>
        </w:rPr>
        <w:t xml:space="preserve">Journal of Machine Learning Research</w:t>
      </w:r>
      <w:r>
        <w:rPr>
          <w:rFonts w:ascii="Arial" w:hAnsi="Arial" w:cs="Arial"/>
          <w:sz w:val="24"/>
          <w:szCs w:val="24"/>
        </w:rPr>
        <w:t xml:space="preserve">, v. 12, p. 2825-2830, 2011.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PROVOST, Foster; FAWCETT, Tom. </w:t>
      </w:r>
      <w:r>
        <w:rPr>
          <w:rFonts w:ascii="Arial" w:hAnsi="Arial" w:cs="Arial"/>
          <w:sz w:val="24"/>
          <w:szCs w:val="24"/>
          <w:b/>
        </w:rPr>
        <w:t xml:space="preserve">Data Science para Negócios: o que você precisa saber sobre mineração de dados e pensamento analítico de dados</w:t>
      </w:r>
      <w:r>
        <w:rPr>
          <w:rFonts w:ascii="Arial" w:hAnsi="Arial" w:cs="Arial"/>
          <w:sz w:val="24"/>
          <w:szCs w:val="24"/>
        </w:rPr>
        <w:t xml:space="preserve">. Rio de Janeiro: Alta Books, 2016.</w:t>
      </w:r>
    </w:p>
    <w:p>
      <w:pPr>
        <w:jc w:val="left"/>
        <w:spacing w:before="0" w:after="120" w:line="240" w:lineRule="auto"/>
        <w:ind w:firstLine="0"/>
        <w:widowControl/>
      </w:pPr>
      <w:r>
        <w:rPr>
          <w:rFonts w:ascii="Arial" w:hAnsi="Arial" w:cs="Arial"/>
          <w:sz w:val="24"/>
          <w:szCs w:val="24"/>
        </w:rPr>
        <w:t xml:space="preserve">VASSILIADIS, Panos. A survey of extract-transform-load technology. </w:t>
      </w:r>
      <w:r>
        <w:rPr>
          <w:rFonts w:ascii="Arial" w:hAnsi="Arial" w:cs="Arial"/>
          <w:sz w:val="24"/>
          <w:szCs w:val="24"/>
          <w:b/>
        </w:rPr>
        <w:t xml:space="preserve">International Journal of Data Warehousing and Mining</w:t>
      </w:r>
      <w:r>
        <w:rPr>
          <w:rFonts w:ascii="Arial" w:hAnsi="Arial" w:cs="Arial"/>
          <w:sz w:val="24"/>
          <w:szCs w:val="24"/>
        </w:rPr>
        <w:t xml:space="preserve">, v. 5, n. 3, p. 1-27, 2009.</w:t>
      </w:r>
    </w:p>
    <w:sectPr>
      <w:headerReference w:type="default" r:id="rId2"/>
      <w:footerReference w:type="default" r:id="rId3"/>
      <w:pgSz w:w="11906" w:h="16838"/>
      <w:pgMar w:top="1701" w:right="1134" w:bottom="1134" w:left="1701" w:header="567" w:footer="567"/>
    </w:sectPr>
  </w:body>
</w:document>
</file>

<file path=word/footer1.xml><?xml version="1.0" encoding="utf-8"?>
<w:ftr xmlns:w="http://schemas.openxmlformats.org/wordprocessingml/2006/main">
  <w:p>
    <w:pPr>
      <w:jc w:val="right"/>
      <w:spacing w:before="0" w:after="0" w:line="240" w:lineRule="auto"/>
      <w:ind w:firstLine="0"/>
      <w:widowControl/>
    </w:pPr>
    <w:r>
      <w:rPr>
        <w:rFonts w:ascii="Arial" w:hAnsi="Arial" w:cs="Arial"/>
        <w:sz w:val="20"/>
        <w:szCs w:val="20"/>
      </w:rPr>
      <w:t xml:space="preserve"/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before="0" w:after="0" w:line="240" w:lineRule="auto"/>
      <w:ind w:firstLine="0"/>
      <w:widowControl/>
    </w:pPr>
    <w:r>
      <w:rPr>
        <w:rFonts w:ascii="Arial" w:hAnsi="Arial" w:cs="Arial"/>
        <w:sz w:val="18"/>
        <w:szCs w:val="18"/>
      </w:rPr>
      <w:t xml:space="preserve">Congresso Acadêmico Internacional Anhembi Morumbi Campus Athon Sorocaba 2026</w:t>
    </w:r>
  </w:p>
  <w:p>
    <w:pPr>
      <w:jc w:val="center"/>
      <w:spacing w:before="0" w:after="0" w:line="240" w:lineRule="auto"/>
      <w:ind w:firstLine="0"/>
      <w:widowControl/>
    </w:pPr>
    <w:r>
      <w:rPr>
        <w:rFonts w:ascii="Arial" w:hAnsi="Arial" w:cs="Arial"/>
        <w:sz w:val="18"/>
        <w:szCs w:val="18"/>
      </w:rPr>
      <w:t xml:space="preserve">25 e 26 de novembro de 2026</w:t>
    </w:r>
  </w:p>
</w:hdr>
</file>

<file path=word/settings.xml><?xml version="1.0" encoding="utf-8"?>
<w:settings xmlns:w="http://schemas.openxmlformats.org/wordprocessingml/2006/main">
  <w:defaultTabStop w:val="708"/>
  <w:updateFields w:val="true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pt-BR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Formação em Ciência de Dados por Projetos Integradores</dc:title>
  <dc:creator/>
  <cp:lastModifiedBy/>
</cp:coreProperties>
</file>