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INFORME EJECUTIVO DE COMPRA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D4F0"/>
                <w:sz w:val="28"/>
                <w:szCs w:val="28"/>
              </w:rPr>
              <w:t xml:space="preserve">Merval · Bovespa · S&amp;P 500</w:t>
            </w:r>
          </w:p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0E8FF"/>
                <w:sz w:val="22"/>
                <w:szCs w:val="22"/>
              </w:rPr>
              <w:t xml:space="preserve">Tres acciones. Perfil inversor. Horizonte 12–24 meses.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C8F0"/>
                <w:sz w:val="20"/>
                <w:szCs w:val="20"/>
              </w:rPr>
              <w:t xml:space="preserve">27 de marzo de 2026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6B3C" w:sz="4"/>
              <w:left w:val="single" w:color="1E6B3C" w:sz="4"/>
              <w:bottom w:val="single" w:color="1E6B3C" w:sz="4"/>
              <w:right w:val="single" w:color="1E6B3C" w:sz="4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CEPU.BA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0FFD0"/>
                <w:sz w:val="22"/>
                <w:szCs w:val="22"/>
              </w:rPr>
              <w:t xml:space="preserve">Central Puerto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E0A0"/>
                <w:sz w:val="18"/>
                <w:szCs w:val="18"/>
              </w:rPr>
              <w:t xml:space="preserve">Utilities · Merval · ARS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ITUB4.SA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0E8FF"/>
                <w:sz w:val="22"/>
                <w:szCs w:val="22"/>
              </w:rPr>
              <w:t xml:space="preserve">Itaú Unibanco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C8F0"/>
                <w:sz w:val="18"/>
                <w:szCs w:val="18"/>
              </w:rPr>
              <w:t xml:space="preserve">Bancos · Bovespa · BRL</w:t>
            </w:r>
          </w:p>
        </w:tc>
        <w:tc>
          <w:tcPr>
            <w:tcW w:type="dxa" w:w="3120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NVDA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E0C0"/>
                <w:sz w:val="22"/>
                <w:szCs w:val="22"/>
              </w:rPr>
              <w:t xml:space="preserve">NVIDIA Corporation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D0A0"/>
                <w:sz w:val="18"/>
                <w:szCs w:val="18"/>
              </w:rPr>
              <w:t xml:space="preserve">Semiconductores · S&amp;P 500 · USD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✦ COMPRAR / ACUMULAR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✦ COMPRAR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✦ COMPRAR — ESCALONADO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Metodología y contexto del análisis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Este informe es el resultado de un análisis en tres capas: (1) modelo macro/micro con scores ponderados para Merval, Bovespa y S&amp;P 500; (2) contraste con un informe de análisis técnico externo (horizonte 12 meses); y (3) tiebreaker fundamental con perfil inversor de 12-24 meses. Las tres acciones son el resultado de ese proceso de convergencia.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5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Fundamentos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60%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P/E, P/B, ROE, márgenes, deuda, flujo de caja, valuación Graham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Tendencia / Análisis externo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25%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Informe 12 meses: drivers, señales sectoriales, posición relativa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Señal técnica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RSI, momentum 21d, MA20&gt;MA50 — solo como timing de entrada</w:t>
            </w:r>
          </w:p>
        </w:tc>
      </w:tr>
    </w:tbl>
    <w:p>
      <w:pPr>
        <w:spacing w:before="0" w:after="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4"/>
              <w:left w:val="single" w:color="1E6B3C" w:sz="4"/>
              <w:bottom w:val="single" w:color="1E6B3C" w:sz="4"/>
              <w:right w:val="single" w:color="1E6B3C" w:sz="4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1. Central Puerto S.A.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2"/>
                <w:szCs w:val="22"/>
              </w:rPr>
              <w:t xml:space="preserve">CEPU.BA · Utilities Reguladas · Argentina · Merval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Veredicto: Comprar / Acumular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La única acción de las 9 mercados analizados con Upside Graham positivo. P/E forward 6.3x para una utility regulada en sector esencial. El mercado castiga la empresa por un colapso de utilidad en 2024 que responde a una base extraordinaria de 2023, mientras los datos operativos de 2025 marcan máximos históricos.</w:t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Métricas clave de valuación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Precio actual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ARS 2.204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Valor Graham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ARS 2.971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Upside vs. Graham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+34.8%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P/E forward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6.3x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P/E trailing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9.6x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EV/EBITDA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7.5x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P/B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1.3x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13.9%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Margen EBITDA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42.1%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Margen neto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31.6%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Deuda/Equity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18.8%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Beta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-0.03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Evolución de resultados (ARS bn)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300"/>
        <w:gridCol w:w="1300"/>
        <w:gridCol w:w="900"/>
        <w:gridCol w:w="3160"/>
      </w:tblGrid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Ingresos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EBITDA Norm.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Utilidad Neta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EPS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FY 2022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ARS 688bn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ARS 248bn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ARS 129bn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12.65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FY 2023 ⚠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ARS 683bn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ARS 145bn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ARS 322bn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98.52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Incluye ARS 424bn en ítems extraordinarios no recurrentes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FY 2024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ARS 738bn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ARS 356bn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ARS 49.6bn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33.01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limpia. EBITDA norm. +145% vs 2023 real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Q3-2025 (trimestre)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ARS 320bn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ARS 139bn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ARS 140bn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93.03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Máximo histórico trimestral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CC8800" w:sz="4"/>
              <w:left w:val="single" w:color="CC8800" w:sz="4"/>
              <w:bottom w:val="single" w:color="CC8800" w:sz="4"/>
              <w:right w:val="single" w:color="CC8800" w:sz="4"/>
            </w:tcBorders>
            <w:shd w:fill="CC8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80"/>
            <w:tcBorders>
              <w:top w:val="single" w:color="CC8800" w:sz="4"/>
              <w:left w:val="single" w:color="CC8800" w:sz="4"/>
              <w:bottom w:val="single" w:color="CC8800" w:sz="4"/>
              <w:right w:val="single" w:color="CC8800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Nota crítica sobre FY2023: La utilidad de ARS 322bn incluyó ARS 424bn en ítems extraordinarios no recurrentes. Sin esos ítems, el resultado operativo real fue significativamente menor. Por eso el colapso a ARS 49.6bn en 2024 no representa deterioro — el EBITDA normalizado subió de 145bn a 356bn. El mercado confundió base extraordinaria con tendencia real.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Balance y estructura de capital (ARS bn)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1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 2022</w:t>
            </w:r>
          </w:p>
        </w:tc>
        <w:tc>
          <w:tcPr>
            <w:tcW w:type="dxa" w:w="1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 2023</w:t>
            </w:r>
          </w:p>
        </w:tc>
        <w:tc>
          <w:tcPr>
            <w:tcW w:type="dxa" w:w="1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 2024</w:t>
            </w:r>
          </w:p>
        </w:tc>
        <w:tc>
          <w:tcPr>
            <w:tcW w:type="dxa" w:w="16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Q3-2025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Patrimonio neto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813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1.817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1.800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2.371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Deuda total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197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730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381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618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Deuda/Equity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24.2%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40.2%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21.2%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26.1%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PPE neto (activos productivos)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616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1.653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1.618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2.101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Working Capital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195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315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180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274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 aumento de deuda en Q3-2025 (de 381bn a 618bn) refleja financiamiento de capex masivo: ARS 71bn en Q3-2025 y 67bn en Q2-2025, los mayores trimestres de inversión de la empresa. El PPE creció de ARS 616bn (2022) a ARS 2.101bn (Q3-2025) — expansión real de capacidad generadora que se reflejará en ingresos futuros.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Cash flow (ARS bn)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2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 2022</w:t>
            </w:r>
          </w:p>
        </w:tc>
        <w:tc>
          <w:tcPr>
            <w:tcW w:type="dxa" w:w="2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 2023</w:t>
            </w:r>
          </w:p>
        </w:tc>
        <w:tc>
          <w:tcPr>
            <w:tcW w:type="dxa" w:w="2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 2024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Cash Flow Operativo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377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274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258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Capex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143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Cash Flow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355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252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Dividendos pagados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48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Catalizadores y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Catalizadores alcistas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Normalización tarifaria en Argentina: ingresos regulados con potencial de ajuste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Beta -0.03: activo descorrelacionado del mercado, valioso en carteras diversificadas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Q3-2025 en máximos históricos: el precio no refleja los fundamentos actuales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Expansión de capacidad: capex masivo en 2025 generará ingresos 2026-2027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Único papel del universo analizado con Upside Graham positivo (+34.8%)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Riesgos a monitorear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Riesgo regulatorio: empresa 100% dependiente de tarifas fijadas por el gobierno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Reaceleración de deuda en 2025: requiere seguimiento en balance de cierre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Riesgo de tipo de cambio ARS/USD para inversores que miden en dólares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Liquidez bursátil: volumen promedio 986k acciones/día — posiciones grandes impactan precio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Plan de entrada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/ Condición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Entrada inmediata (50% posición)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ARS 2.100 – 2.300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Precio actual en zona. Margen de seguridad vs Graham: 25.8%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Entrada complementaria (50%)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ARS 1.800 – 1.950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Aprovechar volatilidad macro argentina. Margen seguridad &gt;50%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 12 meses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ARS 2.800 – 3.200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Re-rating al valor Graham. Upside +27% a +45% desde entrada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 loss fundamental (no técnico)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EBITDA norm. &lt; ARS 200bn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Solo salir si el deterioro operativo es real y sostenido 2 trimestres</w:t>
            </w:r>
          </w:p>
        </w:tc>
      </w:tr>
    </w:tbl>
    <w:p>
      <w:pPr>
        <w:spacing w:before="0" w:after="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2. Itaú Unibanco Holding S.A.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2"/>
                <w:szCs w:val="22"/>
              </w:rPr>
              <w:t xml:space="preserve">ITUB4.SA · Bancos · Brasil · Bovespa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Veredicto: Comprar — oportunidad de entrada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Mejor banco de América Latina por rentabilidad. ROE 21% mantenido por cuatro años consecutivos. Utilidad neta creció 54% en 4 años sin un solo año negativo. Precio en zona de valor justo según Graham (-1.4%). La corrección reciente no tiene correlato en los resultados: los cuatro trimestres de 2025 fueron récord secuencial.</w:t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Métricas clave de valuación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Precio actual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BRL 41.48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Valor Graham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BRL 40.91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P/E forward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8.0x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21%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Beta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0.22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Payout ratio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85%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Margen operativo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37.3%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Margen neto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32.3%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Crec. ingresos YoY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+11%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1.55%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P/B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2.2x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Div. yield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~3.1%+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Crecimiento de resultados — 4 años consecutivos (BRL bn)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1000"/>
        <w:gridCol w:w="1200"/>
        <w:gridCol w:w="2760"/>
      </w:tblGrid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Ingresos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Utilidad Neta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Crec. UN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EPS Dilut.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Dividendos pagados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FY 2022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136bn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29.2bn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2.62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6.7bn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FY 2023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148bn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33.1bn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+13.3%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2.96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10.3bn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FY 2024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159bn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41.1bn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+24.1%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3.68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21.3bn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FY 2025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165bn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44.9bn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+9.2%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~4.02 est.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48.3bn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Trimestres 2025 — crecimiento secuencial constante (BRL bn)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Trimestre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Ingresos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Utilidad Neta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Pretax Income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Q1-2025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42.6bn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10.51bn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12.9bn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Q2-2025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38.4bn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11.14bn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9.7bn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Q3-2025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42.2bn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11.31bn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13.7bn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Q4-2025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42.1bn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11.91bn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14.0bn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Cada trimestre de 2025 superó al anterior en utilidad neta: BRL 10.51 → 11.14 → 11.31 → 11.91bn. La corrección del precio en el último mes (-11.5%) no tiene ningún correlato en los resultados operativos. Es ruido de mercado, no señal fundamental.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Dividendos — Itaú como pagador serial (BRL bn)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3760"/>
      </w:tblGrid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Dividendos totales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vs. Utilidad neta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6.7bn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22.9%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Mensual + extraordinario anual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10.3bn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31.1%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Mensual + extraordinario anual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21.3bn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51.8%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Mensual + extraordinario anual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48.3bn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107.7%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Dic-2025: BRL 2.17 extraordinario (5.2% yield)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 payout del 85% con pago mensual regular más extraordinarios anuales convierte a ITUB4 en un activo de renta excepcionalmente atractivo para el inversor de largo plazo. El dividendo extraordinario de diciembre 2025 (BRL 2.17) representa un 5.2% del precio de entrada en un solo pago.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Catalizadores y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Catalizadores alcistas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SELIC proyectada en baja hacia 12.25% a fin de 2026: mejora spreads crediticios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Crecimiento de crédito en Brasil impulsado por economía con desempleo bajo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Dividendos crecientes: +126% en 2025 vs 2024, con pago mensual garantizado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Beta 0.22: el precio no amplifica caídas del mercado — activo defensivo de cartera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Revaluación histórica posible: cotizó a 14-16x P/E en 2021; volver implica BRL 55-65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Riesgos a monitorear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Riesgo Brasil: EMBI 220pb y real depreciado impactan retorno medido en USD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SELIC 15% comprime demanda de crédito privado y puede elevar morosidad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FCF cayó: de BRL 69bn (2023) a 0.5bn (2024) y 27bn (2025) — señal a monitorear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Competencia fintech: Nubank y otros capturan segmentos de menor ticket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Plan de entrada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/ Condición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Entrada (100% posición)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40 – 43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Precio actual BRL 41.48. Graham: BRL 40.91. Precio justo según Gordon P/B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 12–18 meses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52 – 58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Re-rating hacia múltiplos históricos 14-16x P/E. Upside +25% a +40%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Retorno total estimado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+35–40% + dividendos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Incluye div. ordinario mensual (~0.52%/mes) y posible extraordinario anual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 loss fundamental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ROE &lt; 15% por 2 trim.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Solo salir si la rentabilidad estructural se deteriora. No usar stop técnico</w:t>
            </w:r>
          </w:p>
        </w:tc>
      </w:tr>
    </w:tbl>
    <w:p>
      <w:pPr>
        <w:spacing w:before="0" w:after="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 NVIDIA Corporation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2"/>
                <w:szCs w:val="22"/>
              </w:rPr>
              <w:t xml:space="preserve">NVDA · Semiconductores / IA · EE.UU. · S&amp;P 500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7B3F00"/>
          <w:sz w:val="26"/>
          <w:szCs w:val="26"/>
        </w:rPr>
        <w:t xml:space="preserve">Veredicto: Comprar — entrada escalonada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La empresa con el crecimiento de utilidades más extraordinario del análisis. EBITDA triplicó en dos años: USD 35bn → 86bn → 144bn. P/E forward de 15.2x con crecimiento del 96% en ganancias — PEG ratio implícito menor a 0.2. ROE del 101%. La corrección actual del -20% desde máximos es la ventana de entrada para el inversor de largo plazo.</w:t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Métricas clave de valuación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Precio actual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USD 168.68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P/E forward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15.2x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P/E trailing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34.4x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101.5%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Margen neto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55.6%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Beta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2.375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Margen bruto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71.1%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Margen operativo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65.0%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Crec. ingresos YoY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+73.2%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Crec. ganancias YoY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+95.6%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Dist. máx. 52s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-20.5%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EV/EBITDA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30.8x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CC8800" w:sz="4"/>
              <w:left w:val="single" w:color="CC8800" w:sz="4"/>
              <w:bottom w:val="single" w:color="CC8800" w:sz="4"/>
              <w:right w:val="single" w:color="CC8800" w:sz="4"/>
            </w:tcBorders>
            <w:shd w:fill="CC8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80"/>
            <w:tcBorders>
              <w:top w:val="single" w:color="CC8800" w:sz="4"/>
              <w:left w:val="single" w:color="CC8800" w:sz="4"/>
              <w:bottom w:val="single" w:color="CC8800" w:sz="4"/>
              <w:right w:val="single" w:color="CC8800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Nota sobre Upside Graham (-84%): la fórmula de Graham fue diseñada para empresas industriales maduras con crecimiento moderado. Para una empresa que crece +73% anual en ingresos y +96% en ganancias, Graham sistemáticamente subvalúa. El indicador más relevante aquí es el P/E forward de 15.2x con crecimiento del 96% — un PEG de 0.16, que indica subvaluación relativa al crecimiento.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Crecimiento explosivo — evolución anual (USD bn, año fiscal enero)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300"/>
        <w:gridCol w:w="1300"/>
        <w:gridCol w:w="1500"/>
        <w:gridCol w:w="1160"/>
        <w:gridCol w:w="1300"/>
      </w:tblGrid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 fiscal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Ingresos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EBITDA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Utilidad Neta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EPS Dilut.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R&amp;D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FY ene-2023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27.0bn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15.4bn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6.0bn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4.4bn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7.3bn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FY ene-2024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60.9bn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44.3bn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35.6bn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29.8bn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1.19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8.7bn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FY ene-2025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130.5bn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97.9bn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86.1bn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72.9bn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2.94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12.9bn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FY ene-2026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215.9bn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153.5bn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144.6bn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120.1bn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4.90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18.5bn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Trimestres recientes — aceleración secuencial (USD bn)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240"/>
        <w:gridCol w:w="2440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Trimestre</w:t>
            </w:r>
          </w:p>
        </w:tc>
        <w:tc>
          <w:tcPr>
            <w:tcW w:type="dxa" w:w="1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Ingresos</w:t>
            </w:r>
          </w:p>
        </w:tc>
        <w:tc>
          <w:tcPr>
            <w:tcW w:type="dxa" w:w="1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Utilidad Neta</w:t>
            </w:r>
          </w:p>
        </w:tc>
        <w:tc>
          <w:tcPr>
            <w:tcW w:type="dxa" w:w="1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EPS</w:t>
            </w:r>
          </w:p>
        </w:tc>
        <w:tc>
          <w:tcPr>
            <w:tcW w:type="dxa" w:w="2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Op. Income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Q1 FY2026 (abr-25)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44.1bn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18.8bn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0.76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21.6bn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Q2 FY2026 (jul-25)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46.7bn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26.4bn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1.08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28.4bn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Q3 FY2026 (oct-25)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57.0bn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31.9bn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1.30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36.0bn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Q4 FY2026 (ene-26)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68.1bn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43.0bn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1.76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44.3bn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Balance y cash flow (USD bn)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2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 ene-2024</w:t>
            </w:r>
          </w:p>
        </w:tc>
        <w:tc>
          <w:tcPr>
            <w:tcW w:type="dxa" w:w="2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 ene-2025</w:t>
            </w:r>
          </w:p>
        </w:tc>
        <w:tc>
          <w:tcPr>
            <w:tcW w:type="dxa" w:w="2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 ene-2026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Activos totales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65.7bn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111.6bn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206.8bn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Patrimonio neto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43.0bn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79.3bn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157.3bn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Deuda total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11.1bn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10.0bn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11.0bn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Cash Flow Operativo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28.1bn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64.1bn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102.7bn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Cash Flow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27.0bn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60.9bn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96.7bn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Capex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1.1bn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3.2bn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6.0bn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Tangible Book Value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37.4bn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73.3bn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133.2bn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CC8800" w:sz="4"/>
              <w:left w:val="single" w:color="CC8800" w:sz="4"/>
              <w:bottom w:val="single" w:color="CC8800" w:sz="4"/>
              <w:right w:val="single" w:color="CC8800" w:sz="4"/>
            </w:tcBorders>
            <w:shd w:fill="CC8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80"/>
            <w:tcBorders>
              <w:top w:val="single" w:color="CC8800" w:sz="4"/>
              <w:left w:val="single" w:color="CC8800" w:sz="4"/>
              <w:bottom w:val="single" w:color="CC8800" w:sz="4"/>
              <w:right w:val="single" w:color="CC8800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 Cash Flow de USD 96.7bn en FY2026 con capex de solo USD 6bn — margen FCF del 44.8%. NVIDIA genera caja a una velocidad extraordinaria y prácticamente sin deuda (Deuda/Patrimonio 7%). El balance se fortaleció: patrimonio neto casi cuadruplicó en 2 años.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Catalizadores y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Catalizadores alcistas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Ciclo de infraestructura de IA: centros de datos globales con inversión masiva en GPU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P/E forward 15.2x con PEG &lt;0.2: barato en términos de crecimiento relativo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Free Cash Flow USD 97bn anuales — empresa que genera su propia capitalización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ROE 101% y margen operativo 65%: economías de escala sin precedentes en semiconductores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Corrección -20% desde máximos con fundamentos intactos: ventana de entrada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Riesgos a monitorear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Beta 2.375: alta volatilidad — el precio puede seguir corrigiendo en el corto plazo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Concentración en ciclo AI: si la narrativa de IA se enfría, el múltiplo colapsa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Competencia creciente: AMD, Intel y chips propietarios de hiperescaladores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Restricciones de exportación a China: riesgo geopolítico relevante en el segmento Data Center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EV/EBITDA 30.8x: caro en términos absolutos — requiere que el crecimiento continúe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Plan de entrada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/ Condición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Entrada tramo 1 (40% posición)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155 – 175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Zona actual. P/E forward ~15x. Punto de entrada con margen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Entrada tramo 2 (60% restante)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140 – 155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 la corrección continúa por beta alto. Mejor precio promedio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 12–18 meses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220 – 260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Upside +30% a +55% desde entrada promedio estimada USD 165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 loss fundamental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EBITDA growth &lt;30%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Solo salir si el crecimiento de EBITDA cae bajo 30% dos trimestres seguidos</w:t>
            </w:r>
          </w:p>
        </w:tc>
      </w:tr>
    </w:tbl>
    <w:p>
      <w:pPr>
        <w:spacing w:before="0" w:after="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4. Resumen Comparativo y Conclusiones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2"/>
                <w:szCs w:val="22"/>
              </w:rPr>
              <w:t xml:space="preserve">Las tres oportunidades en contexto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Cuadro comparativo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7"/>
        <w:gridCol w:w="2387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38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CEPU.BA</w:t>
            </w:r>
          </w:p>
        </w:tc>
        <w:tc>
          <w:tcPr>
            <w:tcW w:type="dxa" w:w="2387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ITUB4.SA</w:t>
            </w:r>
          </w:p>
        </w:tc>
        <w:tc>
          <w:tcPr>
            <w:tcW w:type="dxa" w:w="2387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NVDA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Veredicto</w:t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Comprar / Acumular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Comprar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Comprar — Escalonado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Mercado / Moneda</w:t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Merval / ARS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Bovespa / BRL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S&amp;P 500 / USD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Precio actual</w:t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ARS 2.204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41.48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168.68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P/E forward</w:t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6.3x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8.0x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15.2x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Upside Graham</w:t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+34.8%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-1.4% (precio justo)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-84% (no aplica)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ROE</w:t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13.9%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21.0%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101.5%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Crecimiento ingresos YoY</w:t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+11.3%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+11.0%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+73.2%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-0.03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0.22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2.375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 12–18 meses</w:t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ARS 2.800–3.200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BRL 52–58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220–260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Upside estimado</w:t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+27% a +45%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+25% a +40%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+30% a +55%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Dividendo</w:t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Bajo / irregular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Mensual + extra ~5%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Nominal (USD 0.04/trim)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Principal riesgo</w:t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Regulatorio / ARS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Macro Brasil / BRL</w:t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Beta alto / ciclo AI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Conclusiones del análisis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1E6B3C" w:sz="4"/>
              <w:left w:val="single" w:color="1E6B3C" w:sz="4"/>
              <w:bottom w:val="single" w:color="1E6B3C" w:sz="4"/>
              <w:right w:val="single" w:color="1E6B3C" w:sz="4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80"/>
            <w:tcBorders>
              <w:top w:val="single" w:color="1E6B3C" w:sz="4"/>
              <w:left w:val="single" w:color="1E6B3C" w:sz="4"/>
              <w:bottom w:val="single" w:color="1E6B3C" w:sz="4"/>
              <w:right w:val="single" w:color="1E6B3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CEPU.BA es la tesis más pura de value investing: empresa en sector esencial, única con Upside Graham positivo, precio deprimido por confusión del mercado sobre resultados extraordinarios, y datos operativos de 2025 que confirman la recuperación. Para un inversor paciente, el margen de seguridad es el mayor de las tres.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ITUB4.SA es la combinación de calidad y renta: el mejor banco de América Latina por ROE, crecimiento de utilidades sin interrupciones en 4 años, precio en valor justo Graham, y dividendos mensuales con extraordinarios anuales significativos. Para el inversor que valora la renta corriente y la estabilidad, es el activo más completo.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CC8800" w:sz="4"/>
              <w:left w:val="single" w:color="CC8800" w:sz="4"/>
              <w:bottom w:val="single" w:color="CC8800" w:sz="4"/>
              <w:right w:val="single" w:color="CC8800" w:sz="4"/>
            </w:tcBorders>
            <w:shd w:fill="CC8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80"/>
            <w:tcBorders>
              <w:top w:val="single" w:color="CC8800" w:sz="4"/>
              <w:left w:val="single" w:color="CC8800" w:sz="4"/>
              <w:bottom w:val="single" w:color="CC8800" w:sz="4"/>
              <w:right w:val="single" w:color="CC8800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NVDA es la tesis de crecimiento extraordinario: empresa con métricas operativas sin precedentes históricos en semiconductores, corrigiendo desde máximos sin cambio fundamental alguno. El inversor que acepta la volatilidad (Beta 2.375) y el horizonte de 12-24 meses accede a la empresa con el mayor crecimiento de caja libre del S&amp;P 500.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Consideraciones finales de portfolio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de cartera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Ponderación sugerida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Razonamiento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Conservador (renta + valor)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CEPU 40% · ITUB4 50% · NVDA 10%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Mayor peso en activos de renta y valor. NVDA como posición táctica menor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Balanceado (crecimiento + valor)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CEPU 30% · ITUB4 35% · NVDA 35%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Diversificación entre regiones, monedas y perfiles de retorno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Crecimiento (mayor riesgo/retorno)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CEPU 20% · ITUB4 25% · NVDA 55%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Mayor exposición al ciclo AI con base de estabilidad en LatAm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Nota metodológica: Este informe no constituye asesoramiento financiero profesional. Es el resultado de un análisis cuantitativo y cualitativo basado en datos históricos y proyecciones de consenso. La toma de decisiones de inversión debe contemplar el perfil de riesgo individual, la diversificación de cartera y el contexto de cada inversor.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0"/>
        <w:jc w:val="right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Proyecto Inversiones Bursátiles · 27 de marzo de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spacing w:before="0" w:after="0"/>
      <w:jc w:val="left"/>
    </w:pPr>
    <w:r>
      <w:rPr>
        <w:rFonts w:ascii="Arial" w:cs="Arial" w:eastAsia="Arial" w:hAnsi="Arial"/>
        <w:b w:val="false"/>
        <w:bCs w:val="false"/>
        <w:color w:val="1A1A1A"/>
        <w:sz w:val="22"/>
        <w:szCs w:val="22"/>
      </w:rPr>
      <w:t xml:space="preserve"/>
    </w:r>
  </w:p>
  <w:p>
    <w:pPr>
      <w:spacing w:before="0" w:after="0"/>
      <w:jc w:val="center"/>
    </w:pPr>
    <w:r>
      <w:rPr>
        <w:rFonts w:ascii="Arial" w:cs="Arial" w:eastAsia="Arial" w:hAnsi="Arial"/>
        <w:b w:val="false"/>
        <w:bCs w:val="false"/>
        <w:color w:val="404040"/>
        <w:sz w:val="16"/>
        <w:szCs w:val="16"/>
      </w:rPr>
      <w:t xml:space="preserve">Proyecto Inversiones Bursátiles  |  Perfil: Inversor (12–24 meses)  |  Confidencial</w:t>
    </w:r>
    <w:r>
      <w:rPr>
        <w:rFonts w:ascii="Arial" w:cs="Arial" w:eastAsia="Arial" w:hAnsi="Arial"/>
        <w:color w:val="404040"/>
        <w:sz w:val="16"/>
        <w:szCs w:val="16"/>
      </w:rPr>
      <w:t xml:space="preserve">  Pág. </w:t>
    </w:r>
    <w:r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single" w:color="FFFFFF" w:sz="4"/>
            <w:left w:val="single" w:color="FFFFFF" w:sz="4"/>
            <w:bottom w:val="single" w:color="FFFFFF" w:sz="4"/>
            <w:right w:val="single" w:color="FFFFFF" w:sz="4"/>
          </w:tcBorders>
          <w:shd w:fill="FFFFFF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spacing w:before="0" w:after="0"/>
            <w:jc w:val="left"/>
          </w:pPr>
          <w:r>
            <w:rPr>
              <w:rFonts w:ascii="Arial" w:cs="Arial" w:eastAsia="Arial" w:hAnsi="Arial"/>
              <w:b/>
              <w:bCs/>
              <w:color w:val="1F4E79"/>
              <w:sz w:val="18"/>
              <w:szCs w:val="18"/>
            </w:rPr>
            <w:t xml:space="preserve">INVERSIONES BURSÁTILES — Informe Ejecutivo de Compra</w:t>
          </w:r>
        </w:p>
      </w:tc>
      <w:tc>
        <w:tcPr>
          <w:tcW w:type="dxa" w:w="2860"/>
          <w:tcBorders>
            <w:top w:val="single" w:color="FFFFFF" w:sz="4"/>
            <w:left w:val="single" w:color="FFFFFF" w:sz="4"/>
            <w:bottom w:val="single" w:color="FFFFFF" w:sz="4"/>
            <w:right w:val="single" w:color="FFFFFF" w:sz="4"/>
          </w:tcBorders>
          <w:shd w:fill="FFFFFF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404040"/>
              <w:sz w:val="18"/>
              <w:szCs w:val="18"/>
            </w:rPr>
            <w:t xml:space="preserve">27 de marzo de 2026</w:t>
          </w:r>
        </w:p>
      </w:tc>
    </w:tr>
  </w:tbl>
  <w:p>
    <w:pPr>
      <w:pBdr>
        <w:bottom w:val="single" w:color="2E75B6" w:sz="8" w:space="1"/>
      </w:pBdr>
      <w:spacing w:before="0" w:after="0"/>
      <w:jc w:val="left"/>
    </w:pPr>
    <w:r>
      <w:rPr>
        <w:rFonts w:ascii="Arial" w:cs="Arial" w:eastAsia="Arial" w:hAnsi="Arial"/>
        <w:b w:val="false"/>
        <w:bCs w:val="false"/>
        <w:color w:val="1A1A1A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E6B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2026-03-27T19:13:03.799Z</dcterms:created>
  <dcterms:modified xsi:type="dcterms:W3CDTF">2026-03-27T19:13:03.800Z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