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CC23" w14:textId="77777777" w:rsidR="00CC271F" w:rsidRPr="00CC271F" w:rsidRDefault="00CC271F" w:rsidP="00CC271F">
      <w:pPr>
        <w:shd w:val="clear" w:color="auto" w:fill="FFFFFF"/>
        <w:spacing w:before="612" w:after="240" w:line="480" w:lineRule="atLeast"/>
        <w:outlineLvl w:val="2"/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  <w:t>O que é a segurança alimentar</w:t>
      </w:r>
    </w:p>
    <w:p w14:paraId="1BE6172F" w14:textId="77777777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O conceito de segurança alimentar nasceu na década de 70. Sua evolução, até a definição atual, incluiu diferentes variáveis econômicas e socioculturais. Conforme a FAO, em uma definição estabelecida na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Conferência Mundial da Alimentação (CMA)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de Roma em 1996,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a segurança alimentar ocorre quando todas as pessoas têm acesso físico, social e econômico permanente a alimentos seguros, nutritivos e em quantidade suficiente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para satisfazer suas necessidades nutricionais e preferências alimentares, tendo assim uma vida ativa e saudável.</w:t>
      </w:r>
    </w:p>
    <w:p w14:paraId="628F930B" w14:textId="77777777" w:rsidR="00CC271F" w:rsidRDefault="00CC271F" w:rsidP="00CC271F">
      <w:pPr>
        <w:pStyle w:val="Ttulo3"/>
        <w:shd w:val="clear" w:color="auto" w:fill="FFFFFF"/>
        <w:spacing w:before="612" w:beforeAutospacing="0" w:after="240" w:afterAutospacing="0" w:line="480" w:lineRule="atLeast"/>
        <w:rPr>
          <w:rFonts w:ascii="Arial" w:hAnsi="Arial" w:cs="Arial"/>
          <w:b w:val="0"/>
          <w:bCs w:val="0"/>
          <w:color w:val="00402A"/>
          <w:sz w:val="39"/>
          <w:szCs w:val="39"/>
        </w:rPr>
      </w:pPr>
      <w:r>
        <w:rPr>
          <w:rFonts w:ascii="Arial" w:hAnsi="Arial" w:cs="Arial"/>
          <w:b w:val="0"/>
          <w:bCs w:val="0"/>
          <w:color w:val="00402A"/>
          <w:sz w:val="39"/>
          <w:szCs w:val="39"/>
        </w:rPr>
        <w:t>Importância da segurança alimentar</w:t>
      </w:r>
    </w:p>
    <w:p w14:paraId="3908ECAE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Fonts w:ascii="Arial" w:hAnsi="Arial" w:cs="Arial"/>
          <w:color w:val="00402A"/>
          <w:sz w:val="26"/>
          <w:szCs w:val="26"/>
        </w:rPr>
        <w:t>O relatório </w:t>
      </w:r>
      <w:r>
        <w:rPr>
          <w:rStyle w:val="standard"/>
          <w:rFonts w:ascii="Arial" w:hAnsi="Arial" w:cs="Arial"/>
          <w:color w:val="CF4900"/>
          <w:sz w:val="26"/>
          <w:szCs w:val="26"/>
        </w:rPr>
        <w:t>O Estado da Segurança Alimentar e Nutrição no Mundo 2019 </w:t>
      </w:r>
      <w:r>
        <w:rPr>
          <w:rFonts w:ascii="Arial" w:hAnsi="Arial" w:cs="Arial"/>
          <w:color w:val="00402A"/>
          <w:sz w:val="26"/>
          <w:szCs w:val="26"/>
        </w:rPr>
        <w:t>da FAO estima que um total de </w:t>
      </w:r>
      <w:r>
        <w:rPr>
          <w:rStyle w:val="Forte"/>
          <w:rFonts w:ascii="Arial" w:hAnsi="Arial" w:cs="Arial"/>
          <w:color w:val="00402A"/>
          <w:sz w:val="26"/>
          <w:szCs w:val="26"/>
        </w:rPr>
        <w:t>2 bilhões de pessoas no mundo têm algum nível de insegurança alimentar</w:t>
      </w:r>
      <w:r>
        <w:rPr>
          <w:rFonts w:ascii="Arial" w:hAnsi="Arial" w:cs="Arial"/>
          <w:color w:val="00402A"/>
          <w:sz w:val="26"/>
          <w:szCs w:val="26"/>
        </w:rPr>
        <w:t> — inclusive na América do Norte e Europa, onde calcula-se que este seja o caso do 8% da população da América do Norte e Europa —. Estes dados comprovam que a segurança alimentar, apesar de não afetar a todos igualmente, é um problema global. Os fundamentos que nos permitem determinar os níveis de segurança alimentar são os seguintes:</w:t>
      </w:r>
    </w:p>
    <w:p w14:paraId="56ADD709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Style w:val="Forte"/>
          <w:rFonts w:ascii="Arial" w:hAnsi="Arial" w:cs="Arial"/>
          <w:color w:val="00402A"/>
          <w:sz w:val="26"/>
          <w:szCs w:val="26"/>
        </w:rPr>
        <w:t>Disponibilidade</w:t>
      </w:r>
    </w:p>
    <w:p w14:paraId="661F652F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Fonts w:ascii="Arial" w:hAnsi="Arial" w:cs="Arial"/>
          <w:color w:val="00402A"/>
          <w:sz w:val="26"/>
          <w:szCs w:val="26"/>
        </w:rPr>
        <w:t>Faz referência à </w:t>
      </w:r>
      <w:r>
        <w:rPr>
          <w:rStyle w:val="standard"/>
          <w:rFonts w:ascii="Arial" w:hAnsi="Arial" w:cs="Arial"/>
          <w:color w:val="CF4900"/>
          <w:sz w:val="26"/>
          <w:szCs w:val="26"/>
        </w:rPr>
        <w:t>produção,</w:t>
      </w:r>
      <w:r>
        <w:rPr>
          <w:rFonts w:ascii="Arial" w:hAnsi="Arial" w:cs="Arial"/>
          <w:color w:val="00402A"/>
          <w:sz w:val="26"/>
          <w:szCs w:val="26"/>
        </w:rPr>
        <w:t> às importações, ao armazenamento e também à ajuda alimentar entendida como uma transferência no caso de necessidade, seja a nível local ou nacional.</w:t>
      </w:r>
    </w:p>
    <w:p w14:paraId="377FEE94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Style w:val="Forte"/>
          <w:rFonts w:ascii="Arial" w:hAnsi="Arial" w:cs="Arial"/>
          <w:color w:val="00402A"/>
          <w:sz w:val="26"/>
          <w:szCs w:val="26"/>
        </w:rPr>
        <w:t>Acesso</w:t>
      </w:r>
    </w:p>
    <w:p w14:paraId="41F06F85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Fonts w:ascii="Arial" w:hAnsi="Arial" w:cs="Arial"/>
          <w:color w:val="00402A"/>
          <w:sz w:val="26"/>
          <w:szCs w:val="26"/>
        </w:rPr>
        <w:t>A falta de acesso aos alimentos pode ter razões físicas — quantidade insuficiente de alimentos, isolamento das populações — ou </w:t>
      </w:r>
      <w:r>
        <w:rPr>
          <w:rStyle w:val="standard"/>
          <w:rFonts w:ascii="Arial" w:hAnsi="Arial" w:cs="Arial"/>
          <w:color w:val="CF4900"/>
          <w:sz w:val="26"/>
          <w:szCs w:val="26"/>
        </w:rPr>
        <w:t>socioeconômicas</w:t>
      </w:r>
      <w:r>
        <w:rPr>
          <w:rFonts w:ascii="Arial" w:hAnsi="Arial" w:cs="Arial"/>
          <w:color w:val="00402A"/>
          <w:sz w:val="26"/>
          <w:szCs w:val="26"/>
        </w:rPr>
        <w:t> — preços elevados, falta de recursos monetários —.</w:t>
      </w:r>
    </w:p>
    <w:p w14:paraId="729E880E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Fonts w:ascii="Arial" w:hAnsi="Arial" w:cs="Arial"/>
          <w:color w:val="00402A"/>
          <w:sz w:val="26"/>
          <w:szCs w:val="26"/>
        </w:rPr>
        <w:t> </w:t>
      </w:r>
      <w:r>
        <w:rPr>
          <w:rStyle w:val="Forte"/>
          <w:rFonts w:ascii="Arial" w:hAnsi="Arial" w:cs="Arial"/>
          <w:color w:val="00402A"/>
          <w:sz w:val="26"/>
          <w:szCs w:val="26"/>
        </w:rPr>
        <w:t>Consumo</w:t>
      </w:r>
    </w:p>
    <w:p w14:paraId="46D67320" w14:textId="77777777" w:rsidR="00CC271F" w:rsidRDefault="00CC271F" w:rsidP="00CC271F">
      <w:pPr>
        <w:pStyle w:val="NormalWeb"/>
        <w:shd w:val="clear" w:color="auto" w:fill="FFFFFF"/>
        <w:spacing w:before="0" w:beforeAutospacing="0" w:after="240" w:afterAutospacing="0" w:line="345" w:lineRule="atLeast"/>
        <w:rPr>
          <w:rFonts w:ascii="Arial" w:hAnsi="Arial" w:cs="Arial"/>
          <w:color w:val="00402A"/>
          <w:sz w:val="26"/>
          <w:szCs w:val="26"/>
        </w:rPr>
      </w:pPr>
      <w:r>
        <w:rPr>
          <w:rFonts w:ascii="Arial" w:hAnsi="Arial" w:cs="Arial"/>
          <w:color w:val="00402A"/>
          <w:sz w:val="26"/>
          <w:szCs w:val="26"/>
        </w:rPr>
        <w:t>O consumo de alimentos deve estar relacionado com as </w:t>
      </w:r>
      <w:r>
        <w:rPr>
          <w:rStyle w:val="standard"/>
          <w:rFonts w:ascii="Arial" w:hAnsi="Arial" w:cs="Arial"/>
          <w:color w:val="CF4900"/>
          <w:sz w:val="26"/>
          <w:szCs w:val="26"/>
        </w:rPr>
        <w:t>necessidades nutricionais,</w:t>
      </w:r>
      <w:r>
        <w:rPr>
          <w:rFonts w:ascii="Arial" w:hAnsi="Arial" w:cs="Arial"/>
          <w:color w:val="00402A"/>
          <w:sz w:val="26"/>
          <w:szCs w:val="26"/>
        </w:rPr>
        <w:t> mas também às preferências alimentares.</w:t>
      </w:r>
    </w:p>
    <w:p w14:paraId="370E3A88" w14:textId="7D02362D" w:rsidR="00CC271F" w:rsidRPr="00CC271F" w:rsidRDefault="00CC271F" w:rsidP="00CC271F">
      <w:pPr>
        <w:shd w:val="clear" w:color="auto" w:fill="FFFFFF"/>
        <w:spacing w:before="612" w:after="240" w:line="480" w:lineRule="atLeast"/>
        <w:outlineLvl w:val="2"/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  <w:lastRenderedPageBreak/>
        <w:t>Tipos e exemplos de insegurança alimentar</w:t>
      </w:r>
    </w:p>
    <w:p w14:paraId="37E83365" w14:textId="77777777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A utilização biológica dos alimentos, que vincula estado nutricional e estado de saúde, proporciona a definição aceita de insegurança alimentar, ou seja, a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ingestão insuficiente de alimentos, 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quer seja transitória — em épocas de crise —, estacional — campanhas agrícolas — ou crônica — quando é contínua —.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 xml:space="preserve">Em 2013, a FAO implementou o projeto Voices </w:t>
      </w:r>
      <w:proofErr w:type="spellStart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of</w:t>
      </w:r>
      <w:proofErr w:type="spellEnd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the</w:t>
      </w:r>
      <w:proofErr w:type="spellEnd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Hungry</w:t>
      </w:r>
      <w:proofErr w:type="spellEnd"/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 xml:space="preserve"> e estabeleceu uma Escala de Experiência de Insegurança Alimentar (FIES)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que mede o acesso das pessoas ou das moradias aos alimentos. Os níveis são os seguintes:</w:t>
      </w:r>
    </w:p>
    <w:p w14:paraId="6208882D" w14:textId="77777777" w:rsidR="00CC271F" w:rsidRPr="00CC271F" w:rsidRDefault="00CC271F" w:rsidP="00CC271F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Insegurança alimentar leve.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Ocorre quando existe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incerteza 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sobre a capacidade para conseguir alimentos.</w:t>
      </w:r>
    </w:p>
    <w:p w14:paraId="7C5D020E" w14:textId="77777777" w:rsidR="00CC271F" w:rsidRPr="00CC271F" w:rsidRDefault="00CC271F" w:rsidP="00CC271F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Insegurança alimentar moderada.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Quando a qualidade dos alimentos e sua variedade está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comprometida,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a quantidade ingerida se reduz de forma drástica ou ainda, diretamente, determinadas refeições não são realizadas.</w:t>
      </w:r>
    </w:p>
    <w:p w14:paraId="1724DFE1" w14:textId="77777777" w:rsidR="00CC271F" w:rsidRPr="00CC271F" w:rsidRDefault="00CC271F" w:rsidP="00CC271F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Insegurança alimentar grave.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Atinge-se este ponto quando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não são consumidos alimentos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durante um dia inteiro ou mais.</w:t>
      </w:r>
    </w:p>
    <w:p w14:paraId="7CAD79E6" w14:textId="77777777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A insegurança alimentar, como é lógico, tem </w:t>
      </w:r>
      <w:r w:rsidRPr="00CC271F">
        <w:rPr>
          <w:rFonts w:ascii="Arial" w:eastAsia="Times New Roman" w:hAnsi="Arial" w:cs="Arial"/>
          <w:color w:val="CF4900"/>
          <w:kern w:val="0"/>
          <w:sz w:val="26"/>
          <w:szCs w:val="26"/>
          <w:lang w:eastAsia="pt-BR"/>
          <w14:ligatures w14:val="none"/>
        </w:rPr>
        <w:t>efeitos muito nocivos para a saúde,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especialmente entre as crianças. Desde a morte por diarreia — é a segunda maior causa de falecimento em crianças menores de cinco anos conforme a OMS — até a redução do rendimento escolar ou atrasos no crescimento.</w:t>
      </w:r>
    </w:p>
    <w:p w14:paraId="262A717B" w14:textId="77777777" w:rsidR="00CC271F" w:rsidRPr="00CC271F" w:rsidRDefault="00CC271F" w:rsidP="00CC271F">
      <w:pPr>
        <w:shd w:val="clear" w:color="auto" w:fill="FFFFFF"/>
        <w:spacing w:before="612" w:after="240" w:line="480" w:lineRule="atLeast"/>
        <w:outlineLvl w:val="2"/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39"/>
          <w:szCs w:val="39"/>
          <w:lang w:eastAsia="pt-BR"/>
          <w14:ligatures w14:val="none"/>
        </w:rPr>
        <w:t>Causas da insegurança alimentar: desafios e ameaças</w:t>
      </w:r>
    </w:p>
    <w:p w14:paraId="45503827" w14:textId="77777777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Conforme a ONU,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atualmente, uma de cada nove pessoas no mundo está subalimentada — no total: 815 milhões de pessoas</w: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—. Se não forem tomadas medidas, a previsão é que este número chegue a dois bilhões de pessoas em 2050. Como chegamos nessa situação? São várias as causas. A seguir, repassamos as principais:</w:t>
      </w:r>
    </w:p>
    <w:p w14:paraId="3186FA0C" w14:textId="4A5E78FC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mc:AlternateContent>
          <mc:Choice Requires="wps">
            <w:drawing>
              <wp:inline distT="0" distB="0" distL="0" distR="0" wp14:anchorId="327F60A5" wp14:editId="2ED55D06">
                <wp:extent cx="304800" cy="304800"/>
                <wp:effectExtent l="0" t="0" r="0" b="0"/>
                <wp:docPr id="2015892339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89EBD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Degradação dos solos</w:t>
      </w:r>
    </w:p>
    <w:p w14:paraId="22337BF2" w14:textId="1EDF35DE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5BAB5775" wp14:editId="7EB5C8A4">
                <wp:extent cx="304800" cy="304800"/>
                <wp:effectExtent l="0" t="0" r="0" b="0"/>
                <wp:docPr id="637511936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CFC02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Escassez de água</w:t>
      </w:r>
    </w:p>
    <w:p w14:paraId="2C26C7BC" w14:textId="35499921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mc:AlternateContent>
          <mc:Choice Requires="wps">
            <w:drawing>
              <wp:inline distT="0" distB="0" distL="0" distR="0" wp14:anchorId="57470236" wp14:editId="556F98E6">
                <wp:extent cx="304800" cy="304800"/>
                <wp:effectExtent l="0" t="0" r="0" b="0"/>
                <wp:docPr id="116615310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EBEBA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Poluição atmosférica</w:t>
      </w:r>
    </w:p>
    <w:p w14:paraId="66C94273" w14:textId="33F75E2A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mc:AlternateContent>
          <mc:Choice Requires="wps">
            <w:drawing>
              <wp:inline distT="0" distB="0" distL="0" distR="0" wp14:anchorId="5A2CC23C" wp14:editId="01444AD4">
                <wp:extent cx="304800" cy="304800"/>
                <wp:effectExtent l="0" t="0" r="0" b="0"/>
                <wp:docPr id="345570892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B32A4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Mudanças climáticas</w:t>
      </w:r>
    </w:p>
    <w:p w14:paraId="520716BC" w14:textId="7838045C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mc:AlternateContent>
          <mc:Choice Requires="wps">
            <w:drawing>
              <wp:inline distT="0" distB="0" distL="0" distR="0" wp14:anchorId="022451DD" wp14:editId="047E315A">
                <wp:extent cx="304800" cy="304800"/>
                <wp:effectExtent l="0" t="0" r="0" b="0"/>
                <wp:docPr id="209700413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1834C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Explosão demográfica</w:t>
      </w:r>
    </w:p>
    <w:p w14:paraId="750005C8" w14:textId="53BB39D5" w:rsid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</w:pPr>
      <w:r w:rsidRPr="00CC271F">
        <w:rPr>
          <w:rFonts w:ascii="Arial" w:eastAsia="Times New Roman" w:hAnsi="Arial" w:cs="Arial"/>
          <w:noProof/>
          <w:color w:val="00402A"/>
          <w:kern w:val="0"/>
          <w:sz w:val="26"/>
          <w:szCs w:val="26"/>
          <w:lang w:eastAsia="pt-BR"/>
          <w14:ligatures w14:val="none"/>
        </w:rPr>
        <mc:AlternateContent>
          <mc:Choice Requires="wps">
            <w:drawing>
              <wp:inline distT="0" distB="0" distL="0" distR="0" wp14:anchorId="46654B80" wp14:editId="78C25EC9">
                <wp:extent cx="304800" cy="304800"/>
                <wp:effectExtent l="0" t="0" r="0" b="0"/>
                <wp:docPr id="1981443703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C557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271F"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  <w:t>  </w:t>
      </w:r>
      <w:r w:rsidRPr="00CC271F">
        <w:rPr>
          <w:rFonts w:ascii="Arial" w:eastAsia="Times New Roman" w:hAnsi="Arial" w:cs="Arial"/>
          <w:b/>
          <w:bCs/>
          <w:color w:val="00402A"/>
          <w:kern w:val="0"/>
          <w:sz w:val="26"/>
          <w:szCs w:val="26"/>
          <w:lang w:eastAsia="pt-BR"/>
          <w14:ligatures w14:val="none"/>
        </w:rPr>
        <w:t>Crises econômicas e problemas de governança</w:t>
      </w:r>
    </w:p>
    <w:p w14:paraId="6F7BBD3B" w14:textId="0FA4302B" w:rsidR="00CC271F" w:rsidRPr="00CC271F" w:rsidRDefault="00CC271F" w:rsidP="00CC271F">
      <w:pPr>
        <w:shd w:val="clear" w:color="auto" w:fill="FFFFFF"/>
        <w:spacing w:after="240" w:line="345" w:lineRule="atLeast"/>
        <w:rPr>
          <w:rFonts w:ascii="Arial" w:eastAsia="Times New Roman" w:hAnsi="Arial" w:cs="Arial"/>
          <w:color w:val="00402A"/>
          <w:kern w:val="0"/>
          <w:sz w:val="26"/>
          <w:szCs w:val="26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B544FDF" wp14:editId="78E87D90">
            <wp:extent cx="5400040" cy="4676140"/>
            <wp:effectExtent l="0" t="0" r="0" b="0"/>
            <wp:docPr id="879601956" name="Imagem 7" descr="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272F" w14:textId="77777777" w:rsidR="00AE454A" w:rsidRDefault="00AE454A"/>
    <w:p w14:paraId="6B2B88C6" w14:textId="4E01AB42" w:rsidR="00CC271F" w:rsidRDefault="003D59E8">
      <w:r>
        <w:t>Fonte das informações</w:t>
      </w:r>
      <w:r w:rsidR="00CC271F">
        <w:t>:</w:t>
      </w:r>
      <w:r w:rsidR="00CC271F" w:rsidRPr="00CC271F">
        <w:t xml:space="preserve"> </w:t>
      </w:r>
      <w:hyperlink r:id="rId6" w:history="1">
        <w:r w:rsidR="00CC271F" w:rsidRPr="00CC271F">
          <w:rPr>
            <w:rStyle w:val="Hyperlink"/>
          </w:rPr>
          <w:t>Segurança alimentar e insegurança alimentar</w:t>
        </w:r>
      </w:hyperlink>
      <w:r w:rsidR="00CC271F">
        <w:t xml:space="preserve"> </w:t>
      </w:r>
    </w:p>
    <w:p w14:paraId="3CC1F91C" w14:textId="77777777" w:rsidR="003D59E8" w:rsidRDefault="003D59E8" w:rsidP="003D59E8">
      <w:pPr>
        <w:pStyle w:val="Ttulo2"/>
        <w:spacing w:before="0"/>
        <w:rPr>
          <w:rFonts w:ascii="Bold" w:hAnsi="Bold"/>
          <w:color w:val="44841A"/>
        </w:rPr>
      </w:pPr>
      <w:r>
        <w:t xml:space="preserve"> </w:t>
      </w:r>
      <w:r>
        <w:rPr>
          <w:rStyle w:val="Forte"/>
          <w:rFonts w:ascii="Bold" w:hAnsi="Bold"/>
          <w:b w:val="0"/>
          <w:bCs w:val="0"/>
          <w:color w:val="44841A"/>
        </w:rPr>
        <w:t>Qual a relação entre a segurança alimentar e a realidade da fome?</w:t>
      </w:r>
    </w:p>
    <w:p w14:paraId="787E72FF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A segurança alimentar também pode ser evidenciada pelo </w:t>
      </w:r>
      <w:r>
        <w:rPr>
          <w:rStyle w:val="Forte"/>
          <w:rFonts w:ascii="Arial" w:hAnsi="Arial" w:cs="Arial"/>
          <w:color w:val="545454"/>
          <w:sz w:val="27"/>
          <w:szCs w:val="27"/>
        </w:rPr>
        <w:t>aumento da eficiência na produção agrícola</w:t>
      </w:r>
      <w:r>
        <w:rPr>
          <w:rFonts w:ascii="Arial" w:hAnsi="Arial" w:cs="Arial"/>
          <w:color w:val="545454"/>
          <w:sz w:val="27"/>
          <w:szCs w:val="27"/>
        </w:rPr>
        <w:t> e a redução do desperdício de alimentos. Segundo a FAO, mais de </w:t>
      </w:r>
      <w:hyperlink r:id="rId7" w:history="1">
        <w:r>
          <w:rPr>
            <w:rStyle w:val="Hyperlink"/>
            <w:rFonts w:ascii="Arial" w:hAnsi="Arial" w:cs="Arial"/>
            <w:b/>
            <w:bCs/>
            <w:color w:val="44841A"/>
            <w:sz w:val="27"/>
            <w:szCs w:val="27"/>
            <w:u w:val="none"/>
          </w:rPr>
          <w:t>30% da produção mundial</w:t>
        </w:r>
      </w:hyperlink>
      <w:r>
        <w:rPr>
          <w:rFonts w:ascii="Arial" w:hAnsi="Arial" w:cs="Arial"/>
          <w:color w:val="545454"/>
          <w:sz w:val="27"/>
          <w:szCs w:val="27"/>
        </w:rPr>
        <w:t xml:space="preserve"> é </w:t>
      </w:r>
      <w:r>
        <w:rPr>
          <w:rFonts w:ascii="Arial" w:hAnsi="Arial" w:cs="Arial"/>
          <w:color w:val="545454"/>
          <w:sz w:val="27"/>
          <w:szCs w:val="27"/>
        </w:rPr>
        <w:lastRenderedPageBreak/>
        <w:t>desperdiçada a cada ano entre as fases de pós-colheita e a venda no varejo.</w:t>
      </w:r>
    </w:p>
    <w:p w14:paraId="260E99F3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Além disso, muito se perde durante os processos de produção. Apesar do avanço da tecnologia beneficiar a agricultura de precisão e a capacidade de produção em espaços cada vez menores. Atualmente, cerca de </w:t>
      </w:r>
      <w:r>
        <w:rPr>
          <w:rStyle w:val="Forte"/>
          <w:rFonts w:ascii="Arial" w:hAnsi="Arial" w:cs="Arial"/>
          <w:color w:val="545454"/>
          <w:sz w:val="27"/>
          <w:szCs w:val="27"/>
        </w:rPr>
        <w:t>10 milhões de crianças menores de cinco anos sofrem de desnutrição aguda</w:t>
      </w:r>
      <w:r>
        <w:rPr>
          <w:rFonts w:ascii="Arial" w:hAnsi="Arial" w:cs="Arial"/>
          <w:color w:val="545454"/>
          <w:sz w:val="27"/>
          <w:szCs w:val="27"/>
        </w:rPr>
        <w:t>.</w:t>
      </w:r>
    </w:p>
    <w:p w14:paraId="1934B5C1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Esse é um grande retrocesso na luta contra a fome. Diariamente,</w:t>
      </w:r>
      <w:r>
        <w:rPr>
          <w:rStyle w:val="Forte"/>
          <w:rFonts w:ascii="Arial" w:hAnsi="Arial" w:cs="Arial"/>
          <w:color w:val="545454"/>
          <w:sz w:val="27"/>
          <w:szCs w:val="27"/>
        </w:rPr>
        <w:t> milhões de pessoas não têm o que comer</w:t>
      </w:r>
      <w:r>
        <w:rPr>
          <w:rFonts w:ascii="Arial" w:hAnsi="Arial" w:cs="Arial"/>
          <w:color w:val="545454"/>
          <w:sz w:val="27"/>
          <w:szCs w:val="27"/>
        </w:rPr>
        <w:t>. A alta de preços dos alimentos e outras consequências socioeconômicas potencializadas pela</w:t>
      </w:r>
      <w:r>
        <w:rPr>
          <w:rStyle w:val="Forte"/>
          <w:rFonts w:ascii="Arial" w:hAnsi="Arial" w:cs="Arial"/>
          <w:color w:val="545454"/>
          <w:sz w:val="27"/>
          <w:szCs w:val="27"/>
        </w:rPr>
        <w:t> pandemia da Covid-19</w:t>
      </w:r>
      <w:r>
        <w:rPr>
          <w:rFonts w:ascii="Arial" w:hAnsi="Arial" w:cs="Arial"/>
          <w:color w:val="545454"/>
          <w:sz w:val="27"/>
          <w:szCs w:val="27"/>
        </w:rPr>
        <w:t> aumentaram ainda mais a gravidade dessa situação.</w:t>
      </w:r>
    </w:p>
    <w:p w14:paraId="162D629D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Há pouco, o Programa Mundial de Alimentos (PMA) </w:t>
      </w:r>
      <w:hyperlink r:id="rId8" w:history="1">
        <w:r>
          <w:rPr>
            <w:rStyle w:val="Hyperlink"/>
            <w:rFonts w:ascii="Arial" w:hAnsi="Arial" w:cs="Arial"/>
            <w:b/>
            <w:bCs/>
            <w:color w:val="44841A"/>
            <w:sz w:val="27"/>
            <w:szCs w:val="27"/>
            <w:u w:val="none"/>
          </w:rPr>
          <w:t>advertiu</w:t>
        </w:r>
      </w:hyperlink>
      <w:r>
        <w:rPr>
          <w:rFonts w:ascii="Arial" w:hAnsi="Arial" w:cs="Arial"/>
          <w:color w:val="545454"/>
          <w:sz w:val="27"/>
          <w:szCs w:val="27"/>
        </w:rPr>
        <w:t> que o total de pessoas que enfrentarão insegurança alimentar no mundo pode ser 30% superior às estatísticas de vítimas pelo mesmo motivo em 2020. </w:t>
      </w:r>
      <w:r>
        <w:rPr>
          <w:rStyle w:val="Forte"/>
          <w:rFonts w:ascii="Arial" w:hAnsi="Arial" w:cs="Arial"/>
          <w:color w:val="545454"/>
          <w:sz w:val="27"/>
          <w:szCs w:val="27"/>
        </w:rPr>
        <w:t>Cerca de 31 milhões de pessoas</w:t>
      </w:r>
      <w:r>
        <w:rPr>
          <w:rFonts w:ascii="Arial" w:hAnsi="Arial" w:cs="Arial"/>
          <w:color w:val="545454"/>
          <w:sz w:val="27"/>
          <w:szCs w:val="27"/>
        </w:rPr>
        <w:t>, com potencial para atingir um dos maiores níveis em dez anos.</w:t>
      </w:r>
    </w:p>
    <w:p w14:paraId="662CEF09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No Brasil, </w:t>
      </w:r>
      <w:hyperlink r:id="rId9" w:history="1">
        <w:r>
          <w:rPr>
            <w:rStyle w:val="Hyperlink"/>
            <w:rFonts w:ascii="Arial" w:hAnsi="Arial" w:cs="Arial"/>
            <w:b/>
            <w:bCs/>
            <w:color w:val="44841A"/>
            <w:sz w:val="27"/>
            <w:szCs w:val="27"/>
            <w:u w:val="none"/>
          </w:rPr>
          <w:t>a situação não é diferente</w:t>
        </w:r>
      </w:hyperlink>
      <w:r>
        <w:rPr>
          <w:rFonts w:ascii="Arial" w:hAnsi="Arial" w:cs="Arial"/>
          <w:color w:val="545454"/>
          <w:sz w:val="27"/>
          <w:szCs w:val="27"/>
        </w:rPr>
        <w:t>. A desvalorização da moeda, a inanição do governo frente aos desafios impostos pela pandemia, a suspensão do pagamento do auxílio emergencial e a instabilidade da economia </w:t>
      </w:r>
      <w:r>
        <w:rPr>
          <w:rStyle w:val="Forte"/>
          <w:rFonts w:ascii="Arial" w:hAnsi="Arial" w:cs="Arial"/>
          <w:color w:val="545454"/>
          <w:sz w:val="27"/>
          <w:szCs w:val="27"/>
        </w:rPr>
        <w:t>impulsionaram o aumento de preços dos produtos da cesta básica</w:t>
      </w:r>
      <w:r>
        <w:rPr>
          <w:rFonts w:ascii="Arial" w:hAnsi="Arial" w:cs="Arial"/>
          <w:color w:val="545454"/>
          <w:sz w:val="27"/>
          <w:szCs w:val="27"/>
        </w:rPr>
        <w:t>.</w:t>
      </w:r>
    </w:p>
    <w:p w14:paraId="64DB097A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O investimento no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44841A"/>
            <w:sz w:val="27"/>
            <w:szCs w:val="27"/>
            <w:u w:val="none"/>
          </w:rPr>
          <w:t>setor agrícola</w:t>
        </w:r>
      </w:hyperlink>
      <w:r>
        <w:rPr>
          <w:rFonts w:ascii="Arial" w:hAnsi="Arial" w:cs="Arial"/>
          <w:color w:val="545454"/>
          <w:sz w:val="27"/>
          <w:szCs w:val="27"/>
        </w:rPr>
        <w:t> </w:t>
      </w:r>
      <w:r>
        <w:rPr>
          <w:rStyle w:val="Forte"/>
          <w:rFonts w:ascii="Arial" w:hAnsi="Arial" w:cs="Arial"/>
          <w:color w:val="545454"/>
          <w:sz w:val="27"/>
          <w:szCs w:val="27"/>
        </w:rPr>
        <w:t>não pode objetivar apenas a produção de </w:t>
      </w:r>
      <w:r>
        <w:rPr>
          <w:rStyle w:val="nfase"/>
          <w:rFonts w:ascii="Arial" w:eastAsiaTheme="majorEastAsia" w:hAnsi="Arial" w:cs="Arial"/>
          <w:b/>
          <w:bCs/>
          <w:color w:val="545454"/>
          <w:sz w:val="27"/>
          <w:szCs w:val="27"/>
        </w:rPr>
        <w:t>commodities</w:t>
      </w:r>
      <w:r>
        <w:rPr>
          <w:rFonts w:ascii="Arial" w:hAnsi="Arial" w:cs="Arial"/>
          <w:color w:val="545454"/>
          <w:sz w:val="27"/>
          <w:szCs w:val="27"/>
        </w:rPr>
        <w:t>. É preciso:</w:t>
      </w:r>
    </w:p>
    <w:p w14:paraId="42078C06" w14:textId="77777777" w:rsidR="003D59E8" w:rsidRDefault="003D59E8" w:rsidP="003D59E8">
      <w:pPr>
        <w:numPr>
          <w:ilvl w:val="0"/>
          <w:numId w:val="2"/>
        </w:numPr>
        <w:spacing w:after="75" w:line="240" w:lineRule="auto"/>
        <w:rPr>
          <w:rFonts w:ascii="Arial" w:hAnsi="Arial" w:cs="Arial"/>
          <w:color w:val="464646"/>
          <w:sz w:val="27"/>
          <w:szCs w:val="27"/>
        </w:rPr>
      </w:pPr>
      <w:r>
        <w:rPr>
          <w:rFonts w:ascii="Arial" w:hAnsi="Arial" w:cs="Arial"/>
          <w:color w:val="464646"/>
          <w:sz w:val="27"/>
          <w:szCs w:val="27"/>
        </w:rPr>
        <w:t>estabelecer um ciclo gerador de renda compartilhada,</w:t>
      </w:r>
    </w:p>
    <w:p w14:paraId="3693A1F0" w14:textId="77777777" w:rsidR="003D59E8" w:rsidRDefault="003D59E8" w:rsidP="003D59E8">
      <w:pPr>
        <w:numPr>
          <w:ilvl w:val="0"/>
          <w:numId w:val="2"/>
        </w:numPr>
        <w:spacing w:after="75" w:line="240" w:lineRule="auto"/>
        <w:rPr>
          <w:rFonts w:ascii="Arial" w:hAnsi="Arial" w:cs="Arial"/>
          <w:color w:val="464646"/>
          <w:sz w:val="27"/>
          <w:szCs w:val="27"/>
        </w:rPr>
      </w:pPr>
      <w:r>
        <w:rPr>
          <w:rFonts w:ascii="Arial" w:hAnsi="Arial" w:cs="Arial"/>
          <w:color w:val="464646"/>
          <w:sz w:val="27"/>
          <w:szCs w:val="27"/>
        </w:rPr>
        <w:t>viabilizar incentivos para garantir a lucratividade da colheita;</w:t>
      </w:r>
    </w:p>
    <w:p w14:paraId="58B85345" w14:textId="77777777" w:rsidR="003D59E8" w:rsidRDefault="003D59E8" w:rsidP="003D59E8">
      <w:pPr>
        <w:numPr>
          <w:ilvl w:val="0"/>
          <w:numId w:val="2"/>
        </w:numPr>
        <w:spacing w:after="75" w:line="240" w:lineRule="auto"/>
        <w:rPr>
          <w:rFonts w:ascii="Arial" w:hAnsi="Arial" w:cs="Arial"/>
          <w:color w:val="464646"/>
          <w:sz w:val="27"/>
          <w:szCs w:val="27"/>
        </w:rPr>
      </w:pPr>
      <w:r>
        <w:rPr>
          <w:rFonts w:ascii="Arial" w:hAnsi="Arial" w:cs="Arial"/>
          <w:color w:val="464646"/>
          <w:sz w:val="27"/>
          <w:szCs w:val="27"/>
        </w:rPr>
        <w:t>exigir o fornecimento de parte da produção para venda e consumo no mercado interno.</w:t>
      </w:r>
    </w:p>
    <w:p w14:paraId="325F6B2A" w14:textId="77777777" w:rsidR="003D59E8" w:rsidRDefault="003D59E8" w:rsidP="003D59E8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7"/>
          <w:szCs w:val="27"/>
        </w:rPr>
      </w:pPr>
      <w:r>
        <w:rPr>
          <w:rFonts w:ascii="Arial" w:hAnsi="Arial" w:cs="Arial"/>
          <w:color w:val="545454"/>
          <w:sz w:val="27"/>
          <w:szCs w:val="27"/>
        </w:rPr>
        <w:t>Dessa forma, é possível</w:t>
      </w:r>
      <w:r>
        <w:rPr>
          <w:rStyle w:val="Forte"/>
          <w:rFonts w:ascii="Arial" w:hAnsi="Arial" w:cs="Arial"/>
          <w:color w:val="545454"/>
          <w:sz w:val="27"/>
          <w:szCs w:val="27"/>
        </w:rPr>
        <w:t> fomentar a produção e abastecer o mercado interno</w:t>
      </w:r>
      <w:r>
        <w:rPr>
          <w:rFonts w:ascii="Arial" w:hAnsi="Arial" w:cs="Arial"/>
          <w:color w:val="545454"/>
          <w:sz w:val="27"/>
          <w:szCs w:val="27"/>
        </w:rPr>
        <w:t>, a fim de garantir segurança alimentar a toda a população do país.</w:t>
      </w:r>
    </w:p>
    <w:p w14:paraId="0EA011FB" w14:textId="119EEFB8" w:rsidR="00CC271F" w:rsidRDefault="00CC271F"/>
    <w:p w14:paraId="22C02CA3" w14:textId="449D3C94" w:rsidR="003D59E8" w:rsidRDefault="003D59E8">
      <w:pPr>
        <w:rPr>
          <w:rStyle w:val="Hyperlink"/>
        </w:rPr>
      </w:pPr>
      <w:r>
        <w:t xml:space="preserve">Fonte das informações: </w:t>
      </w:r>
      <w:hyperlink r:id="rId11" w:history="1">
        <w:r w:rsidRPr="003D59E8">
          <w:rPr>
            <w:rStyle w:val="Hyperlink"/>
          </w:rPr>
          <w:t>Segurança alimentar e insegurança alimentar.</w:t>
        </w:r>
      </w:hyperlink>
    </w:p>
    <w:p w14:paraId="44407BFE" w14:textId="77777777" w:rsidR="007C7821" w:rsidRDefault="007C7821">
      <w:pPr>
        <w:rPr>
          <w:rStyle w:val="Hyperlink"/>
        </w:rPr>
      </w:pPr>
    </w:p>
    <w:p w14:paraId="456E19F7" w14:textId="77777777" w:rsidR="0051755E" w:rsidRP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  <w:r w:rsidRPr="0051755E">
        <w:rPr>
          <w:rFonts w:ascii="Helvetica" w:hAnsi="Helvetica"/>
          <w:color w:val="000000"/>
          <w:sz w:val="27"/>
          <w:szCs w:val="27"/>
        </w:rPr>
        <w:t>O </w:t>
      </w:r>
      <w:r w:rsidRPr="0051755E">
        <w:rPr>
          <w:rStyle w:val="Forte"/>
          <w:rFonts w:ascii="Helvetica" w:hAnsi="Helvetica"/>
          <w:color w:val="000000"/>
          <w:sz w:val="27"/>
          <w:szCs w:val="27"/>
        </w:rPr>
        <w:t>Banco de Alimentos</w:t>
      </w:r>
      <w:r w:rsidRPr="0051755E">
        <w:rPr>
          <w:rFonts w:ascii="Helvetica" w:hAnsi="Helvetica"/>
          <w:color w:val="000000"/>
          <w:sz w:val="27"/>
          <w:szCs w:val="27"/>
        </w:rPr>
        <w:t> da cidade de São Paulo tem como objetivo adquirir alimentos da agricultura familiar, arrecadar alimentos provenientes das indústrias alimentícias, redes varejistas e atacadistas que estão fora dos padrões de comercialização, mas sem restrições de caráter sanitário para o consumo. Esses alimentos são doados às entidades assistenciais, previamente cadastradas no programa, contribuindo assim no combate à fome e ao desperdício de alimentos.</w:t>
      </w:r>
    </w:p>
    <w:p w14:paraId="2BE703CE" w14:textId="77777777" w:rsidR="0051755E" w:rsidRPr="0051755E" w:rsidRDefault="0051755E" w:rsidP="0051755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000000"/>
          <w:sz w:val="27"/>
          <w:szCs w:val="27"/>
        </w:rPr>
      </w:pPr>
      <w:r w:rsidRPr="0051755E">
        <w:rPr>
          <w:rFonts w:ascii="Helvetica" w:hAnsi="Helvetica"/>
          <w:color w:val="000000"/>
          <w:sz w:val="27"/>
          <w:szCs w:val="27"/>
        </w:rPr>
        <w:t xml:space="preserve">A equipe do Banco de Alimentos recepciona, seleciona, separa e analisa a qualidade dos produtos e os entregam às entidades </w:t>
      </w:r>
      <w:r w:rsidRPr="0051755E">
        <w:rPr>
          <w:rFonts w:ascii="Helvetica" w:hAnsi="Helvetica"/>
          <w:color w:val="000000"/>
          <w:sz w:val="27"/>
          <w:szCs w:val="27"/>
        </w:rPr>
        <w:lastRenderedPageBreak/>
        <w:t>assistenciais. Estas entidades se encarregam de distribuir os alimentos arrecadados à população, seja por meio de refeições prontas ou repasse direto às famílias de baixa renda. Em contrapartida, as entidades atendidas participam de atividades de capacitação e educação alimentar e nutricional. </w:t>
      </w:r>
    </w:p>
    <w:p w14:paraId="5889BEF7" w14:textId="77777777" w:rsidR="0051755E" w:rsidRP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  <w:r w:rsidRPr="0051755E">
        <w:rPr>
          <w:rFonts w:ascii="Helvetica" w:hAnsi="Helvetica"/>
          <w:color w:val="000000"/>
          <w:sz w:val="27"/>
          <w:szCs w:val="27"/>
        </w:rPr>
        <w:t>Além das doações dos parceiros, o Banco de Alimentos recebe parte da doação arrecadada pel</w:t>
      </w:r>
      <w:r w:rsidRPr="0051755E">
        <w:rPr>
          <w:rStyle w:val="Forte"/>
          <w:rFonts w:ascii="Helvetica" w:hAnsi="Helvetica"/>
          <w:color w:val="000000"/>
          <w:sz w:val="27"/>
          <w:szCs w:val="27"/>
        </w:rPr>
        <w:t>o Programa Municipal de Combate ao Desperdício e à Perda de Alimentos,</w:t>
      </w:r>
      <w:r w:rsidRPr="0051755E">
        <w:rPr>
          <w:rFonts w:ascii="Helvetica" w:hAnsi="Helvetica"/>
          <w:color w:val="000000"/>
          <w:sz w:val="27"/>
          <w:szCs w:val="27"/>
        </w:rPr>
        <w:t> responsável pela coleta de frutas, legumes e verduras nas feiras livres e mercados municipais da cidade que estão em boas condições de consumo, mas que seriam descartadas por não possuir valor comercial. A ação conta com a parceria de mercados e sacolões municipais, além das feiras livres espalhadas em toda a cidade.</w:t>
      </w:r>
    </w:p>
    <w:p w14:paraId="376FEE5C" w14:textId="77777777" w:rsid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  <w:r w:rsidRPr="0051755E">
        <w:rPr>
          <w:rFonts w:ascii="Helvetica" w:hAnsi="Helvetica"/>
          <w:b/>
          <w:bCs/>
          <w:color w:val="000000"/>
          <w:sz w:val="27"/>
          <w:szCs w:val="27"/>
        </w:rPr>
        <w:t>Saiba como doar</w:t>
      </w:r>
      <w:r w:rsidRPr="0051755E">
        <w:rPr>
          <w:rFonts w:ascii="Helvetica" w:hAnsi="Helvetica"/>
          <w:b/>
          <w:bCs/>
          <w:color w:val="000000"/>
          <w:sz w:val="27"/>
          <w:szCs w:val="27"/>
        </w:rPr>
        <w:br/>
      </w:r>
      <w:r w:rsidRPr="0051755E">
        <w:rPr>
          <w:rFonts w:ascii="Helvetica" w:hAnsi="Helvetica"/>
          <w:color w:val="000000"/>
          <w:sz w:val="27"/>
          <w:szCs w:val="27"/>
        </w:rPr>
        <w:t>Qualquer pessoa, física ou jurídica, empresa ou órgão público pode se tornar um doador. O Banco de Alimentos está localizado na Rua Sobral Júnior, 264 - Vila Maria / zona norte, disponível de segunda à sexta-feira, das 8h às 17h.</w:t>
      </w:r>
    </w:p>
    <w:p w14:paraId="4719AE40" w14:textId="77777777" w:rsid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</w:p>
    <w:p w14:paraId="5EFC4D4A" w14:textId="0455780C" w:rsid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C823533" wp14:editId="1A70B32A">
            <wp:extent cx="5400040" cy="2229485"/>
            <wp:effectExtent l="0" t="0" r="0" b="0"/>
            <wp:docPr id="1614143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D95F" w14:textId="77777777" w:rsidR="0051755E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</w:p>
    <w:p w14:paraId="6E556A01" w14:textId="77E5DF7D" w:rsidR="0051755E" w:rsidRPr="00B30417" w:rsidRDefault="0051755E" w:rsidP="0051755E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  <w:u w:val="single"/>
        </w:rPr>
      </w:pPr>
      <w:r>
        <w:rPr>
          <w:rFonts w:ascii="Helvetica" w:hAnsi="Helvetica"/>
          <w:color w:val="000000"/>
          <w:sz w:val="27"/>
          <w:szCs w:val="27"/>
        </w:rPr>
        <w:t xml:space="preserve">Fonte: </w:t>
      </w:r>
      <w:hyperlink r:id="rId13" w:history="1">
        <w:r w:rsidRPr="0051755E">
          <w:rPr>
            <w:rStyle w:val="Hyperlink"/>
            <w:rFonts w:ascii="Helvetica" w:hAnsi="Helvetica"/>
            <w:sz w:val="27"/>
            <w:szCs w:val="27"/>
          </w:rPr>
          <w:t>Banco de Alimentos</w:t>
        </w:r>
      </w:hyperlink>
      <w:r>
        <w:rPr>
          <w:rFonts w:ascii="Helvetica" w:hAnsi="Helvetica"/>
          <w:color w:val="000000"/>
          <w:sz w:val="27"/>
          <w:szCs w:val="27"/>
        </w:rPr>
        <w:t>.</w:t>
      </w:r>
    </w:p>
    <w:p w14:paraId="61A1DC78" w14:textId="77777777" w:rsidR="006B32C6" w:rsidRDefault="006B32C6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</w:p>
    <w:p w14:paraId="1D5AC8FB" w14:textId="77777777" w:rsidR="006B32C6" w:rsidRPr="006B32C6" w:rsidRDefault="006B32C6" w:rsidP="006B32C6">
      <w:pPr>
        <w:pStyle w:val="Ttulo1"/>
        <w:shd w:val="clear" w:color="auto" w:fill="FFFFFF"/>
        <w:spacing w:before="0"/>
        <w:jc w:val="center"/>
        <w:textAlignment w:val="baseline"/>
        <w:rPr>
          <w:rFonts w:ascii="Helvetica" w:hAnsi="Helvetica"/>
          <w:color w:val="0C326F"/>
        </w:rPr>
      </w:pPr>
      <w:r w:rsidRPr="006B32C6">
        <w:rPr>
          <w:rFonts w:ascii="Helvetica" w:hAnsi="Helvetica"/>
          <w:color w:val="0C326F"/>
          <w:bdr w:val="none" w:sz="0" w:space="0" w:color="auto" w:frame="1"/>
        </w:rPr>
        <w:t>Rede Brasileira de Bancos de Alimentos</w:t>
      </w:r>
      <w:r w:rsidRPr="006B32C6">
        <w:rPr>
          <w:rFonts w:ascii="Helvetica" w:hAnsi="Helvetica"/>
          <w:color w:val="0C326F"/>
          <w:bdr w:val="none" w:sz="0" w:space="0" w:color="auto" w:frame="1"/>
        </w:rPr>
        <w:br/>
      </w:r>
    </w:p>
    <w:p w14:paraId="573C50CB" w14:textId="77777777" w:rsidR="006B32C6" w:rsidRDefault="006B32C6" w:rsidP="006B32C6">
      <w:pPr>
        <w:shd w:val="clear" w:color="auto" w:fill="FFFFFF"/>
        <w:textAlignment w:val="baseline"/>
        <w:rPr>
          <w:rFonts w:ascii="Helvetica" w:hAnsi="Helvetica"/>
          <w:color w:val="555555"/>
          <w:sz w:val="32"/>
          <w:szCs w:val="32"/>
        </w:rPr>
      </w:pPr>
      <w:r w:rsidRPr="006B32C6">
        <w:rPr>
          <w:rFonts w:ascii="Helvetica" w:hAnsi="Helvetica"/>
          <w:color w:val="555555"/>
          <w:sz w:val="32"/>
          <w:szCs w:val="32"/>
        </w:rPr>
        <w:t xml:space="preserve">A Rede Brasileira de Bancos de Alimentos (RBBA), instituída pelo Decreto nº 10.490, de 17 de setembro de 2020, reúne bancos de alimentos públicos e privados com o objetivo de fortalecer uma atuação conjunta desses equipamentos visando reduzir perdas e desperdício de </w:t>
      </w:r>
    </w:p>
    <w:p w14:paraId="3EDCF7FC" w14:textId="1993D418" w:rsidR="006B32C6" w:rsidRDefault="006B32C6" w:rsidP="006B32C6">
      <w:pPr>
        <w:shd w:val="clear" w:color="auto" w:fill="FFFFFF"/>
        <w:textAlignment w:val="baseline"/>
        <w:rPr>
          <w:rFonts w:ascii="Helvetica" w:hAnsi="Helvetica"/>
          <w:color w:val="555555"/>
          <w:sz w:val="32"/>
          <w:szCs w:val="32"/>
        </w:rPr>
      </w:pPr>
      <w:r w:rsidRPr="006B32C6">
        <w:rPr>
          <w:rFonts w:ascii="Helvetica" w:hAnsi="Helvetica"/>
          <w:color w:val="555555"/>
          <w:sz w:val="32"/>
          <w:szCs w:val="32"/>
        </w:rPr>
        <w:lastRenderedPageBreak/>
        <w:t>alimentos e promover o direito humano à alimentação adequada.</w:t>
      </w:r>
    </w:p>
    <w:p w14:paraId="23AA7EFC" w14:textId="43BF9563" w:rsidR="006B32C6" w:rsidRDefault="006B32C6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EB390E4" wp14:editId="5965299C">
            <wp:extent cx="5400040" cy="3599815"/>
            <wp:effectExtent l="0" t="0" r="0" b="635"/>
            <wp:docPr id="8095926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2208" w14:textId="77777777" w:rsidR="006B32C6" w:rsidRDefault="006B32C6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</w:rPr>
      </w:pPr>
    </w:p>
    <w:p w14:paraId="2A5B647E" w14:textId="77777777" w:rsidR="0051755E" w:rsidRPr="00626D18" w:rsidRDefault="0051755E" w:rsidP="005175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7"/>
          <w:szCs w:val="27"/>
          <w:u w:val="single"/>
        </w:rPr>
      </w:pPr>
    </w:p>
    <w:p w14:paraId="141B134A" w14:textId="77777777" w:rsidR="006B32C6" w:rsidRPr="006B32C6" w:rsidRDefault="006B32C6" w:rsidP="006B32C6">
      <w:pPr>
        <w:pStyle w:val="Ttulo2"/>
        <w:shd w:val="clear" w:color="auto" w:fill="F8F8F8"/>
        <w:spacing w:before="0" w:after="300"/>
        <w:textAlignment w:val="baseline"/>
        <w:rPr>
          <w:rFonts w:ascii="Helvetica" w:hAnsi="Helvetica"/>
          <w:color w:val="333333"/>
          <w:sz w:val="32"/>
          <w:szCs w:val="32"/>
        </w:rPr>
      </w:pPr>
      <w:r w:rsidRPr="006B32C6">
        <w:rPr>
          <w:rFonts w:ascii="Helvetica" w:hAnsi="Helvetica"/>
          <w:color w:val="333333"/>
          <w:sz w:val="32"/>
          <w:szCs w:val="32"/>
        </w:rPr>
        <w:t>Por que aderir à RBBA?</w:t>
      </w:r>
    </w:p>
    <w:p w14:paraId="6DBFAD29" w14:textId="77777777" w:rsidR="006B32C6" w:rsidRDefault="006B32C6" w:rsidP="006B32C6">
      <w:pPr>
        <w:pStyle w:val="NormalWeb"/>
        <w:shd w:val="clear" w:color="auto" w:fill="F8F8F8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32"/>
          <w:szCs w:val="32"/>
        </w:rPr>
      </w:pPr>
      <w:r w:rsidRPr="006B32C6">
        <w:rPr>
          <w:rFonts w:ascii="Helvetica" w:hAnsi="Helvetica"/>
          <w:color w:val="555555"/>
          <w:sz w:val="32"/>
          <w:szCs w:val="32"/>
        </w:rPr>
        <w:t>Os bancos de alimentos aderidos à RBBA são pré-cadastrados para receber doações com isenção de ICMS, realizadas por doadores privados. Adicionalmente, o Ministério da Cidadania prioriza membros na indicação de potenciais beneficiários de doações no âmbito de diversas mobilizações e iniciativas, como o Brasil Fraterno, além de garantir mais visibilidade às ações desenvolvidas pelos participantes. Eles poderão ter acesso a sistemas de apoio à gestão, participar de eventos e de capacitações, além de receber em primeira mão informações sobre assuntos de interesse para sua atuação. Esses equipamentos públicos, por sua vez, podem acessar recursos federais para modernização de sua estrutura.</w:t>
      </w:r>
    </w:p>
    <w:p w14:paraId="579E9EBC" w14:textId="340ABE9F" w:rsidR="006B32C6" w:rsidRDefault="006B32C6" w:rsidP="006B32C6">
      <w:pPr>
        <w:pStyle w:val="NormalWeb"/>
        <w:shd w:val="clear" w:color="auto" w:fill="F8F8F8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B452F" wp14:editId="73CF58EC">
            <wp:extent cx="5400040" cy="3599815"/>
            <wp:effectExtent l="0" t="0" r="0" b="635"/>
            <wp:docPr id="3535288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4348" w14:textId="309411A4" w:rsidR="006B32C6" w:rsidRPr="006B32C6" w:rsidRDefault="006B32C6" w:rsidP="006B32C6">
      <w:pPr>
        <w:pStyle w:val="NormalWeb"/>
        <w:shd w:val="clear" w:color="auto" w:fill="F8F8F8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32"/>
          <w:szCs w:val="32"/>
        </w:rPr>
      </w:pPr>
      <w:r>
        <w:rPr>
          <w:rFonts w:ascii="Helvetica" w:hAnsi="Helvetica"/>
          <w:color w:val="555555"/>
          <w:sz w:val="32"/>
          <w:szCs w:val="32"/>
        </w:rPr>
        <w:t xml:space="preserve">Fonte: </w:t>
      </w:r>
      <w:hyperlink r:id="rId16" w:history="1">
        <w:r w:rsidRPr="006B32C6">
          <w:rPr>
            <w:rStyle w:val="Hyperlink"/>
            <w:rFonts w:ascii="Helvetica" w:hAnsi="Helvetica"/>
            <w:sz w:val="32"/>
            <w:szCs w:val="32"/>
          </w:rPr>
          <w:t>Bancos de Alimentos</w:t>
        </w:r>
      </w:hyperlink>
    </w:p>
    <w:p w14:paraId="7F09DE3E" w14:textId="77777777" w:rsidR="007C7821" w:rsidRPr="006B32C6" w:rsidRDefault="007C7821">
      <w:pPr>
        <w:rPr>
          <w:u w:val="single"/>
        </w:rPr>
      </w:pPr>
    </w:p>
    <w:sectPr w:rsidR="007C7821" w:rsidRPr="006B3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A86"/>
    <w:multiLevelType w:val="multilevel"/>
    <w:tmpl w:val="C57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135BE"/>
    <w:multiLevelType w:val="multilevel"/>
    <w:tmpl w:val="CC0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979990">
    <w:abstractNumId w:val="1"/>
  </w:num>
  <w:num w:numId="2" w16cid:durableId="119938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1F"/>
    <w:rsid w:val="003D59E8"/>
    <w:rsid w:val="0051755E"/>
    <w:rsid w:val="00626D18"/>
    <w:rsid w:val="006B32C6"/>
    <w:rsid w:val="007C7821"/>
    <w:rsid w:val="00AE454A"/>
    <w:rsid w:val="00B30417"/>
    <w:rsid w:val="00CC271F"/>
    <w:rsid w:val="00F6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CA37"/>
  <w15:chartTrackingRefBased/>
  <w15:docId w15:val="{631B16A2-3765-4C20-A40E-C5377546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C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271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andard">
    <w:name w:val="standard"/>
    <w:basedOn w:val="Fontepargpadro"/>
    <w:rsid w:val="00CC271F"/>
  </w:style>
  <w:style w:type="character" w:styleId="Forte">
    <w:name w:val="Strong"/>
    <w:basedOn w:val="Fontepargpadro"/>
    <w:uiPriority w:val="22"/>
    <w:qFormat/>
    <w:rsid w:val="00CC271F"/>
    <w:rPr>
      <w:b/>
      <w:bCs/>
    </w:rPr>
  </w:style>
  <w:style w:type="character" w:styleId="Hyperlink">
    <w:name w:val="Hyperlink"/>
    <w:basedOn w:val="Fontepargpadro"/>
    <w:uiPriority w:val="99"/>
    <w:unhideWhenUsed/>
    <w:rsid w:val="00CC27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271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3D59E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6B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pt/story/2021/04/1747872" TargetMode="External"/><Relationship Id="rId13" Type="http://schemas.openxmlformats.org/officeDocument/2006/relationships/hyperlink" Target="https://www.capital.sp.gov.br/noticia/saiba-como-funciona-o-programa-banco-de-aliment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vimentoods.org.br/blog/2019/02/17/fao-30-de-toda-a-comida-produzida-no-mundo-vai-parar-no-lixo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v.br/mds/pt-br/acoes-e-programas/inclusao-produtiva-rural/rede-brasileira-de-banco-de-alimen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erdrola.com/compromisso-social/o-que-e-seguranca-alimentar" TargetMode="External"/><Relationship Id="rId11" Type="http://schemas.openxmlformats.org/officeDocument/2006/relationships/hyperlink" Target="https://www.oxfam.org.br/blog/descubra-o-que-e-seguranca-alimentar-e-qual-sua-importancia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www.oxfam.org.br/blog/a-importancia-da-agricultura-frente-a-pandemia-de-coronavir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am.org.br/blog/epicentro-da-fome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2024-03-17T04:16:00Z</dcterms:created>
  <dcterms:modified xsi:type="dcterms:W3CDTF">2024-03-17T16:55:00Z</dcterms:modified>
</cp:coreProperties>
</file>