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.cabecalho, .conteudo, .rodape.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grid-tamplate-areas: “cabecalho” “conteudo” “rodape”;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grid-tamplate-columns: auto;</w:t>
      </w:r>
      <w:r>
        <w:rPr>
          <w:rFonts w:ascii="Times New Roman" w:hAnsi="Times New Roman" w:cs="Times New Roman"/>
          <w:sz w:val="24"/>
          <w:szCs w:val="24"/>
        </w:rPr>
        <w:t>, para setarem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grid-tamplate-rows: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grid-tamplate-rows: 50px auto auto;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grid-area: nomeDoGrid;</w:t>
      </w:r>
      <w:r>
        <w:rPr>
          <w:rFonts w:ascii="Times New Roman" w:hAnsi="Times New Roman" w:cs="Times New Roman"/>
          <w:sz w:val="24"/>
          <w:szCs w:val="24"/>
        </w:rPr>
        <w:t>, em todas as tags que determinamos que serão áreas, colocando o nome referente ao que foi colocado na config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grid-column-end: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grid-row-end: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shorthands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tals,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url(localDaImagem)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grid-column: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grid-row: início / fim;</w:t>
      </w:r>
      <w:r>
        <w:rPr>
          <w:rFonts w:ascii="Times New Roman" w:hAnsi="Times New Roman" w:cs="Times New Roman"/>
          <w:sz w:val="24"/>
          <w:szCs w:val="24"/>
        </w:rPr>
        <w:t>.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r>
        <w:rPr>
          <w:rFonts w:ascii="Times New Roman" w:hAnsi="Times New Roman" w:cs="Times New Roman"/>
          <w:i/>
          <w:iCs/>
          <w:sz w:val="24"/>
          <w:szCs w:val="24"/>
        </w:rPr>
        <w:t>nth-child(número){}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.destaques__secundario</w:t>
      </w:r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:nth-child(número){}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.destaques__primario</w:t>
      </w:r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6342A159" w14:textId="243EE08E" w:rsidR="00A7675A" w:rsidRPr="004C284D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>grid-gap: px/rm/rem;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border só que próprio dos grids. Quando colocamos isso nós basicamente definimos que haverá um espaço em branco/backgorund-color entre as imagens ou seja lá qual o conteúdo que tenha dentro do grid. </w:t>
      </w:r>
    </w:p>
    <w:sectPr w:rsidR="00A7675A" w:rsidRPr="004C2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773A5"/>
    <w:rsid w:val="001B2B0F"/>
    <w:rsid w:val="002913B0"/>
    <w:rsid w:val="002D33FA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D14855"/>
    <w:rsid w:val="00E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2021-06-03T13:02:00Z</dcterms:created>
  <dcterms:modified xsi:type="dcterms:W3CDTF">2021-06-07T14:36:00Z</dcterms:modified>
</cp:coreProperties>
</file>