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22112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19B754AE" w:rsidR="00294408" w:rsidRPr="00D128DD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85A7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1F8C"/>
    <w:rsid w:val="0049485C"/>
    <w:rsid w:val="0049676D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27</Pages>
  <Words>4492</Words>
  <Characters>24261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302</cp:revision>
  <dcterms:created xsi:type="dcterms:W3CDTF">2021-06-09T12:53:00Z</dcterms:created>
  <dcterms:modified xsi:type="dcterms:W3CDTF">2021-07-25T15:55:00Z</dcterms:modified>
</cp:coreProperties>
</file>