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32F12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 xml:space="preserve">Podemos usar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 xml:space="preserve"> para validar formatação de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CEP’s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>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na constante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seguindo as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{}: existem várias opções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algumas delas:</w:t>
      </w:r>
    </w:p>
    <w:p w14:paraId="4ADCC153" w14:textId="66240489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</w:p>
    <w:p w14:paraId="0ECEE86B" w14:textId="02696CBF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832F12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832F1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D8666" w14:textId="6FCEB4F4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32F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Headers{}: 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geralmente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coloca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r w:rsidRPr="00832F12">
        <w:rPr>
          <w:rFonts w:ascii="Times New Roman" w:hAnsi="Times New Roman" w:cs="Times New Roman"/>
          <w:sz w:val="24"/>
          <w:szCs w:val="24"/>
          <w:lang w:val="en-US"/>
        </w:rPr>
        <w:t>'content-type': 'application/</w:t>
      </w:r>
      <w:proofErr w:type="spellStart"/>
      <w:r w:rsidRPr="00832F12">
        <w:rPr>
          <w:rFonts w:ascii="Times New Roman" w:hAnsi="Times New Roman" w:cs="Times New Roman"/>
          <w:sz w:val="24"/>
          <w:szCs w:val="24"/>
          <w:lang w:val="en-US"/>
        </w:rPr>
        <w:t>json;charset</w:t>
      </w:r>
      <w:proofErr w:type="spellEnd"/>
      <w:r w:rsidRPr="00832F12">
        <w:rPr>
          <w:rFonts w:ascii="Times New Roman" w:hAnsi="Times New Roman" w:cs="Times New Roman"/>
          <w:sz w:val="24"/>
          <w:szCs w:val="24"/>
          <w:lang w:val="en-US"/>
        </w:rPr>
        <w:t>=utf-8'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2C14B" w14:textId="61DE40EE" w:rsidR="00023A7D" w:rsidRPr="00832F12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32F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32</Pages>
  <Words>5558</Words>
  <Characters>30017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393</cp:revision>
  <dcterms:created xsi:type="dcterms:W3CDTF">2021-06-09T12:53:00Z</dcterms:created>
  <dcterms:modified xsi:type="dcterms:W3CDTF">2021-08-17T17:24:00Z</dcterms:modified>
</cp:coreProperties>
</file>