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660132E7" w:rsidR="00751D71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0AA7C0" w14:textId="4ED256CD" w:rsidR="00F519C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8DF72" w14:textId="77777777" w:rsidR="00F519C2" w:rsidRPr="00FA4372" w:rsidRDefault="00F519C2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544E0102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</w:t>
      </w:r>
      <w:r w:rsidR="00010189">
        <w:rPr>
          <w:rFonts w:ascii="Times New Roman" w:hAnsi="Times New Roman" w:cs="Times New Roman"/>
          <w:sz w:val="24"/>
          <w:szCs w:val="24"/>
        </w:rPr>
        <w:t xml:space="preserve">a tag </w:t>
      </w:r>
      <w:r w:rsidRPr="00FA4372">
        <w:rPr>
          <w:rFonts w:ascii="Times New Roman" w:hAnsi="Times New Roman" w:cs="Times New Roman"/>
          <w:sz w:val="24"/>
          <w:szCs w:val="24"/>
        </w:rPr>
        <w:t>que quando colocad</w:t>
      </w:r>
      <w:r w:rsidR="00010189">
        <w:rPr>
          <w:rFonts w:ascii="Times New Roman" w:hAnsi="Times New Roman" w:cs="Times New Roman"/>
          <w:sz w:val="24"/>
          <w:szCs w:val="24"/>
        </w:rPr>
        <w:t>a</w:t>
      </w:r>
      <w:r w:rsidRPr="00FA4372">
        <w:rPr>
          <w:rFonts w:ascii="Times New Roman" w:hAnsi="Times New Roman" w:cs="Times New Roman"/>
          <w:sz w:val="24"/>
          <w:szCs w:val="24"/>
        </w:rPr>
        <w:t xml:space="preserve">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4A81049C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>ão é</w:t>
      </w:r>
      <w:r w:rsidR="00F519C2">
        <w:rPr>
          <w:rFonts w:ascii="Times New Roman" w:hAnsi="Times New Roman" w:cs="Times New Roman"/>
          <w:sz w:val="24"/>
          <w:szCs w:val="24"/>
        </w:rPr>
        <w:t>:</w:t>
      </w:r>
      <w:r w:rsidRPr="005277A9">
        <w:rPr>
          <w:rFonts w:ascii="Times New Roman" w:hAnsi="Times New Roman" w:cs="Times New Roman"/>
          <w:sz w:val="24"/>
          <w:szCs w:val="24"/>
        </w:rPr>
        <w:t xml:space="preserve"> primeiro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03AB23C2" w:rsidR="00CE3DBA" w:rsidRDefault="00124F62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Comandos:</w:t>
      </w:r>
    </w:p>
    <w:p w14:paraId="57877F33" w14:textId="2AFF714A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67ECCEC" w14:textId="6EB9AAB2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 w:rsidR="005B1839">
        <w:rPr>
          <w:rFonts w:ascii="Times New Roman" w:hAnsi="Times New Roman" w:cs="Times New Roman"/>
          <w:sz w:val="24"/>
          <w:szCs w:val="24"/>
        </w:rPr>
        <w:t>. Condição composta</w:t>
      </w:r>
    </w:p>
    <w:sectPr w:rsidR="00124F62" w:rsidRPr="0012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10189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7D06"/>
    <w:rsid w:val="008D1B16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C6BCB"/>
    <w:rsid w:val="00E06EE4"/>
    <w:rsid w:val="00E32DEC"/>
    <w:rsid w:val="00E408CE"/>
    <w:rsid w:val="00E57F40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519C2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14</Pages>
  <Words>3216</Words>
  <Characters>17367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206</cp:revision>
  <dcterms:created xsi:type="dcterms:W3CDTF">2020-08-07T19:42:00Z</dcterms:created>
  <dcterms:modified xsi:type="dcterms:W3CDTF">2021-03-30T14:08:00Z</dcterms:modified>
</cp:coreProperties>
</file>