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lastRenderedPageBreak/>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lastRenderedPageBreak/>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264AD3A8" w14:textId="1D729E27" w:rsidR="008F4C88" w:rsidRPr="008F4C88" w:rsidRDefault="008F4C88">
      <w:pPr>
        <w:numPr>
          <w:ilvl w:val="0"/>
          <w:numId w:val="4"/>
        </w:numPr>
        <w:jc w:val="both"/>
        <w:rPr>
          <w:rFonts w:ascii="Lora" w:eastAsia="Lora" w:hAnsi="Lora" w:cs="Lora"/>
          <w:sz w:val="20"/>
          <w:szCs w:val="20"/>
          <w:highlight w:val="magenta"/>
        </w:rPr>
      </w:pPr>
      <w:r w:rsidRPr="008F4C88">
        <w:rPr>
          <w:rFonts w:ascii="Lora" w:eastAsia="Lora" w:hAnsi="Lora" w:cs="Lora"/>
          <w:sz w:val="20"/>
          <w:szCs w:val="20"/>
          <w:highlight w:val="magenta"/>
        </w:rPr>
        <w:t>Pridat graf pre over/under fitting</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Stratégie riešenia chýbajúcich hodnôt a outlierov;</w:t>
      </w:r>
    </w:p>
    <w:p w14:paraId="00000082"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Či dátová transformácia (scaling, transformer, …) zlepší accuracy klasifikácie;</w:t>
      </w:r>
    </w:p>
    <w:p w14:paraId="00000083"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 xml:space="preserve">(1b) Výber atribútov a výber algoritmov strojového učenia, či majú vplyv na výkonnosť (presnosť a run-time) </w:t>
      </w:r>
    </w:p>
    <w:p w14:paraId="00000084"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Hyperparameter tuning resp. ensemble learning.</w:t>
      </w:r>
    </w:p>
    <w:p w14:paraId="00000085" w14:textId="77777777" w:rsidR="003267A0" w:rsidRDefault="00000000">
      <w:pPr>
        <w:numPr>
          <w:ilvl w:val="0"/>
          <w:numId w:val="5"/>
        </w:numPr>
        <w:jc w:val="both"/>
        <w:rPr>
          <w:rFonts w:ascii="Lora" w:eastAsia="Lora" w:hAnsi="Lora" w:cs="Lora"/>
        </w:rPr>
      </w:pPr>
      <w:r>
        <w:rPr>
          <w:rFonts w:ascii="Lora" w:eastAsia="Lora" w:hAnsi="Lora" w:cs="Lora"/>
          <w:sz w:val="20"/>
          <w:szCs w:val="20"/>
        </w:rPr>
        <w:t xml:space="preserve">(1b) Ktoré spôsoby z hore-uvedených bodov sa ukázali ako učinné pre Váš dataset? Ktorý model je Váš </w:t>
      </w:r>
      <w:r>
        <w:rPr>
          <w:rFonts w:ascii="Lora" w:eastAsia="Lora" w:hAnsi="Lora" w:cs="Lora"/>
          <w:b/>
          <w:sz w:val="20"/>
          <w:szCs w:val="20"/>
        </w:rPr>
        <w:t>najlepší model</w:t>
      </w:r>
      <w:r>
        <w:rPr>
          <w:rFonts w:ascii="Lora" w:eastAsia="Lora" w:hAnsi="Lora" w:cs="Lora"/>
          <w:sz w:val="20"/>
          <w:szCs w:val="20"/>
        </w:rPr>
        <w:t xml:space="preserve"> pre nasadenie (deployment)? Aký je </w:t>
      </w:r>
      <w:r>
        <w:rPr>
          <w:rFonts w:ascii="Lora" w:eastAsia="Lora" w:hAnsi="Lora" w:cs="Lora"/>
          <w:b/>
          <w:sz w:val="20"/>
          <w:szCs w:val="20"/>
        </w:rPr>
        <w:t>data pipeline</w:t>
      </w:r>
      <w:r>
        <w:rPr>
          <w:rFonts w:ascii="Lora" w:eastAsia="Lora" w:hAnsi="Lora" w:cs="Lora"/>
          <w:sz w:val="20"/>
          <w:szCs w:val="20"/>
        </w:rPr>
        <w:t xml:space="preserve"> pre jeho vybudovanie na základe Vášho datasetu v produkcii?</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lastRenderedPageBreak/>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2461DB"/>
    <w:rsid w:val="00250AA2"/>
    <w:rsid w:val="002D2D14"/>
    <w:rsid w:val="003267A0"/>
    <w:rsid w:val="003D31FD"/>
    <w:rsid w:val="004A7207"/>
    <w:rsid w:val="008F4C88"/>
    <w:rsid w:val="00AC49B7"/>
    <w:rsid w:val="00AE482E"/>
    <w:rsid w:val="00AE51F8"/>
    <w:rsid w:val="00B4081B"/>
    <w:rsid w:val="00D50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5049</TotalTime>
  <Pages>6</Pages>
  <Words>1868</Words>
  <Characters>10650</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6</cp:revision>
  <dcterms:created xsi:type="dcterms:W3CDTF">2023-11-20T14:42:00Z</dcterms:created>
  <dcterms:modified xsi:type="dcterms:W3CDTF">2023-11-28T01:00:00Z</dcterms:modified>
</cp:coreProperties>
</file>