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7CC0" w14:textId="77777777" w:rsidR="00A2745B" w:rsidRDefault="00000000">
      <w:pPr>
        <w:spacing w:after="240"/>
        <w:jc w:val="center"/>
      </w:pPr>
      <w:r>
        <w:rPr>
          <w:b/>
          <w:bCs/>
          <w:sz w:val="24"/>
          <w:szCs w:val="24"/>
        </w:rPr>
        <w:t>ANÁLISE FUNDAMENTALISTA E DASHBOARD ANALÍTICO DE EMPRESAS DO IBOVESPA: um estudo comparativo dos indicadores financeiros de Petrobras, Vale, Itaú Unibanco, WEG e Ambev (2023–2025)</w:t>
      </w:r>
    </w:p>
    <w:p w14:paraId="5CCB7CC1" w14:textId="0919CF93" w:rsidR="00A2745B" w:rsidRDefault="0017297B">
      <w:pPr>
        <w:spacing w:after="40"/>
        <w:jc w:val="center"/>
      </w:pPr>
      <w:r w:rsidRPr="0017297B">
        <w:rPr>
          <w:sz w:val="24"/>
          <w:szCs w:val="24"/>
        </w:rPr>
        <w:t>Arthur Cândido Pimentel</w:t>
      </w:r>
    </w:p>
    <w:p w14:paraId="5CCB7CC2" w14:textId="3E3CE051" w:rsidR="00A2745B" w:rsidRDefault="00621CD7">
      <w:pPr>
        <w:spacing w:after="40"/>
        <w:jc w:val="center"/>
      </w:pPr>
      <w:r w:rsidRPr="00621CD7">
        <w:rPr>
          <w:sz w:val="24"/>
          <w:szCs w:val="24"/>
        </w:rPr>
        <w:t>Bruno Araújo Silva</w:t>
      </w:r>
    </w:p>
    <w:p w14:paraId="5CCB7CC3" w14:textId="3F304020" w:rsidR="00A2745B" w:rsidRDefault="00621CD7">
      <w:pPr>
        <w:spacing w:after="40"/>
        <w:jc w:val="center"/>
      </w:pPr>
      <w:r w:rsidRPr="00621CD7">
        <w:rPr>
          <w:sz w:val="24"/>
          <w:szCs w:val="24"/>
        </w:rPr>
        <w:t>Luis Felipe Siliprande Coelho</w:t>
      </w:r>
    </w:p>
    <w:p w14:paraId="5CCB7CC4" w14:textId="3810282D" w:rsidR="00A2745B" w:rsidRDefault="00CD2CBA">
      <w:pPr>
        <w:spacing w:after="200"/>
        <w:jc w:val="center"/>
      </w:pPr>
      <w:r w:rsidRPr="00CD2CBA">
        <w:rPr>
          <w:sz w:val="24"/>
          <w:szCs w:val="24"/>
        </w:rPr>
        <w:t>Polyana Raquel Dias de Souza Rodrigues</w:t>
      </w:r>
    </w:p>
    <w:p w14:paraId="5CCB7CC5" w14:textId="59110645" w:rsidR="00A2745B" w:rsidRDefault="00000000">
      <w:pPr>
        <w:spacing w:after="300"/>
        <w:jc w:val="center"/>
      </w:pPr>
      <w:r>
        <w:rPr>
          <w:i/>
          <w:iCs/>
          <w:sz w:val="24"/>
          <w:szCs w:val="24"/>
        </w:rPr>
        <w:t xml:space="preserve">Orientador(a): </w:t>
      </w:r>
      <w:r w:rsidR="00CD2CBA">
        <w:rPr>
          <w:i/>
          <w:iCs/>
          <w:sz w:val="24"/>
          <w:szCs w:val="24"/>
        </w:rPr>
        <w:t>James</w:t>
      </w:r>
      <w:r w:rsidR="00AE25CA">
        <w:rPr>
          <w:i/>
          <w:iCs/>
          <w:sz w:val="24"/>
          <w:szCs w:val="24"/>
        </w:rPr>
        <w:t xml:space="preserve"> Junior</w:t>
      </w:r>
    </w:p>
    <w:p w14:paraId="5CCB7CC6" w14:textId="77777777" w:rsidR="00A2745B" w:rsidRDefault="00000000">
      <w:pPr>
        <w:spacing w:before="240" w:after="120"/>
      </w:pPr>
      <w:r>
        <w:rPr>
          <w:b/>
          <w:bCs/>
          <w:sz w:val="24"/>
          <w:szCs w:val="24"/>
        </w:rPr>
        <w:t>RESUMO</w:t>
      </w:r>
    </w:p>
    <w:p w14:paraId="5CCB7CC7" w14:textId="77777777" w:rsidR="00A2745B" w:rsidRDefault="00000000">
      <w:pPr>
        <w:spacing w:after="120"/>
        <w:jc w:val="both"/>
      </w:pPr>
      <w:r>
        <w:rPr>
          <w:sz w:val="24"/>
          <w:szCs w:val="24"/>
        </w:rPr>
        <w:t>Este artigo apresenta o desenvolvimento de um dashboard analítico e a realização de uma análise fundamentalista comparativa de cinco empresas listadas no índice Ibovespa: Petrobras (PETR4), Vale (VALE3), Itaú Unibanco (ITUB4), WEG (WEGE3) e Ambev (ABEV3), representativas dos setores de petróleo e gás, mineração, bancos, bens de capital e bebidas, respectivamente. Foram coletados dados financeiros e de cotação referentes aos exercícios de 2023, 2024 e 2025, estruturados em um banco de dados relacional (SQLite), a partir do qual foram calculados sete indicadores fundamentalistas: Preço/Lucro (P/L), Preço/Valor Patrimonial (P/VP), Retorno sobre o Patrimônio Líquido (ROE), Retorno sobre os Ativos (ROA), Dividend Yield, Margem Líquida e Crescimento de Receita. Com base nessa estrutura, foi construído um dashboard no Power BI contendo gráfico de linha com drill-down de ano até o nível diário, gráfico de colunas comparativo, matriz de indicadores e cartões de KPI. Os resultados evidenciam perfis de risco e retorno distintos entre as empresas: Petrobras e Vale, como companhias de base em commodities, apresentam maior volatilidade de margens e Dividend Yield mais elevado; Itaú Unibanco mostra estabilidade de rentabilidade típica do setor bancário; WEG se destaca por múltiplos de mercado mais altos, associados a crescimento consistente de receita; e Ambev demonstra o perfil mais defensivo do grupo. Conclui-se que a combinação de banco de dados estruturado, indicadores fundamentalistas e visualização interativa permite uma leitura mais rica do desempenho histórico dessas companhias do que a análise isolada de cada fonte de dados.</w:t>
      </w:r>
    </w:p>
    <w:p w14:paraId="5CCB7CC8" w14:textId="77777777" w:rsidR="00A2745B" w:rsidRDefault="00000000">
      <w:pPr>
        <w:spacing w:after="120"/>
        <w:jc w:val="both"/>
      </w:pPr>
      <w:r>
        <w:rPr>
          <w:sz w:val="24"/>
          <w:szCs w:val="24"/>
        </w:rPr>
        <w:t>Palavras-chave: Análise fundamentalista. Dashboard analítico. Ibovespa. Power BI. Indicadores financeiros.</w:t>
      </w:r>
    </w:p>
    <w:p w14:paraId="5CCB7CC9" w14:textId="77777777" w:rsidR="00A2745B" w:rsidRDefault="00000000">
      <w:pPr>
        <w:spacing w:before="240" w:after="120"/>
      </w:pPr>
      <w:r>
        <w:rPr>
          <w:b/>
          <w:bCs/>
          <w:sz w:val="24"/>
          <w:szCs w:val="24"/>
        </w:rPr>
        <w:t>ABSTRACT</w:t>
      </w:r>
    </w:p>
    <w:p w14:paraId="5CCB7CCA" w14:textId="77777777" w:rsidR="00A2745B" w:rsidRDefault="00000000">
      <w:pPr>
        <w:spacing w:after="120"/>
        <w:jc w:val="both"/>
      </w:pPr>
      <w:r>
        <w:rPr>
          <w:sz w:val="24"/>
          <w:szCs w:val="24"/>
        </w:rPr>
        <w:t xml:space="preserve">This article presents the development of an analytical dashboard and a comparative fundamentalist analysis of five companies listed on the Ibovespa index: Petrobras (PETR4), Vale (VALE3), Itaú Unibanco (ITUB4), WEG (WEGE3) and Ambev (ABEV3), representing the oil and gas, mining, banking, capital goods and beverages sectors, respectively. Financial and price data covering fiscal years 2023, 2024 and 2025 were collected and structured in a relational database (SQLite), from which seven fundamentalist indicators were calculated: Price/Earnings (P/E), Price/Book Value (P/B), Return on Equity (ROE), Return on Assets (ROA), Dividend Yield, Net Margin and Revenue Growth. Based on this structure, a Power BI dashboard was built featuring a line chart with year-to-day drill-down, a comparative column chart, an indicator matrix and KPI cards. Results show distinct risk and return profiles: Petrobras and Vale, as commodity-based companies, present higher margin volatility and higher dividend yield; Itaú Unibanco shows the profitability stability typical of the banking sector; WEG stands out with higher market multiples associated with consistent revenue growth; and Ambev shows the most defensive profile of the group. The study concludes that </w:t>
      </w:r>
      <w:r>
        <w:rPr>
          <w:sz w:val="24"/>
          <w:szCs w:val="24"/>
        </w:rPr>
        <w:lastRenderedPageBreak/>
        <w:t>combining a structured database, fundamentalist indicators and interactive visualization provides a richer reading of these companies' historical performance than isolated analysis of each data source.</w:t>
      </w:r>
    </w:p>
    <w:p w14:paraId="5CCB7CCB" w14:textId="77777777" w:rsidR="00A2745B" w:rsidRDefault="00000000">
      <w:pPr>
        <w:spacing w:after="120"/>
        <w:jc w:val="both"/>
      </w:pPr>
      <w:r>
        <w:rPr>
          <w:sz w:val="24"/>
          <w:szCs w:val="24"/>
        </w:rPr>
        <w:t>Keywords: Fundamentalist analysis. Analytical dashboard. Ibovespa. Power BI. Financial indicators.</w:t>
      </w:r>
    </w:p>
    <w:p w14:paraId="5CCB7CCC" w14:textId="77777777" w:rsidR="00A2745B" w:rsidRDefault="00000000">
      <w:pPr>
        <w:spacing w:before="240" w:after="120"/>
      </w:pPr>
      <w:r>
        <w:rPr>
          <w:b/>
          <w:bCs/>
          <w:sz w:val="24"/>
          <w:szCs w:val="24"/>
        </w:rPr>
        <w:t>1 INTRODUÇÃO</w:t>
      </w:r>
    </w:p>
    <w:p w14:paraId="5CCB7CCD" w14:textId="77777777" w:rsidR="00A2745B" w:rsidRDefault="00000000">
      <w:pPr>
        <w:spacing w:after="120"/>
        <w:jc w:val="both"/>
      </w:pPr>
      <w:r>
        <w:rPr>
          <w:sz w:val="24"/>
          <w:szCs w:val="24"/>
        </w:rPr>
        <w:t>A análise fundamentalista é uma das principais abordagens utilizadas por investidores, analistas e gestores para avaliar a saúde financeira e o potencial de valorização de uma empresa negociada em bolsa. Diferentemente da análise técnica, que se concentra no comportamento histórico dos preços, a análise fundamentalista busca compreender o valor intrínseco de uma companhia a partir de seus demonstrativos contábeis, de sua eficiência operacional, de sua estrutura de capital e de sua capacidade de geração de lucro e de caixa (ASSAF NETO, 2018).</w:t>
      </w:r>
    </w:p>
    <w:p w14:paraId="5CCB7CCE" w14:textId="77777777" w:rsidR="00A2745B" w:rsidRDefault="00000000">
      <w:pPr>
        <w:spacing w:after="120"/>
        <w:jc w:val="both"/>
      </w:pPr>
      <w:r>
        <w:rPr>
          <w:sz w:val="24"/>
          <w:szCs w:val="24"/>
        </w:rPr>
        <w:t>O mercado acionário brasileiro tem no Ibovespa o seu principal indicador de desempenho, reunindo as ações mais negociadas na B3. Empresas de setores distintos — como energia, mineração, sistema financeiro, bens de capital e bens de consumo — convivem nesse índice com estruturas de capital, margens e ciclos de negócio muito diferentes entre si, o que torna a comparação direta de indicadores fundamentalistas uma ferramenta relevante para entender essas diferenças (INFOMONEY, 2026).</w:t>
      </w:r>
    </w:p>
    <w:p w14:paraId="5CCB7CCF" w14:textId="77777777" w:rsidR="00A2745B" w:rsidRDefault="00000000">
      <w:pPr>
        <w:spacing w:after="120"/>
        <w:jc w:val="both"/>
      </w:pPr>
      <w:r>
        <w:rPr>
          <w:sz w:val="24"/>
          <w:szCs w:val="24"/>
        </w:rPr>
        <w:t>O presente trabalho tem como objetivo geral realizar uma análise exploratória de cinco empresas que compõem o Ibovespa, a partir da coleta e estruturação de dados financeiros dos últimos três anos, do cálculo de indicadores fundamentalistas e da construção de um dashboard analítico no Power BI. Especificamente, buscou-se: (a) selecionar empresas de setores diversos para enriquecer a comparação; (b) estruturar os dados coletados em um banco de dados relacional; (c) calcular e interpretar sete indicadores fundamentalistas por empresa e por ano; e (d) construir visualizações interativas que permitam o acompanhamento do preço das ações com drill-down do nível anual até o nível diário.</w:t>
      </w:r>
    </w:p>
    <w:p w14:paraId="5CCB7CD0" w14:textId="77777777" w:rsidR="00A2745B" w:rsidRDefault="00000000">
      <w:pPr>
        <w:spacing w:after="120"/>
        <w:jc w:val="both"/>
      </w:pPr>
      <w:r>
        <w:rPr>
          <w:sz w:val="24"/>
          <w:szCs w:val="24"/>
        </w:rPr>
        <w:t>Este artigo está organizado em seis seções, além desta introdução. A seção 2 descreve a metodologia de coleta e estruturação dos dados. A seção 3 apresenta a construção e as fórmulas dos indicadores fundamentalistas utilizados. A seção 4 detalha o desenvolvimento do dashboard no Power BI. A seção 5 traz a análise interpretativa dos resultados obtidos. Por fim, a seção 6 apresenta as considerações finais do trabalho.</w:t>
      </w:r>
    </w:p>
    <w:p w14:paraId="5CCB7CD1" w14:textId="77777777" w:rsidR="00A2745B" w:rsidRDefault="00000000">
      <w:pPr>
        <w:spacing w:before="240" w:after="120"/>
      </w:pPr>
      <w:r>
        <w:rPr>
          <w:b/>
          <w:bCs/>
          <w:sz w:val="24"/>
          <w:szCs w:val="24"/>
        </w:rPr>
        <w:t>2 METODOLOGIA DE COLETA DE DADOS</w:t>
      </w:r>
    </w:p>
    <w:p w14:paraId="5CCB7CD2" w14:textId="77777777" w:rsidR="00A2745B" w:rsidRDefault="00000000">
      <w:pPr>
        <w:spacing w:before="200" w:after="100"/>
      </w:pPr>
      <w:r>
        <w:rPr>
          <w:sz w:val="24"/>
          <w:szCs w:val="24"/>
        </w:rPr>
        <w:t>2.1 Seleção das empresas</w:t>
      </w:r>
    </w:p>
    <w:p w14:paraId="5CCB7CD3" w14:textId="77777777" w:rsidR="00A2745B" w:rsidRDefault="00000000">
      <w:pPr>
        <w:spacing w:after="120"/>
        <w:jc w:val="both"/>
      </w:pPr>
      <w:r>
        <w:rPr>
          <w:sz w:val="24"/>
          <w:szCs w:val="24"/>
        </w:rPr>
        <w:t>Foram selecionadas cinco empresas listadas no Ibovespa, escolhidas de modo a representar setores econômicos distintos e, com isso, favorecer a comparação de perfis fundamentalistas diferentes: Petrobras (PETR4), do setor de petróleo e gás; Vale (VALE3), do setor de mineração; Itaú Unibanco (ITUB4), do setor bancário; WEG (WEGE3), do setor de bens de capital (máquinas e equipamentos); e Ambev (ABEV3), do setor de bebidas. Os critérios de seleção consideraram a relevância de cada empresa na composição do índice, a liquidez das ações negociadas na B3 e a disponibilidade de dados públicos consolidados para o período analisado.</w:t>
      </w:r>
    </w:p>
    <w:p w14:paraId="5CCB7CD4" w14:textId="77777777" w:rsidR="00A2745B" w:rsidRDefault="00000000">
      <w:pPr>
        <w:spacing w:before="200" w:after="100"/>
      </w:pPr>
      <w:r>
        <w:rPr>
          <w:sz w:val="24"/>
          <w:szCs w:val="24"/>
        </w:rPr>
        <w:t>2.2 Fontes de dados</w:t>
      </w:r>
    </w:p>
    <w:p w14:paraId="5CCB7CD5" w14:textId="77777777" w:rsidR="00A2745B" w:rsidRDefault="00000000">
      <w:pPr>
        <w:spacing w:after="120"/>
        <w:jc w:val="both"/>
      </w:pPr>
      <w:r>
        <w:rPr>
          <w:sz w:val="24"/>
          <w:szCs w:val="24"/>
        </w:rPr>
        <w:t xml:space="preserve">Os dados fundamentalistas (P/L, P/VP, ROE, ROA, Dividend Yield, Margem Líquida e Crescimento de Receita) foram consolidados a partir de fontes públicas de referência do </w:t>
      </w:r>
      <w:r>
        <w:rPr>
          <w:sz w:val="24"/>
          <w:szCs w:val="24"/>
        </w:rPr>
        <w:lastRenderedPageBreak/>
        <w:t>mercado brasileiro, entre elas o StatusInvest, o Fundamentus e o Investidor10, tomando como data de referência agosto de 2026 (STATUS INVEST, 2026; FUNDAMENTUS, 2026; INVESTIDOR10, 2026). Já a série histórica de preços diários (abertura, máximo, mínimo, fechamento e volume) foi obtida por meio da biblioteca Python yfinance, que consulta os dados públicos de cotação da Yahoo Finance para ativos negociados na B3 (RANARO, 2026).</w:t>
      </w:r>
    </w:p>
    <w:p w14:paraId="5CCB7CD6" w14:textId="77777777" w:rsidR="00A2745B" w:rsidRDefault="00000000">
      <w:pPr>
        <w:spacing w:after="120"/>
        <w:jc w:val="both"/>
      </w:pPr>
      <w:r>
        <w:rPr>
          <w:sz w:val="24"/>
          <w:szCs w:val="24"/>
        </w:rPr>
        <w:t>O período de coleta abrange os últimos três exercícios fiscais completos (2023, 2024 e 2025) para os indicadores anuais, e os últimos três anos corridos de pregões para a série diária de preços, o que possibilita tanto a análise da evolução dos fundamentos quanto o acompanhamento detalhado da variação de cotação.</w:t>
      </w:r>
    </w:p>
    <w:p w14:paraId="5CCB7CD7" w14:textId="77777777" w:rsidR="00A2745B" w:rsidRDefault="00000000">
      <w:pPr>
        <w:spacing w:before="200" w:after="100"/>
      </w:pPr>
      <w:r>
        <w:rPr>
          <w:sz w:val="24"/>
          <w:szCs w:val="24"/>
        </w:rPr>
        <w:t>2.3 Estruturação do banco de dados</w:t>
      </w:r>
    </w:p>
    <w:p w14:paraId="5CCB7CD8" w14:textId="77777777" w:rsidR="00A2745B" w:rsidRDefault="00000000">
      <w:pPr>
        <w:spacing w:after="120"/>
        <w:jc w:val="both"/>
      </w:pPr>
      <w:r>
        <w:rPr>
          <w:sz w:val="24"/>
          <w:szCs w:val="24"/>
        </w:rPr>
        <w:t>Os dados coletados foram estruturados em um banco de dados relacional SQLite, composto por três tabelas principais. A tabela empresas armazena o cadastro das companhias (ticker, nome, setor, segmento B3 e tipo de ação). A tabela indicadores_anuais armazena, para cada empresa e ano, os sete indicadores fundamentalistas calculados. A tabela cotacoes_diarias armazena a série diária de preços, já com colunas auxiliares de ano, mês e trimestre, utilizadas para viabilizar a hierarquia de drill-down no Power BI. A carga do banco foi automatizada por meio de um script Python (pandas + sqlite3), o que garante que a base possa ser facilmente atualizada quando novos dados forem coletados.</w:t>
      </w:r>
    </w:p>
    <w:p w14:paraId="5CCB7CD9" w14:textId="77777777" w:rsidR="00A2745B" w:rsidRDefault="00000000">
      <w:pPr>
        <w:spacing w:after="120"/>
        <w:jc w:val="both"/>
      </w:pPr>
      <w:r>
        <w:rPr>
          <w:sz w:val="24"/>
          <w:szCs w:val="24"/>
        </w:rPr>
        <w:t>Ressalva-se, como limitação metodológica, que os indicadores fundamentalistas consolidados neste artigo representam um retrato de referência construído a partir de fontes públicas em uma data específica; recomenda-se, para fins de acompanhamento contínuo, a reexecução periódica da coleta, de modo a refletir eventuais revisões contábeis e a divulgação de novos resultados trimestrais.</w:t>
      </w:r>
    </w:p>
    <w:p w14:paraId="5CCB7CDA" w14:textId="77777777" w:rsidR="00A2745B" w:rsidRDefault="00000000">
      <w:pPr>
        <w:spacing w:before="240" w:after="120"/>
      </w:pPr>
      <w:r>
        <w:rPr>
          <w:b/>
          <w:bCs/>
          <w:sz w:val="24"/>
          <w:szCs w:val="24"/>
        </w:rPr>
        <w:t>3 CONSTRUÇÃO DOS INDICADORES</w:t>
      </w:r>
    </w:p>
    <w:p w14:paraId="5CCB7CDB" w14:textId="77777777" w:rsidR="00A2745B" w:rsidRDefault="00000000">
      <w:pPr>
        <w:spacing w:after="120"/>
        <w:jc w:val="both"/>
      </w:pPr>
      <w:r>
        <w:rPr>
          <w:sz w:val="24"/>
          <w:szCs w:val="24"/>
        </w:rPr>
        <w:t>Foram selecionados sete indicadores fundamentalistas, escolhidos por complementarem três dimensões de análise: valuation (quanto o mercado paga pela empresa), rentabilidade (quanto a empresa gera de retorno) e crescimento (como a empresa evolui ao longo do tempo).</w:t>
      </w:r>
    </w:p>
    <w:p w14:paraId="5CCB7CDC" w14:textId="77777777" w:rsidR="00A2745B" w:rsidRDefault="00000000">
      <w:pPr>
        <w:spacing w:after="120"/>
        <w:jc w:val="both"/>
      </w:pPr>
      <w:r>
        <w:rPr>
          <w:sz w:val="24"/>
          <w:szCs w:val="24"/>
        </w:rPr>
        <w:t>O indicador Preço/Lucro (P/L) relaciona o preço da ação ao lucro por ação e indica, de forma simplificada, quantos anos de lucro atual seriam necessários para pagar o preço pago pela ação; valores mais baixos costumam indicar ações mais baratas em relação ao lucro gerado, mas também podem refletir maior risco percebido pelo mercado (DAMODARAN, 2010). O indicador Preço/Valor Patrimonial (P/VP) compara o preço de mercado ao patrimônio líquido por ação, sinalizando se a ação é negociada com ágio ou deságio em relação ao seu valor contábil.</w:t>
      </w:r>
    </w:p>
    <w:p w14:paraId="5CCB7CDD" w14:textId="77777777" w:rsidR="00A2745B" w:rsidRDefault="00000000">
      <w:pPr>
        <w:spacing w:after="120"/>
        <w:jc w:val="both"/>
      </w:pPr>
      <w:r>
        <w:rPr>
          <w:sz w:val="24"/>
          <w:szCs w:val="24"/>
        </w:rPr>
        <w:t>O Retorno sobre o Patrimônio Líquido (ROE) mede a rentabilidade gerada sobre o capital próprio investido pelos acionistas, sendo um dos indicadores mais utilizados para avaliar a eficiência da administração na geração de valor. O Retorno sobre os Ativos (ROA) mede a rentabilidade sobre o total de ativos da empresa, sendo especialmente relevante para comparar empresas com estruturas de capital diferentes, como é o caso de bancos frente a empresas industriais.</w:t>
      </w:r>
    </w:p>
    <w:p w14:paraId="5CCB7CDE" w14:textId="77777777" w:rsidR="00A2745B" w:rsidRDefault="00000000">
      <w:pPr>
        <w:spacing w:after="120"/>
        <w:jc w:val="both"/>
      </w:pPr>
      <w:r>
        <w:rPr>
          <w:sz w:val="24"/>
          <w:szCs w:val="24"/>
        </w:rPr>
        <w:t>O Dividend Yield representa o percentual de proventos (dividendos e juros sobre capital próprio) distribuídos em relação ao preço da ação, sendo um indicador relevante para investidores focados em renda. A Margem Líquida mede o percentual de lucro líquido sobre a receita líquida, refletindo a eficiência operacional e a capacidade de conversão de receita em lucro. Por fim, o Crescimento de Receita mede a variação percentual da receita líquida entre exercícios, indicando a capacidade de expansão do negócio.</w:t>
      </w:r>
    </w:p>
    <w:p w14:paraId="5CCB7CDF" w14:textId="77777777" w:rsidR="00A2745B" w:rsidRDefault="00000000">
      <w:pPr>
        <w:spacing w:after="120"/>
        <w:jc w:val="both"/>
      </w:pPr>
      <w:r>
        <w:rPr>
          <w:sz w:val="24"/>
          <w:szCs w:val="24"/>
        </w:rPr>
        <w:lastRenderedPageBreak/>
        <w:t>A Tabela 1 apresenta os valores consolidados desses sete indicadores para as cinco empresas analisadas, nos exercícios de 2023, 2024 e 2025.</w:t>
      </w:r>
    </w:p>
    <w:p w14:paraId="5CCB7CE0" w14:textId="77777777" w:rsidR="00A2745B" w:rsidRDefault="00000000">
      <w:pPr>
        <w:spacing w:before="120" w:after="40"/>
        <w:jc w:val="center"/>
      </w:pPr>
      <w:r>
        <w:rPr>
          <w:b/>
          <w:bCs/>
        </w:rPr>
        <w:t>Tabela 1 – Indicadores fundamentalistas por empresa e ano (2023–2025)</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1673"/>
        <w:gridCol w:w="781"/>
        <w:gridCol w:w="780"/>
        <w:gridCol w:w="780"/>
        <w:gridCol w:w="892"/>
        <w:gridCol w:w="892"/>
        <w:gridCol w:w="780"/>
        <w:gridCol w:w="1003"/>
        <w:gridCol w:w="1115"/>
      </w:tblGrid>
      <w:tr w:rsidR="00A2745B" w14:paraId="5CCB7CEB" w14:textId="77777777">
        <w:tblPrEx>
          <w:tblCellMar>
            <w:top w:w="0" w:type="dxa"/>
            <w:bottom w:w="0" w:type="dxa"/>
          </w:tblCellMar>
        </w:tblPrEx>
        <w:trPr>
          <w:tblHeader/>
        </w:trPr>
        <w:tc>
          <w:tcPr>
            <w:tcW w:w="900" w:type="dxa"/>
            <w:tcBorders>
              <w:top w:val="single" w:sz="4" w:space="0" w:color="000000"/>
              <w:bottom w:val="single" w:sz="4" w:space="0" w:color="000000"/>
            </w:tcBorders>
            <w:shd w:val="clear" w:color="auto" w:fill="D9D9D9"/>
          </w:tcPr>
          <w:p w14:paraId="5CCB7CE1" w14:textId="77777777" w:rsidR="00A2745B" w:rsidRDefault="00000000">
            <w:pPr>
              <w:jc w:val="center"/>
            </w:pPr>
            <w:r>
              <w:rPr>
                <w:b/>
                <w:bCs/>
              </w:rPr>
              <w:t>Ticker</w:t>
            </w:r>
          </w:p>
        </w:tc>
        <w:tc>
          <w:tcPr>
            <w:tcW w:w="1500" w:type="dxa"/>
            <w:tcBorders>
              <w:top w:val="single" w:sz="4" w:space="0" w:color="000000"/>
              <w:bottom w:val="single" w:sz="4" w:space="0" w:color="000000"/>
            </w:tcBorders>
            <w:shd w:val="clear" w:color="auto" w:fill="D9D9D9"/>
          </w:tcPr>
          <w:p w14:paraId="5CCB7CE2" w14:textId="77777777" w:rsidR="00A2745B" w:rsidRDefault="00000000">
            <w:pPr>
              <w:jc w:val="center"/>
            </w:pPr>
            <w:r>
              <w:rPr>
                <w:b/>
                <w:bCs/>
              </w:rPr>
              <w:t>Empresa</w:t>
            </w:r>
          </w:p>
        </w:tc>
        <w:tc>
          <w:tcPr>
            <w:tcW w:w="700" w:type="dxa"/>
            <w:tcBorders>
              <w:top w:val="single" w:sz="4" w:space="0" w:color="000000"/>
              <w:bottom w:val="single" w:sz="4" w:space="0" w:color="000000"/>
            </w:tcBorders>
            <w:shd w:val="clear" w:color="auto" w:fill="D9D9D9"/>
          </w:tcPr>
          <w:p w14:paraId="5CCB7CE3" w14:textId="77777777" w:rsidR="00A2745B" w:rsidRDefault="00000000">
            <w:pPr>
              <w:jc w:val="center"/>
            </w:pPr>
            <w:r>
              <w:rPr>
                <w:b/>
                <w:bCs/>
              </w:rPr>
              <w:t>Ano</w:t>
            </w:r>
          </w:p>
        </w:tc>
        <w:tc>
          <w:tcPr>
            <w:tcW w:w="700" w:type="dxa"/>
            <w:tcBorders>
              <w:top w:val="single" w:sz="4" w:space="0" w:color="000000"/>
              <w:bottom w:val="single" w:sz="4" w:space="0" w:color="000000"/>
            </w:tcBorders>
            <w:shd w:val="clear" w:color="auto" w:fill="D9D9D9"/>
          </w:tcPr>
          <w:p w14:paraId="5CCB7CE4" w14:textId="77777777" w:rsidR="00A2745B" w:rsidRDefault="00000000">
            <w:pPr>
              <w:jc w:val="center"/>
            </w:pPr>
            <w:r>
              <w:rPr>
                <w:b/>
                <w:bCs/>
              </w:rPr>
              <w:t>P/L</w:t>
            </w:r>
          </w:p>
        </w:tc>
        <w:tc>
          <w:tcPr>
            <w:tcW w:w="700" w:type="dxa"/>
            <w:tcBorders>
              <w:top w:val="single" w:sz="4" w:space="0" w:color="000000"/>
              <w:bottom w:val="single" w:sz="4" w:space="0" w:color="000000"/>
            </w:tcBorders>
            <w:shd w:val="clear" w:color="auto" w:fill="D9D9D9"/>
          </w:tcPr>
          <w:p w14:paraId="5CCB7CE5" w14:textId="77777777" w:rsidR="00A2745B" w:rsidRDefault="00000000">
            <w:pPr>
              <w:jc w:val="center"/>
            </w:pPr>
            <w:r>
              <w:rPr>
                <w:b/>
                <w:bCs/>
              </w:rPr>
              <w:t>P/VP</w:t>
            </w:r>
          </w:p>
        </w:tc>
        <w:tc>
          <w:tcPr>
            <w:tcW w:w="800" w:type="dxa"/>
            <w:tcBorders>
              <w:top w:val="single" w:sz="4" w:space="0" w:color="000000"/>
              <w:bottom w:val="single" w:sz="4" w:space="0" w:color="000000"/>
            </w:tcBorders>
            <w:shd w:val="clear" w:color="auto" w:fill="D9D9D9"/>
          </w:tcPr>
          <w:p w14:paraId="5CCB7CE6" w14:textId="77777777" w:rsidR="00A2745B" w:rsidRDefault="00000000">
            <w:pPr>
              <w:jc w:val="center"/>
            </w:pPr>
            <w:r>
              <w:rPr>
                <w:b/>
                <w:bCs/>
              </w:rPr>
              <w:t>ROE</w:t>
            </w:r>
          </w:p>
        </w:tc>
        <w:tc>
          <w:tcPr>
            <w:tcW w:w="800" w:type="dxa"/>
            <w:tcBorders>
              <w:top w:val="single" w:sz="4" w:space="0" w:color="000000"/>
              <w:bottom w:val="single" w:sz="4" w:space="0" w:color="000000"/>
            </w:tcBorders>
            <w:shd w:val="clear" w:color="auto" w:fill="D9D9D9"/>
          </w:tcPr>
          <w:p w14:paraId="5CCB7CE7" w14:textId="77777777" w:rsidR="00A2745B" w:rsidRDefault="00000000">
            <w:pPr>
              <w:jc w:val="center"/>
            </w:pPr>
            <w:r>
              <w:rPr>
                <w:b/>
                <w:bCs/>
              </w:rPr>
              <w:t>ROA</w:t>
            </w:r>
          </w:p>
        </w:tc>
        <w:tc>
          <w:tcPr>
            <w:tcW w:w="700" w:type="dxa"/>
            <w:tcBorders>
              <w:top w:val="single" w:sz="4" w:space="0" w:color="000000"/>
              <w:bottom w:val="single" w:sz="4" w:space="0" w:color="000000"/>
            </w:tcBorders>
            <w:shd w:val="clear" w:color="auto" w:fill="D9D9D9"/>
          </w:tcPr>
          <w:p w14:paraId="5CCB7CE8" w14:textId="77777777" w:rsidR="00A2745B" w:rsidRDefault="00000000">
            <w:pPr>
              <w:jc w:val="center"/>
            </w:pPr>
            <w:r>
              <w:rPr>
                <w:b/>
                <w:bCs/>
              </w:rPr>
              <w:t>DY</w:t>
            </w:r>
          </w:p>
        </w:tc>
        <w:tc>
          <w:tcPr>
            <w:tcW w:w="900" w:type="dxa"/>
            <w:tcBorders>
              <w:top w:val="single" w:sz="4" w:space="0" w:color="000000"/>
              <w:bottom w:val="single" w:sz="4" w:space="0" w:color="000000"/>
            </w:tcBorders>
            <w:shd w:val="clear" w:color="auto" w:fill="D9D9D9"/>
          </w:tcPr>
          <w:p w14:paraId="5CCB7CE9" w14:textId="77777777" w:rsidR="00A2745B" w:rsidRDefault="00000000">
            <w:pPr>
              <w:jc w:val="center"/>
            </w:pPr>
            <w:r>
              <w:rPr>
                <w:b/>
                <w:bCs/>
              </w:rPr>
              <w:t>M. Líq.</w:t>
            </w:r>
          </w:p>
        </w:tc>
        <w:tc>
          <w:tcPr>
            <w:tcW w:w="1000" w:type="dxa"/>
            <w:tcBorders>
              <w:top w:val="single" w:sz="4" w:space="0" w:color="000000"/>
              <w:bottom w:val="single" w:sz="4" w:space="0" w:color="000000"/>
            </w:tcBorders>
            <w:shd w:val="clear" w:color="auto" w:fill="D9D9D9"/>
          </w:tcPr>
          <w:p w14:paraId="5CCB7CEA" w14:textId="77777777" w:rsidR="00A2745B" w:rsidRDefault="00000000">
            <w:pPr>
              <w:jc w:val="center"/>
            </w:pPr>
            <w:r>
              <w:rPr>
                <w:b/>
                <w:bCs/>
              </w:rPr>
              <w:t>Cresc. Rec.</w:t>
            </w:r>
          </w:p>
        </w:tc>
      </w:tr>
      <w:tr w:rsidR="00A2745B" w14:paraId="5CCB7CF6" w14:textId="77777777">
        <w:tblPrEx>
          <w:tblCellMar>
            <w:top w:w="0" w:type="dxa"/>
            <w:bottom w:w="0" w:type="dxa"/>
          </w:tblCellMar>
        </w:tblPrEx>
        <w:tc>
          <w:tcPr>
            <w:tcW w:w="900" w:type="dxa"/>
            <w:tcBorders>
              <w:top w:val="single" w:sz="4" w:space="0" w:color="000000"/>
              <w:bottom w:val="single" w:sz="4" w:space="0" w:color="000000"/>
            </w:tcBorders>
          </w:tcPr>
          <w:p w14:paraId="5CCB7CEC" w14:textId="77777777" w:rsidR="00A2745B" w:rsidRDefault="00000000">
            <w:pPr>
              <w:jc w:val="center"/>
            </w:pPr>
            <w:r>
              <w:t>PETR4</w:t>
            </w:r>
          </w:p>
        </w:tc>
        <w:tc>
          <w:tcPr>
            <w:tcW w:w="1500" w:type="dxa"/>
            <w:tcBorders>
              <w:top w:val="single" w:sz="4" w:space="0" w:color="000000"/>
              <w:bottom w:val="single" w:sz="4" w:space="0" w:color="000000"/>
            </w:tcBorders>
          </w:tcPr>
          <w:p w14:paraId="5CCB7CED" w14:textId="77777777" w:rsidR="00A2745B" w:rsidRDefault="00000000">
            <w:pPr>
              <w:jc w:val="center"/>
            </w:pPr>
            <w:r>
              <w:t>Petrobras</w:t>
            </w:r>
          </w:p>
        </w:tc>
        <w:tc>
          <w:tcPr>
            <w:tcW w:w="700" w:type="dxa"/>
            <w:tcBorders>
              <w:top w:val="single" w:sz="4" w:space="0" w:color="000000"/>
              <w:bottom w:val="single" w:sz="4" w:space="0" w:color="000000"/>
            </w:tcBorders>
          </w:tcPr>
          <w:p w14:paraId="5CCB7CEE" w14:textId="77777777" w:rsidR="00A2745B" w:rsidRDefault="00000000">
            <w:pPr>
              <w:jc w:val="center"/>
            </w:pPr>
            <w:r>
              <w:t>2023</w:t>
            </w:r>
          </w:p>
        </w:tc>
        <w:tc>
          <w:tcPr>
            <w:tcW w:w="700" w:type="dxa"/>
            <w:tcBorders>
              <w:top w:val="single" w:sz="4" w:space="0" w:color="000000"/>
              <w:bottom w:val="single" w:sz="4" w:space="0" w:color="000000"/>
            </w:tcBorders>
          </w:tcPr>
          <w:p w14:paraId="5CCB7CEF" w14:textId="77777777" w:rsidR="00A2745B" w:rsidRDefault="00000000">
            <w:pPr>
              <w:jc w:val="center"/>
            </w:pPr>
            <w:r>
              <w:t>4,0</w:t>
            </w:r>
          </w:p>
        </w:tc>
        <w:tc>
          <w:tcPr>
            <w:tcW w:w="700" w:type="dxa"/>
            <w:tcBorders>
              <w:top w:val="single" w:sz="4" w:space="0" w:color="000000"/>
              <w:bottom w:val="single" w:sz="4" w:space="0" w:color="000000"/>
            </w:tcBorders>
          </w:tcPr>
          <w:p w14:paraId="5CCB7CF0" w14:textId="77777777" w:rsidR="00A2745B" w:rsidRDefault="00000000">
            <w:pPr>
              <w:jc w:val="center"/>
            </w:pPr>
            <w:r>
              <w:t>1,3</w:t>
            </w:r>
          </w:p>
        </w:tc>
        <w:tc>
          <w:tcPr>
            <w:tcW w:w="800" w:type="dxa"/>
            <w:tcBorders>
              <w:top w:val="single" w:sz="4" w:space="0" w:color="000000"/>
              <w:bottom w:val="single" w:sz="4" w:space="0" w:color="000000"/>
            </w:tcBorders>
          </w:tcPr>
          <w:p w14:paraId="5CCB7CF1" w14:textId="77777777" w:rsidR="00A2745B" w:rsidRDefault="00000000">
            <w:pPr>
              <w:jc w:val="center"/>
            </w:pPr>
            <w:r>
              <w:t>32,0%</w:t>
            </w:r>
          </w:p>
        </w:tc>
        <w:tc>
          <w:tcPr>
            <w:tcW w:w="800" w:type="dxa"/>
            <w:tcBorders>
              <w:top w:val="single" w:sz="4" w:space="0" w:color="000000"/>
              <w:bottom w:val="single" w:sz="4" w:space="0" w:color="000000"/>
            </w:tcBorders>
          </w:tcPr>
          <w:p w14:paraId="5CCB7CF2" w14:textId="77777777" w:rsidR="00A2745B" w:rsidRDefault="00000000">
            <w:pPr>
              <w:jc w:val="center"/>
            </w:pPr>
            <w:r>
              <w:t>14,0%</w:t>
            </w:r>
          </w:p>
        </w:tc>
        <w:tc>
          <w:tcPr>
            <w:tcW w:w="700" w:type="dxa"/>
            <w:tcBorders>
              <w:top w:val="single" w:sz="4" w:space="0" w:color="000000"/>
              <w:bottom w:val="single" w:sz="4" w:space="0" w:color="000000"/>
            </w:tcBorders>
          </w:tcPr>
          <w:p w14:paraId="5CCB7CF3" w14:textId="77777777" w:rsidR="00A2745B" w:rsidRDefault="00000000">
            <w:pPr>
              <w:jc w:val="center"/>
            </w:pPr>
            <w:r>
              <w:t>14,0%</w:t>
            </w:r>
          </w:p>
        </w:tc>
        <w:tc>
          <w:tcPr>
            <w:tcW w:w="900" w:type="dxa"/>
            <w:tcBorders>
              <w:top w:val="single" w:sz="4" w:space="0" w:color="000000"/>
              <w:bottom w:val="single" w:sz="4" w:space="0" w:color="000000"/>
            </w:tcBorders>
          </w:tcPr>
          <w:p w14:paraId="5CCB7CF4" w14:textId="77777777" w:rsidR="00A2745B" w:rsidRDefault="00000000">
            <w:pPr>
              <w:jc w:val="center"/>
            </w:pPr>
            <w:r>
              <w:t>19,0%</w:t>
            </w:r>
          </w:p>
        </w:tc>
        <w:tc>
          <w:tcPr>
            <w:tcW w:w="1000" w:type="dxa"/>
            <w:tcBorders>
              <w:top w:val="single" w:sz="4" w:space="0" w:color="000000"/>
              <w:bottom w:val="single" w:sz="4" w:space="0" w:color="000000"/>
            </w:tcBorders>
          </w:tcPr>
          <w:p w14:paraId="5CCB7CF5" w14:textId="77777777" w:rsidR="00A2745B" w:rsidRDefault="00000000">
            <w:pPr>
              <w:jc w:val="center"/>
            </w:pPr>
            <w:r>
              <w:t>-2,0%</w:t>
            </w:r>
          </w:p>
        </w:tc>
      </w:tr>
      <w:tr w:rsidR="00A2745B" w14:paraId="5CCB7D01" w14:textId="77777777">
        <w:tblPrEx>
          <w:tblCellMar>
            <w:top w:w="0" w:type="dxa"/>
            <w:bottom w:w="0" w:type="dxa"/>
          </w:tblCellMar>
        </w:tblPrEx>
        <w:tc>
          <w:tcPr>
            <w:tcW w:w="900" w:type="dxa"/>
            <w:tcBorders>
              <w:top w:val="single" w:sz="4" w:space="0" w:color="000000"/>
              <w:bottom w:val="single" w:sz="4" w:space="0" w:color="000000"/>
            </w:tcBorders>
          </w:tcPr>
          <w:p w14:paraId="5CCB7CF7" w14:textId="77777777" w:rsidR="00A2745B" w:rsidRDefault="00000000">
            <w:pPr>
              <w:jc w:val="center"/>
            </w:pPr>
            <w:r>
              <w:t>PETR4</w:t>
            </w:r>
          </w:p>
        </w:tc>
        <w:tc>
          <w:tcPr>
            <w:tcW w:w="1500" w:type="dxa"/>
            <w:tcBorders>
              <w:top w:val="single" w:sz="4" w:space="0" w:color="000000"/>
              <w:bottom w:val="single" w:sz="4" w:space="0" w:color="000000"/>
            </w:tcBorders>
          </w:tcPr>
          <w:p w14:paraId="5CCB7CF8" w14:textId="77777777" w:rsidR="00A2745B" w:rsidRDefault="00000000">
            <w:pPr>
              <w:jc w:val="center"/>
            </w:pPr>
            <w:r>
              <w:t>Petrobras</w:t>
            </w:r>
          </w:p>
        </w:tc>
        <w:tc>
          <w:tcPr>
            <w:tcW w:w="700" w:type="dxa"/>
            <w:tcBorders>
              <w:top w:val="single" w:sz="4" w:space="0" w:color="000000"/>
              <w:bottom w:val="single" w:sz="4" w:space="0" w:color="000000"/>
            </w:tcBorders>
          </w:tcPr>
          <w:p w14:paraId="5CCB7CF9" w14:textId="77777777" w:rsidR="00A2745B" w:rsidRDefault="00000000">
            <w:pPr>
              <w:jc w:val="center"/>
            </w:pPr>
            <w:r>
              <w:t>2024</w:t>
            </w:r>
          </w:p>
        </w:tc>
        <w:tc>
          <w:tcPr>
            <w:tcW w:w="700" w:type="dxa"/>
            <w:tcBorders>
              <w:top w:val="single" w:sz="4" w:space="0" w:color="000000"/>
              <w:bottom w:val="single" w:sz="4" w:space="0" w:color="000000"/>
            </w:tcBorders>
          </w:tcPr>
          <w:p w14:paraId="5CCB7CFA" w14:textId="77777777" w:rsidR="00A2745B" w:rsidRDefault="00000000">
            <w:pPr>
              <w:jc w:val="center"/>
            </w:pPr>
            <w:r>
              <w:t>5,5</w:t>
            </w:r>
          </w:p>
        </w:tc>
        <w:tc>
          <w:tcPr>
            <w:tcW w:w="700" w:type="dxa"/>
            <w:tcBorders>
              <w:top w:val="single" w:sz="4" w:space="0" w:color="000000"/>
              <w:bottom w:val="single" w:sz="4" w:space="0" w:color="000000"/>
            </w:tcBorders>
          </w:tcPr>
          <w:p w14:paraId="5CCB7CFB" w14:textId="77777777" w:rsidR="00A2745B" w:rsidRDefault="00000000">
            <w:pPr>
              <w:jc w:val="center"/>
            </w:pPr>
            <w:r>
              <w:t>1,2</w:t>
            </w:r>
          </w:p>
        </w:tc>
        <w:tc>
          <w:tcPr>
            <w:tcW w:w="800" w:type="dxa"/>
            <w:tcBorders>
              <w:top w:val="single" w:sz="4" w:space="0" w:color="000000"/>
              <w:bottom w:val="single" w:sz="4" w:space="0" w:color="000000"/>
            </w:tcBorders>
          </w:tcPr>
          <w:p w14:paraId="5CCB7CFC" w14:textId="77777777" w:rsidR="00A2745B" w:rsidRDefault="00000000">
            <w:pPr>
              <w:jc w:val="center"/>
            </w:pPr>
            <w:r>
              <w:t>22,0%</w:t>
            </w:r>
          </w:p>
        </w:tc>
        <w:tc>
          <w:tcPr>
            <w:tcW w:w="800" w:type="dxa"/>
            <w:tcBorders>
              <w:top w:val="single" w:sz="4" w:space="0" w:color="000000"/>
              <w:bottom w:val="single" w:sz="4" w:space="0" w:color="000000"/>
            </w:tcBorders>
          </w:tcPr>
          <w:p w14:paraId="5CCB7CFD" w14:textId="77777777" w:rsidR="00A2745B" w:rsidRDefault="00000000">
            <w:pPr>
              <w:jc w:val="center"/>
            </w:pPr>
            <w:r>
              <w:t>10,0%</w:t>
            </w:r>
          </w:p>
        </w:tc>
        <w:tc>
          <w:tcPr>
            <w:tcW w:w="700" w:type="dxa"/>
            <w:tcBorders>
              <w:top w:val="single" w:sz="4" w:space="0" w:color="000000"/>
              <w:bottom w:val="single" w:sz="4" w:space="0" w:color="000000"/>
            </w:tcBorders>
          </w:tcPr>
          <w:p w14:paraId="5CCB7CFE" w14:textId="77777777" w:rsidR="00A2745B" w:rsidRDefault="00000000">
            <w:pPr>
              <w:jc w:val="center"/>
            </w:pPr>
            <w:r>
              <w:t>10,0%</w:t>
            </w:r>
          </w:p>
        </w:tc>
        <w:tc>
          <w:tcPr>
            <w:tcW w:w="900" w:type="dxa"/>
            <w:tcBorders>
              <w:top w:val="single" w:sz="4" w:space="0" w:color="000000"/>
              <w:bottom w:val="single" w:sz="4" w:space="0" w:color="000000"/>
            </w:tcBorders>
          </w:tcPr>
          <w:p w14:paraId="5CCB7CFF" w14:textId="77777777" w:rsidR="00A2745B" w:rsidRDefault="00000000">
            <w:pPr>
              <w:jc w:val="center"/>
            </w:pPr>
            <w:r>
              <w:t>16,0%</w:t>
            </w:r>
          </w:p>
        </w:tc>
        <w:tc>
          <w:tcPr>
            <w:tcW w:w="1000" w:type="dxa"/>
            <w:tcBorders>
              <w:top w:val="single" w:sz="4" w:space="0" w:color="000000"/>
              <w:bottom w:val="single" w:sz="4" w:space="0" w:color="000000"/>
            </w:tcBorders>
          </w:tcPr>
          <w:p w14:paraId="5CCB7D00" w14:textId="77777777" w:rsidR="00A2745B" w:rsidRDefault="00000000">
            <w:pPr>
              <w:jc w:val="center"/>
            </w:pPr>
            <w:r>
              <w:t>2,0%</w:t>
            </w:r>
          </w:p>
        </w:tc>
      </w:tr>
      <w:tr w:rsidR="00A2745B" w14:paraId="5CCB7D0C" w14:textId="77777777">
        <w:tblPrEx>
          <w:tblCellMar>
            <w:top w:w="0" w:type="dxa"/>
            <w:bottom w:w="0" w:type="dxa"/>
          </w:tblCellMar>
        </w:tblPrEx>
        <w:tc>
          <w:tcPr>
            <w:tcW w:w="900" w:type="dxa"/>
            <w:tcBorders>
              <w:top w:val="single" w:sz="4" w:space="0" w:color="000000"/>
              <w:bottom w:val="single" w:sz="4" w:space="0" w:color="000000"/>
            </w:tcBorders>
          </w:tcPr>
          <w:p w14:paraId="5CCB7D02" w14:textId="77777777" w:rsidR="00A2745B" w:rsidRDefault="00000000">
            <w:pPr>
              <w:jc w:val="center"/>
            </w:pPr>
            <w:r>
              <w:t>PETR4</w:t>
            </w:r>
          </w:p>
        </w:tc>
        <w:tc>
          <w:tcPr>
            <w:tcW w:w="1500" w:type="dxa"/>
            <w:tcBorders>
              <w:top w:val="single" w:sz="4" w:space="0" w:color="000000"/>
              <w:bottom w:val="single" w:sz="4" w:space="0" w:color="000000"/>
            </w:tcBorders>
          </w:tcPr>
          <w:p w14:paraId="5CCB7D03" w14:textId="77777777" w:rsidR="00A2745B" w:rsidRDefault="00000000">
            <w:pPr>
              <w:jc w:val="center"/>
            </w:pPr>
            <w:r>
              <w:t>Petrobras</w:t>
            </w:r>
          </w:p>
        </w:tc>
        <w:tc>
          <w:tcPr>
            <w:tcW w:w="700" w:type="dxa"/>
            <w:tcBorders>
              <w:top w:val="single" w:sz="4" w:space="0" w:color="000000"/>
              <w:bottom w:val="single" w:sz="4" w:space="0" w:color="000000"/>
            </w:tcBorders>
          </w:tcPr>
          <w:p w14:paraId="5CCB7D04" w14:textId="77777777" w:rsidR="00A2745B" w:rsidRDefault="00000000">
            <w:pPr>
              <w:jc w:val="center"/>
            </w:pPr>
            <w:r>
              <w:t>2025</w:t>
            </w:r>
          </w:p>
        </w:tc>
        <w:tc>
          <w:tcPr>
            <w:tcW w:w="700" w:type="dxa"/>
            <w:tcBorders>
              <w:top w:val="single" w:sz="4" w:space="0" w:color="000000"/>
              <w:bottom w:val="single" w:sz="4" w:space="0" w:color="000000"/>
            </w:tcBorders>
          </w:tcPr>
          <w:p w14:paraId="5CCB7D05" w14:textId="77777777" w:rsidR="00A2745B" w:rsidRDefault="00000000">
            <w:pPr>
              <w:jc w:val="center"/>
            </w:pPr>
            <w:r>
              <w:t>4,5</w:t>
            </w:r>
          </w:p>
        </w:tc>
        <w:tc>
          <w:tcPr>
            <w:tcW w:w="700" w:type="dxa"/>
            <w:tcBorders>
              <w:top w:val="single" w:sz="4" w:space="0" w:color="000000"/>
              <w:bottom w:val="single" w:sz="4" w:space="0" w:color="000000"/>
            </w:tcBorders>
          </w:tcPr>
          <w:p w14:paraId="5CCB7D06" w14:textId="77777777" w:rsidR="00A2745B" w:rsidRDefault="00000000">
            <w:pPr>
              <w:jc w:val="center"/>
            </w:pPr>
            <w:r>
              <w:t>1,2</w:t>
            </w:r>
          </w:p>
        </w:tc>
        <w:tc>
          <w:tcPr>
            <w:tcW w:w="800" w:type="dxa"/>
            <w:tcBorders>
              <w:top w:val="single" w:sz="4" w:space="0" w:color="000000"/>
              <w:bottom w:val="single" w:sz="4" w:space="0" w:color="000000"/>
            </w:tcBorders>
          </w:tcPr>
          <w:p w14:paraId="5CCB7D07" w14:textId="77777777" w:rsidR="00A2745B" w:rsidRDefault="00000000">
            <w:pPr>
              <w:jc w:val="center"/>
            </w:pPr>
            <w:r>
              <w:t>24,2%</w:t>
            </w:r>
          </w:p>
        </w:tc>
        <w:tc>
          <w:tcPr>
            <w:tcW w:w="800" w:type="dxa"/>
            <w:tcBorders>
              <w:top w:val="single" w:sz="4" w:space="0" w:color="000000"/>
              <w:bottom w:val="single" w:sz="4" w:space="0" w:color="000000"/>
            </w:tcBorders>
          </w:tcPr>
          <w:p w14:paraId="5CCB7D08" w14:textId="77777777" w:rsidR="00A2745B" w:rsidRDefault="00000000">
            <w:pPr>
              <w:jc w:val="center"/>
            </w:pPr>
            <w:r>
              <w:t>8,7%</w:t>
            </w:r>
          </w:p>
        </w:tc>
        <w:tc>
          <w:tcPr>
            <w:tcW w:w="700" w:type="dxa"/>
            <w:tcBorders>
              <w:top w:val="single" w:sz="4" w:space="0" w:color="000000"/>
              <w:bottom w:val="single" w:sz="4" w:space="0" w:color="000000"/>
            </w:tcBorders>
          </w:tcPr>
          <w:p w14:paraId="5CCB7D09" w14:textId="77777777" w:rsidR="00A2745B" w:rsidRDefault="00000000">
            <w:pPr>
              <w:jc w:val="center"/>
            </w:pPr>
            <w:r>
              <w:t>6,7%</w:t>
            </w:r>
          </w:p>
        </w:tc>
        <w:tc>
          <w:tcPr>
            <w:tcW w:w="900" w:type="dxa"/>
            <w:tcBorders>
              <w:top w:val="single" w:sz="4" w:space="0" w:color="000000"/>
              <w:bottom w:val="single" w:sz="4" w:space="0" w:color="000000"/>
            </w:tcBorders>
          </w:tcPr>
          <w:p w14:paraId="5CCB7D0A" w14:textId="77777777" w:rsidR="00A2745B" w:rsidRDefault="00000000">
            <w:pPr>
              <w:jc w:val="center"/>
            </w:pPr>
            <w:r>
              <w:t>21,7%</w:t>
            </w:r>
          </w:p>
        </w:tc>
        <w:tc>
          <w:tcPr>
            <w:tcW w:w="1000" w:type="dxa"/>
            <w:tcBorders>
              <w:top w:val="single" w:sz="4" w:space="0" w:color="000000"/>
              <w:bottom w:val="single" w:sz="4" w:space="0" w:color="000000"/>
            </w:tcBorders>
          </w:tcPr>
          <w:p w14:paraId="5CCB7D0B" w14:textId="77777777" w:rsidR="00A2745B" w:rsidRDefault="00000000">
            <w:pPr>
              <w:jc w:val="center"/>
            </w:pPr>
            <w:r>
              <w:t>3,0%</w:t>
            </w:r>
          </w:p>
        </w:tc>
      </w:tr>
      <w:tr w:rsidR="00A2745B" w14:paraId="5CCB7D17" w14:textId="77777777">
        <w:tblPrEx>
          <w:tblCellMar>
            <w:top w:w="0" w:type="dxa"/>
            <w:bottom w:w="0" w:type="dxa"/>
          </w:tblCellMar>
        </w:tblPrEx>
        <w:tc>
          <w:tcPr>
            <w:tcW w:w="900" w:type="dxa"/>
            <w:tcBorders>
              <w:top w:val="single" w:sz="4" w:space="0" w:color="000000"/>
              <w:bottom w:val="single" w:sz="4" w:space="0" w:color="000000"/>
            </w:tcBorders>
          </w:tcPr>
          <w:p w14:paraId="5CCB7D0D" w14:textId="77777777" w:rsidR="00A2745B" w:rsidRDefault="00000000">
            <w:pPr>
              <w:jc w:val="center"/>
            </w:pPr>
            <w:r>
              <w:t>VALE3</w:t>
            </w:r>
          </w:p>
        </w:tc>
        <w:tc>
          <w:tcPr>
            <w:tcW w:w="1500" w:type="dxa"/>
            <w:tcBorders>
              <w:top w:val="single" w:sz="4" w:space="0" w:color="000000"/>
              <w:bottom w:val="single" w:sz="4" w:space="0" w:color="000000"/>
            </w:tcBorders>
          </w:tcPr>
          <w:p w14:paraId="5CCB7D0E" w14:textId="77777777" w:rsidR="00A2745B" w:rsidRDefault="00000000">
            <w:pPr>
              <w:jc w:val="center"/>
            </w:pPr>
            <w:r>
              <w:t>Vale</w:t>
            </w:r>
          </w:p>
        </w:tc>
        <w:tc>
          <w:tcPr>
            <w:tcW w:w="700" w:type="dxa"/>
            <w:tcBorders>
              <w:top w:val="single" w:sz="4" w:space="0" w:color="000000"/>
              <w:bottom w:val="single" w:sz="4" w:space="0" w:color="000000"/>
            </w:tcBorders>
          </w:tcPr>
          <w:p w14:paraId="5CCB7D0F" w14:textId="77777777" w:rsidR="00A2745B" w:rsidRDefault="00000000">
            <w:pPr>
              <w:jc w:val="center"/>
            </w:pPr>
            <w:r>
              <w:t>2023</w:t>
            </w:r>
          </w:p>
        </w:tc>
        <w:tc>
          <w:tcPr>
            <w:tcW w:w="700" w:type="dxa"/>
            <w:tcBorders>
              <w:top w:val="single" w:sz="4" w:space="0" w:color="000000"/>
              <w:bottom w:val="single" w:sz="4" w:space="0" w:color="000000"/>
            </w:tcBorders>
          </w:tcPr>
          <w:p w14:paraId="5CCB7D10" w14:textId="77777777" w:rsidR="00A2745B" w:rsidRDefault="00000000">
            <w:pPr>
              <w:jc w:val="center"/>
            </w:pPr>
            <w:r>
              <w:t>7,0</w:t>
            </w:r>
          </w:p>
        </w:tc>
        <w:tc>
          <w:tcPr>
            <w:tcW w:w="700" w:type="dxa"/>
            <w:tcBorders>
              <w:top w:val="single" w:sz="4" w:space="0" w:color="000000"/>
              <w:bottom w:val="single" w:sz="4" w:space="0" w:color="000000"/>
            </w:tcBorders>
          </w:tcPr>
          <w:p w14:paraId="5CCB7D11" w14:textId="77777777" w:rsidR="00A2745B" w:rsidRDefault="00000000">
            <w:pPr>
              <w:jc w:val="center"/>
            </w:pPr>
            <w:r>
              <w:t>1,8</w:t>
            </w:r>
          </w:p>
        </w:tc>
        <w:tc>
          <w:tcPr>
            <w:tcW w:w="800" w:type="dxa"/>
            <w:tcBorders>
              <w:top w:val="single" w:sz="4" w:space="0" w:color="000000"/>
              <w:bottom w:val="single" w:sz="4" w:space="0" w:color="000000"/>
            </w:tcBorders>
          </w:tcPr>
          <w:p w14:paraId="5CCB7D12" w14:textId="77777777" w:rsidR="00A2745B" w:rsidRDefault="00000000">
            <w:pPr>
              <w:jc w:val="center"/>
            </w:pPr>
            <w:r>
              <w:t>24,0%</w:t>
            </w:r>
          </w:p>
        </w:tc>
        <w:tc>
          <w:tcPr>
            <w:tcW w:w="800" w:type="dxa"/>
            <w:tcBorders>
              <w:top w:val="single" w:sz="4" w:space="0" w:color="000000"/>
              <w:bottom w:val="single" w:sz="4" w:space="0" w:color="000000"/>
            </w:tcBorders>
          </w:tcPr>
          <w:p w14:paraId="5CCB7D13" w14:textId="77777777" w:rsidR="00A2745B" w:rsidRDefault="00000000">
            <w:pPr>
              <w:jc w:val="center"/>
            </w:pPr>
            <w:r>
              <w:t>12,0%</w:t>
            </w:r>
          </w:p>
        </w:tc>
        <w:tc>
          <w:tcPr>
            <w:tcW w:w="700" w:type="dxa"/>
            <w:tcBorders>
              <w:top w:val="single" w:sz="4" w:space="0" w:color="000000"/>
              <w:bottom w:val="single" w:sz="4" w:space="0" w:color="000000"/>
            </w:tcBorders>
          </w:tcPr>
          <w:p w14:paraId="5CCB7D14" w14:textId="77777777" w:rsidR="00A2745B" w:rsidRDefault="00000000">
            <w:pPr>
              <w:jc w:val="center"/>
            </w:pPr>
            <w:r>
              <w:t>9,0%</w:t>
            </w:r>
          </w:p>
        </w:tc>
        <w:tc>
          <w:tcPr>
            <w:tcW w:w="900" w:type="dxa"/>
            <w:tcBorders>
              <w:top w:val="single" w:sz="4" w:space="0" w:color="000000"/>
              <w:bottom w:val="single" w:sz="4" w:space="0" w:color="000000"/>
            </w:tcBorders>
          </w:tcPr>
          <w:p w14:paraId="5CCB7D15" w14:textId="77777777" w:rsidR="00A2745B" w:rsidRDefault="00000000">
            <w:pPr>
              <w:jc w:val="center"/>
            </w:pPr>
            <w:r>
              <w:t>19,0%</w:t>
            </w:r>
          </w:p>
        </w:tc>
        <w:tc>
          <w:tcPr>
            <w:tcW w:w="1000" w:type="dxa"/>
            <w:tcBorders>
              <w:top w:val="single" w:sz="4" w:space="0" w:color="000000"/>
              <w:bottom w:val="single" w:sz="4" w:space="0" w:color="000000"/>
            </w:tcBorders>
          </w:tcPr>
          <w:p w14:paraId="5CCB7D16" w14:textId="77777777" w:rsidR="00A2745B" w:rsidRDefault="00000000">
            <w:pPr>
              <w:jc w:val="center"/>
            </w:pPr>
            <w:r>
              <w:t>-2,0%</w:t>
            </w:r>
          </w:p>
        </w:tc>
      </w:tr>
      <w:tr w:rsidR="00A2745B" w14:paraId="5CCB7D22" w14:textId="77777777">
        <w:tblPrEx>
          <w:tblCellMar>
            <w:top w:w="0" w:type="dxa"/>
            <w:bottom w:w="0" w:type="dxa"/>
          </w:tblCellMar>
        </w:tblPrEx>
        <w:tc>
          <w:tcPr>
            <w:tcW w:w="900" w:type="dxa"/>
            <w:tcBorders>
              <w:top w:val="single" w:sz="4" w:space="0" w:color="000000"/>
              <w:bottom w:val="single" w:sz="4" w:space="0" w:color="000000"/>
            </w:tcBorders>
          </w:tcPr>
          <w:p w14:paraId="5CCB7D18" w14:textId="77777777" w:rsidR="00A2745B" w:rsidRDefault="00000000">
            <w:pPr>
              <w:jc w:val="center"/>
            </w:pPr>
            <w:r>
              <w:t>VALE3</w:t>
            </w:r>
          </w:p>
        </w:tc>
        <w:tc>
          <w:tcPr>
            <w:tcW w:w="1500" w:type="dxa"/>
            <w:tcBorders>
              <w:top w:val="single" w:sz="4" w:space="0" w:color="000000"/>
              <w:bottom w:val="single" w:sz="4" w:space="0" w:color="000000"/>
            </w:tcBorders>
          </w:tcPr>
          <w:p w14:paraId="5CCB7D19" w14:textId="77777777" w:rsidR="00A2745B" w:rsidRDefault="00000000">
            <w:pPr>
              <w:jc w:val="center"/>
            </w:pPr>
            <w:r>
              <w:t>Vale</w:t>
            </w:r>
          </w:p>
        </w:tc>
        <w:tc>
          <w:tcPr>
            <w:tcW w:w="700" w:type="dxa"/>
            <w:tcBorders>
              <w:top w:val="single" w:sz="4" w:space="0" w:color="000000"/>
              <w:bottom w:val="single" w:sz="4" w:space="0" w:color="000000"/>
            </w:tcBorders>
          </w:tcPr>
          <w:p w14:paraId="5CCB7D1A" w14:textId="77777777" w:rsidR="00A2745B" w:rsidRDefault="00000000">
            <w:pPr>
              <w:jc w:val="center"/>
            </w:pPr>
            <w:r>
              <w:t>2024</w:t>
            </w:r>
          </w:p>
        </w:tc>
        <w:tc>
          <w:tcPr>
            <w:tcW w:w="700" w:type="dxa"/>
            <w:tcBorders>
              <w:top w:val="single" w:sz="4" w:space="0" w:color="000000"/>
              <w:bottom w:val="single" w:sz="4" w:space="0" w:color="000000"/>
            </w:tcBorders>
          </w:tcPr>
          <w:p w14:paraId="5CCB7D1B" w14:textId="77777777" w:rsidR="00A2745B" w:rsidRDefault="00000000">
            <w:pPr>
              <w:jc w:val="center"/>
            </w:pPr>
            <w:r>
              <w:t>9,0</w:t>
            </w:r>
          </w:p>
        </w:tc>
        <w:tc>
          <w:tcPr>
            <w:tcW w:w="700" w:type="dxa"/>
            <w:tcBorders>
              <w:top w:val="single" w:sz="4" w:space="0" w:color="000000"/>
              <w:bottom w:val="single" w:sz="4" w:space="0" w:color="000000"/>
            </w:tcBorders>
          </w:tcPr>
          <w:p w14:paraId="5CCB7D1C" w14:textId="77777777" w:rsidR="00A2745B" w:rsidRDefault="00000000">
            <w:pPr>
              <w:jc w:val="center"/>
            </w:pPr>
            <w:r>
              <w:t>1,6</w:t>
            </w:r>
          </w:p>
        </w:tc>
        <w:tc>
          <w:tcPr>
            <w:tcW w:w="800" w:type="dxa"/>
            <w:tcBorders>
              <w:top w:val="single" w:sz="4" w:space="0" w:color="000000"/>
              <w:bottom w:val="single" w:sz="4" w:space="0" w:color="000000"/>
            </w:tcBorders>
          </w:tcPr>
          <w:p w14:paraId="5CCB7D1D" w14:textId="77777777" w:rsidR="00A2745B" w:rsidRDefault="00000000">
            <w:pPr>
              <w:jc w:val="center"/>
            </w:pPr>
            <w:r>
              <w:t>17,0%</w:t>
            </w:r>
          </w:p>
        </w:tc>
        <w:tc>
          <w:tcPr>
            <w:tcW w:w="800" w:type="dxa"/>
            <w:tcBorders>
              <w:top w:val="single" w:sz="4" w:space="0" w:color="000000"/>
              <w:bottom w:val="single" w:sz="4" w:space="0" w:color="000000"/>
            </w:tcBorders>
          </w:tcPr>
          <w:p w14:paraId="5CCB7D1E" w14:textId="77777777" w:rsidR="00A2745B" w:rsidRDefault="00000000">
            <w:pPr>
              <w:jc w:val="center"/>
            </w:pPr>
            <w:r>
              <w:t>8,0%</w:t>
            </w:r>
          </w:p>
        </w:tc>
        <w:tc>
          <w:tcPr>
            <w:tcW w:w="700" w:type="dxa"/>
            <w:tcBorders>
              <w:top w:val="single" w:sz="4" w:space="0" w:color="000000"/>
              <w:bottom w:val="single" w:sz="4" w:space="0" w:color="000000"/>
            </w:tcBorders>
          </w:tcPr>
          <w:p w14:paraId="5CCB7D1F" w14:textId="77777777" w:rsidR="00A2745B" w:rsidRDefault="00000000">
            <w:pPr>
              <w:jc w:val="center"/>
            </w:pPr>
            <w:r>
              <w:t>8,5%</w:t>
            </w:r>
          </w:p>
        </w:tc>
        <w:tc>
          <w:tcPr>
            <w:tcW w:w="900" w:type="dxa"/>
            <w:tcBorders>
              <w:top w:val="single" w:sz="4" w:space="0" w:color="000000"/>
              <w:bottom w:val="single" w:sz="4" w:space="0" w:color="000000"/>
            </w:tcBorders>
          </w:tcPr>
          <w:p w14:paraId="5CCB7D20" w14:textId="77777777" w:rsidR="00A2745B" w:rsidRDefault="00000000">
            <w:pPr>
              <w:jc w:val="center"/>
            </w:pPr>
            <w:r>
              <w:t>14,0%</w:t>
            </w:r>
          </w:p>
        </w:tc>
        <w:tc>
          <w:tcPr>
            <w:tcW w:w="1000" w:type="dxa"/>
            <w:tcBorders>
              <w:top w:val="single" w:sz="4" w:space="0" w:color="000000"/>
              <w:bottom w:val="single" w:sz="4" w:space="0" w:color="000000"/>
            </w:tcBorders>
          </w:tcPr>
          <w:p w14:paraId="5CCB7D21" w14:textId="77777777" w:rsidR="00A2745B" w:rsidRDefault="00000000">
            <w:pPr>
              <w:jc w:val="center"/>
            </w:pPr>
            <w:r>
              <w:t>3,0%</w:t>
            </w:r>
          </w:p>
        </w:tc>
      </w:tr>
      <w:tr w:rsidR="00A2745B" w14:paraId="5CCB7D2D" w14:textId="77777777">
        <w:tblPrEx>
          <w:tblCellMar>
            <w:top w:w="0" w:type="dxa"/>
            <w:bottom w:w="0" w:type="dxa"/>
          </w:tblCellMar>
        </w:tblPrEx>
        <w:tc>
          <w:tcPr>
            <w:tcW w:w="900" w:type="dxa"/>
            <w:tcBorders>
              <w:top w:val="single" w:sz="4" w:space="0" w:color="000000"/>
              <w:bottom w:val="single" w:sz="4" w:space="0" w:color="000000"/>
            </w:tcBorders>
          </w:tcPr>
          <w:p w14:paraId="5CCB7D23" w14:textId="77777777" w:rsidR="00A2745B" w:rsidRDefault="00000000">
            <w:pPr>
              <w:jc w:val="center"/>
            </w:pPr>
            <w:r>
              <w:t>VALE3</w:t>
            </w:r>
          </w:p>
        </w:tc>
        <w:tc>
          <w:tcPr>
            <w:tcW w:w="1500" w:type="dxa"/>
            <w:tcBorders>
              <w:top w:val="single" w:sz="4" w:space="0" w:color="000000"/>
              <w:bottom w:val="single" w:sz="4" w:space="0" w:color="000000"/>
            </w:tcBorders>
          </w:tcPr>
          <w:p w14:paraId="5CCB7D24" w14:textId="77777777" w:rsidR="00A2745B" w:rsidRDefault="00000000">
            <w:pPr>
              <w:jc w:val="center"/>
            </w:pPr>
            <w:r>
              <w:t>Vale</w:t>
            </w:r>
          </w:p>
        </w:tc>
        <w:tc>
          <w:tcPr>
            <w:tcW w:w="700" w:type="dxa"/>
            <w:tcBorders>
              <w:top w:val="single" w:sz="4" w:space="0" w:color="000000"/>
              <w:bottom w:val="single" w:sz="4" w:space="0" w:color="000000"/>
            </w:tcBorders>
          </w:tcPr>
          <w:p w14:paraId="5CCB7D25" w14:textId="77777777" w:rsidR="00A2745B" w:rsidRDefault="00000000">
            <w:pPr>
              <w:jc w:val="center"/>
            </w:pPr>
            <w:r>
              <w:t>2025</w:t>
            </w:r>
          </w:p>
        </w:tc>
        <w:tc>
          <w:tcPr>
            <w:tcW w:w="700" w:type="dxa"/>
            <w:tcBorders>
              <w:top w:val="single" w:sz="4" w:space="0" w:color="000000"/>
              <w:bottom w:val="single" w:sz="4" w:space="0" w:color="000000"/>
            </w:tcBorders>
          </w:tcPr>
          <w:p w14:paraId="5CCB7D26" w14:textId="77777777" w:rsidR="00A2745B" w:rsidRDefault="00000000">
            <w:pPr>
              <w:jc w:val="center"/>
            </w:pPr>
            <w:r>
              <w:t>29,3</w:t>
            </w:r>
          </w:p>
        </w:tc>
        <w:tc>
          <w:tcPr>
            <w:tcW w:w="700" w:type="dxa"/>
            <w:tcBorders>
              <w:top w:val="single" w:sz="4" w:space="0" w:color="000000"/>
              <w:bottom w:val="single" w:sz="4" w:space="0" w:color="000000"/>
            </w:tcBorders>
          </w:tcPr>
          <w:p w14:paraId="5CCB7D27" w14:textId="77777777" w:rsidR="00A2745B" w:rsidRDefault="00000000">
            <w:pPr>
              <w:jc w:val="center"/>
            </w:pPr>
            <w:r>
              <w:t>1,69</w:t>
            </w:r>
          </w:p>
        </w:tc>
        <w:tc>
          <w:tcPr>
            <w:tcW w:w="800" w:type="dxa"/>
            <w:tcBorders>
              <w:top w:val="single" w:sz="4" w:space="0" w:color="000000"/>
              <w:bottom w:val="single" w:sz="4" w:space="0" w:color="000000"/>
            </w:tcBorders>
          </w:tcPr>
          <w:p w14:paraId="5CCB7D28" w14:textId="77777777" w:rsidR="00A2745B" w:rsidRDefault="00000000">
            <w:pPr>
              <w:jc w:val="center"/>
            </w:pPr>
            <w:r>
              <w:t>4,4%</w:t>
            </w:r>
          </w:p>
        </w:tc>
        <w:tc>
          <w:tcPr>
            <w:tcW w:w="800" w:type="dxa"/>
            <w:tcBorders>
              <w:top w:val="single" w:sz="4" w:space="0" w:color="000000"/>
              <w:bottom w:val="single" w:sz="4" w:space="0" w:color="000000"/>
            </w:tcBorders>
          </w:tcPr>
          <w:p w14:paraId="5CCB7D29" w14:textId="77777777" w:rsidR="00A2745B" w:rsidRDefault="00000000">
            <w:pPr>
              <w:jc w:val="center"/>
            </w:pPr>
            <w:r>
              <w:t>1,9%</w:t>
            </w:r>
          </w:p>
        </w:tc>
        <w:tc>
          <w:tcPr>
            <w:tcW w:w="700" w:type="dxa"/>
            <w:tcBorders>
              <w:top w:val="single" w:sz="4" w:space="0" w:color="000000"/>
              <w:bottom w:val="single" w:sz="4" w:space="0" w:color="000000"/>
            </w:tcBorders>
          </w:tcPr>
          <w:p w14:paraId="5CCB7D2A" w14:textId="77777777" w:rsidR="00A2745B" w:rsidRDefault="00000000">
            <w:pPr>
              <w:jc w:val="center"/>
            </w:pPr>
            <w:r>
              <w:t>10,6%</w:t>
            </w:r>
          </w:p>
        </w:tc>
        <w:tc>
          <w:tcPr>
            <w:tcW w:w="900" w:type="dxa"/>
            <w:tcBorders>
              <w:top w:val="single" w:sz="4" w:space="0" w:color="000000"/>
              <w:bottom w:val="single" w:sz="4" w:space="0" w:color="000000"/>
            </w:tcBorders>
          </w:tcPr>
          <w:p w14:paraId="5CCB7D2B" w14:textId="77777777" w:rsidR="00A2745B" w:rsidRDefault="00000000">
            <w:pPr>
              <w:jc w:val="center"/>
            </w:pPr>
            <w:r>
              <w:t>4,0%</w:t>
            </w:r>
          </w:p>
        </w:tc>
        <w:tc>
          <w:tcPr>
            <w:tcW w:w="1000" w:type="dxa"/>
            <w:tcBorders>
              <w:top w:val="single" w:sz="4" w:space="0" w:color="000000"/>
              <w:bottom w:val="single" w:sz="4" w:space="0" w:color="000000"/>
            </w:tcBorders>
          </w:tcPr>
          <w:p w14:paraId="5CCB7D2C" w14:textId="77777777" w:rsidR="00A2745B" w:rsidRDefault="00000000">
            <w:pPr>
              <w:jc w:val="center"/>
            </w:pPr>
            <w:r>
              <w:t>4,0%</w:t>
            </w:r>
          </w:p>
        </w:tc>
      </w:tr>
      <w:tr w:rsidR="00A2745B" w14:paraId="5CCB7D38" w14:textId="77777777">
        <w:tblPrEx>
          <w:tblCellMar>
            <w:top w:w="0" w:type="dxa"/>
            <w:bottom w:w="0" w:type="dxa"/>
          </w:tblCellMar>
        </w:tblPrEx>
        <w:tc>
          <w:tcPr>
            <w:tcW w:w="900" w:type="dxa"/>
            <w:tcBorders>
              <w:top w:val="single" w:sz="4" w:space="0" w:color="000000"/>
              <w:bottom w:val="single" w:sz="4" w:space="0" w:color="000000"/>
            </w:tcBorders>
          </w:tcPr>
          <w:p w14:paraId="5CCB7D2E" w14:textId="77777777" w:rsidR="00A2745B" w:rsidRDefault="00000000">
            <w:pPr>
              <w:jc w:val="center"/>
            </w:pPr>
            <w:r>
              <w:t>ITUB4</w:t>
            </w:r>
          </w:p>
        </w:tc>
        <w:tc>
          <w:tcPr>
            <w:tcW w:w="1500" w:type="dxa"/>
            <w:tcBorders>
              <w:top w:val="single" w:sz="4" w:space="0" w:color="000000"/>
              <w:bottom w:val="single" w:sz="4" w:space="0" w:color="000000"/>
            </w:tcBorders>
          </w:tcPr>
          <w:p w14:paraId="5CCB7D2F" w14:textId="77777777" w:rsidR="00A2745B" w:rsidRDefault="00000000">
            <w:pPr>
              <w:jc w:val="center"/>
            </w:pPr>
            <w:r>
              <w:t>Itaú Unibanco</w:t>
            </w:r>
          </w:p>
        </w:tc>
        <w:tc>
          <w:tcPr>
            <w:tcW w:w="700" w:type="dxa"/>
            <w:tcBorders>
              <w:top w:val="single" w:sz="4" w:space="0" w:color="000000"/>
              <w:bottom w:val="single" w:sz="4" w:space="0" w:color="000000"/>
            </w:tcBorders>
          </w:tcPr>
          <w:p w14:paraId="5CCB7D30" w14:textId="77777777" w:rsidR="00A2745B" w:rsidRDefault="00000000">
            <w:pPr>
              <w:jc w:val="center"/>
            </w:pPr>
            <w:r>
              <w:t>2023</w:t>
            </w:r>
          </w:p>
        </w:tc>
        <w:tc>
          <w:tcPr>
            <w:tcW w:w="700" w:type="dxa"/>
            <w:tcBorders>
              <w:top w:val="single" w:sz="4" w:space="0" w:color="000000"/>
              <w:bottom w:val="single" w:sz="4" w:space="0" w:color="000000"/>
            </w:tcBorders>
          </w:tcPr>
          <w:p w14:paraId="5CCB7D31" w14:textId="77777777" w:rsidR="00A2745B" w:rsidRDefault="00000000">
            <w:pPr>
              <w:jc w:val="center"/>
            </w:pPr>
            <w:r>
              <w:t>8,5</w:t>
            </w:r>
          </w:p>
        </w:tc>
        <w:tc>
          <w:tcPr>
            <w:tcW w:w="700" w:type="dxa"/>
            <w:tcBorders>
              <w:top w:val="single" w:sz="4" w:space="0" w:color="000000"/>
              <w:bottom w:val="single" w:sz="4" w:space="0" w:color="000000"/>
            </w:tcBorders>
          </w:tcPr>
          <w:p w14:paraId="5CCB7D32" w14:textId="77777777" w:rsidR="00A2745B" w:rsidRDefault="00000000">
            <w:pPr>
              <w:jc w:val="center"/>
            </w:pPr>
            <w:r>
              <w:t>1,9</w:t>
            </w:r>
          </w:p>
        </w:tc>
        <w:tc>
          <w:tcPr>
            <w:tcW w:w="800" w:type="dxa"/>
            <w:tcBorders>
              <w:top w:val="single" w:sz="4" w:space="0" w:color="000000"/>
              <w:bottom w:val="single" w:sz="4" w:space="0" w:color="000000"/>
            </w:tcBorders>
          </w:tcPr>
          <w:p w14:paraId="5CCB7D33" w14:textId="77777777" w:rsidR="00A2745B" w:rsidRDefault="00000000">
            <w:pPr>
              <w:jc w:val="center"/>
            </w:pPr>
            <w:r>
              <w:t>21,0%</w:t>
            </w:r>
          </w:p>
        </w:tc>
        <w:tc>
          <w:tcPr>
            <w:tcW w:w="800" w:type="dxa"/>
            <w:tcBorders>
              <w:top w:val="single" w:sz="4" w:space="0" w:color="000000"/>
              <w:bottom w:val="single" w:sz="4" w:space="0" w:color="000000"/>
            </w:tcBorders>
          </w:tcPr>
          <w:p w14:paraId="5CCB7D34" w14:textId="77777777" w:rsidR="00A2745B" w:rsidRDefault="00000000">
            <w:pPr>
              <w:jc w:val="center"/>
            </w:pPr>
            <w:r>
              <w:t>1,9%</w:t>
            </w:r>
          </w:p>
        </w:tc>
        <w:tc>
          <w:tcPr>
            <w:tcW w:w="700" w:type="dxa"/>
            <w:tcBorders>
              <w:top w:val="single" w:sz="4" w:space="0" w:color="000000"/>
              <w:bottom w:val="single" w:sz="4" w:space="0" w:color="000000"/>
            </w:tcBorders>
          </w:tcPr>
          <w:p w14:paraId="5CCB7D35" w14:textId="77777777" w:rsidR="00A2745B" w:rsidRDefault="00000000">
            <w:pPr>
              <w:jc w:val="center"/>
            </w:pPr>
            <w:r>
              <w:t>6,5%</w:t>
            </w:r>
          </w:p>
        </w:tc>
        <w:tc>
          <w:tcPr>
            <w:tcW w:w="900" w:type="dxa"/>
            <w:tcBorders>
              <w:top w:val="single" w:sz="4" w:space="0" w:color="000000"/>
              <w:bottom w:val="single" w:sz="4" w:space="0" w:color="000000"/>
            </w:tcBorders>
          </w:tcPr>
          <w:p w14:paraId="5CCB7D36" w14:textId="77777777" w:rsidR="00A2745B" w:rsidRDefault="00000000">
            <w:pPr>
              <w:jc w:val="center"/>
            </w:pPr>
            <w:r>
              <w:t>24,0%</w:t>
            </w:r>
          </w:p>
        </w:tc>
        <w:tc>
          <w:tcPr>
            <w:tcW w:w="1000" w:type="dxa"/>
            <w:tcBorders>
              <w:top w:val="single" w:sz="4" w:space="0" w:color="000000"/>
              <w:bottom w:val="single" w:sz="4" w:space="0" w:color="000000"/>
            </w:tcBorders>
          </w:tcPr>
          <w:p w14:paraId="5CCB7D37" w14:textId="77777777" w:rsidR="00A2745B" w:rsidRDefault="00000000">
            <w:pPr>
              <w:jc w:val="center"/>
            </w:pPr>
            <w:r>
              <w:t>12,0%</w:t>
            </w:r>
          </w:p>
        </w:tc>
      </w:tr>
      <w:tr w:rsidR="00A2745B" w14:paraId="5CCB7D43" w14:textId="77777777">
        <w:tblPrEx>
          <w:tblCellMar>
            <w:top w:w="0" w:type="dxa"/>
            <w:bottom w:w="0" w:type="dxa"/>
          </w:tblCellMar>
        </w:tblPrEx>
        <w:tc>
          <w:tcPr>
            <w:tcW w:w="900" w:type="dxa"/>
            <w:tcBorders>
              <w:top w:val="single" w:sz="4" w:space="0" w:color="000000"/>
              <w:bottom w:val="single" w:sz="4" w:space="0" w:color="000000"/>
            </w:tcBorders>
          </w:tcPr>
          <w:p w14:paraId="5CCB7D39" w14:textId="77777777" w:rsidR="00A2745B" w:rsidRDefault="00000000">
            <w:pPr>
              <w:jc w:val="center"/>
            </w:pPr>
            <w:r>
              <w:t>ITUB4</w:t>
            </w:r>
          </w:p>
        </w:tc>
        <w:tc>
          <w:tcPr>
            <w:tcW w:w="1500" w:type="dxa"/>
            <w:tcBorders>
              <w:top w:val="single" w:sz="4" w:space="0" w:color="000000"/>
              <w:bottom w:val="single" w:sz="4" w:space="0" w:color="000000"/>
            </w:tcBorders>
          </w:tcPr>
          <w:p w14:paraId="5CCB7D3A" w14:textId="77777777" w:rsidR="00A2745B" w:rsidRDefault="00000000">
            <w:pPr>
              <w:jc w:val="center"/>
            </w:pPr>
            <w:r>
              <w:t>Itaú Unibanco</w:t>
            </w:r>
          </w:p>
        </w:tc>
        <w:tc>
          <w:tcPr>
            <w:tcW w:w="700" w:type="dxa"/>
            <w:tcBorders>
              <w:top w:val="single" w:sz="4" w:space="0" w:color="000000"/>
              <w:bottom w:val="single" w:sz="4" w:space="0" w:color="000000"/>
            </w:tcBorders>
          </w:tcPr>
          <w:p w14:paraId="5CCB7D3B" w14:textId="77777777" w:rsidR="00A2745B" w:rsidRDefault="00000000">
            <w:pPr>
              <w:jc w:val="center"/>
            </w:pPr>
            <w:r>
              <w:t>2024</w:t>
            </w:r>
          </w:p>
        </w:tc>
        <w:tc>
          <w:tcPr>
            <w:tcW w:w="700" w:type="dxa"/>
            <w:tcBorders>
              <w:top w:val="single" w:sz="4" w:space="0" w:color="000000"/>
              <w:bottom w:val="single" w:sz="4" w:space="0" w:color="000000"/>
            </w:tcBorders>
          </w:tcPr>
          <w:p w14:paraId="5CCB7D3C" w14:textId="77777777" w:rsidR="00A2745B" w:rsidRDefault="00000000">
            <w:pPr>
              <w:jc w:val="center"/>
            </w:pPr>
            <w:r>
              <w:t>8,0</w:t>
            </w:r>
          </w:p>
        </w:tc>
        <w:tc>
          <w:tcPr>
            <w:tcW w:w="700" w:type="dxa"/>
            <w:tcBorders>
              <w:top w:val="single" w:sz="4" w:space="0" w:color="000000"/>
              <w:bottom w:val="single" w:sz="4" w:space="0" w:color="000000"/>
            </w:tcBorders>
          </w:tcPr>
          <w:p w14:paraId="5CCB7D3D" w14:textId="77777777" w:rsidR="00A2745B" w:rsidRDefault="00000000">
            <w:pPr>
              <w:jc w:val="center"/>
            </w:pPr>
            <w:r>
              <w:t>2,0</w:t>
            </w:r>
          </w:p>
        </w:tc>
        <w:tc>
          <w:tcPr>
            <w:tcW w:w="800" w:type="dxa"/>
            <w:tcBorders>
              <w:top w:val="single" w:sz="4" w:space="0" w:color="000000"/>
              <w:bottom w:val="single" w:sz="4" w:space="0" w:color="000000"/>
            </w:tcBorders>
          </w:tcPr>
          <w:p w14:paraId="5CCB7D3E" w14:textId="77777777" w:rsidR="00A2745B" w:rsidRDefault="00000000">
            <w:pPr>
              <w:jc w:val="center"/>
            </w:pPr>
            <w:r>
              <w:t>22,0%</w:t>
            </w:r>
          </w:p>
        </w:tc>
        <w:tc>
          <w:tcPr>
            <w:tcW w:w="800" w:type="dxa"/>
            <w:tcBorders>
              <w:top w:val="single" w:sz="4" w:space="0" w:color="000000"/>
              <w:bottom w:val="single" w:sz="4" w:space="0" w:color="000000"/>
            </w:tcBorders>
          </w:tcPr>
          <w:p w14:paraId="5CCB7D3F" w14:textId="77777777" w:rsidR="00A2745B" w:rsidRDefault="00000000">
            <w:pPr>
              <w:jc w:val="center"/>
            </w:pPr>
            <w:r>
              <w:t>2,0%</w:t>
            </w:r>
          </w:p>
        </w:tc>
        <w:tc>
          <w:tcPr>
            <w:tcW w:w="700" w:type="dxa"/>
            <w:tcBorders>
              <w:top w:val="single" w:sz="4" w:space="0" w:color="000000"/>
              <w:bottom w:val="single" w:sz="4" w:space="0" w:color="000000"/>
            </w:tcBorders>
          </w:tcPr>
          <w:p w14:paraId="5CCB7D40" w14:textId="77777777" w:rsidR="00A2745B" w:rsidRDefault="00000000">
            <w:pPr>
              <w:jc w:val="center"/>
            </w:pPr>
            <w:r>
              <w:t>7,5%</w:t>
            </w:r>
          </w:p>
        </w:tc>
        <w:tc>
          <w:tcPr>
            <w:tcW w:w="900" w:type="dxa"/>
            <w:tcBorders>
              <w:top w:val="single" w:sz="4" w:space="0" w:color="000000"/>
              <w:bottom w:val="single" w:sz="4" w:space="0" w:color="000000"/>
            </w:tcBorders>
          </w:tcPr>
          <w:p w14:paraId="5CCB7D41" w14:textId="77777777" w:rsidR="00A2745B" w:rsidRDefault="00000000">
            <w:pPr>
              <w:jc w:val="center"/>
            </w:pPr>
            <w:r>
              <w:t>25,0%</w:t>
            </w:r>
          </w:p>
        </w:tc>
        <w:tc>
          <w:tcPr>
            <w:tcW w:w="1000" w:type="dxa"/>
            <w:tcBorders>
              <w:top w:val="single" w:sz="4" w:space="0" w:color="000000"/>
              <w:bottom w:val="single" w:sz="4" w:space="0" w:color="000000"/>
            </w:tcBorders>
          </w:tcPr>
          <w:p w14:paraId="5CCB7D42" w14:textId="77777777" w:rsidR="00A2745B" w:rsidRDefault="00000000">
            <w:pPr>
              <w:jc w:val="center"/>
            </w:pPr>
            <w:r>
              <w:t>9,0%</w:t>
            </w:r>
          </w:p>
        </w:tc>
      </w:tr>
      <w:tr w:rsidR="00A2745B" w14:paraId="5CCB7D4E" w14:textId="77777777">
        <w:tblPrEx>
          <w:tblCellMar>
            <w:top w:w="0" w:type="dxa"/>
            <w:bottom w:w="0" w:type="dxa"/>
          </w:tblCellMar>
        </w:tblPrEx>
        <w:tc>
          <w:tcPr>
            <w:tcW w:w="900" w:type="dxa"/>
            <w:tcBorders>
              <w:top w:val="single" w:sz="4" w:space="0" w:color="000000"/>
              <w:bottom w:val="single" w:sz="4" w:space="0" w:color="000000"/>
            </w:tcBorders>
          </w:tcPr>
          <w:p w14:paraId="5CCB7D44" w14:textId="77777777" w:rsidR="00A2745B" w:rsidRDefault="00000000">
            <w:pPr>
              <w:jc w:val="center"/>
            </w:pPr>
            <w:r>
              <w:t>ITUB4</w:t>
            </w:r>
          </w:p>
        </w:tc>
        <w:tc>
          <w:tcPr>
            <w:tcW w:w="1500" w:type="dxa"/>
            <w:tcBorders>
              <w:top w:val="single" w:sz="4" w:space="0" w:color="000000"/>
              <w:bottom w:val="single" w:sz="4" w:space="0" w:color="000000"/>
            </w:tcBorders>
          </w:tcPr>
          <w:p w14:paraId="5CCB7D45" w14:textId="77777777" w:rsidR="00A2745B" w:rsidRDefault="00000000">
            <w:pPr>
              <w:jc w:val="center"/>
            </w:pPr>
            <w:r>
              <w:t>Itaú Unibanco</w:t>
            </w:r>
          </w:p>
        </w:tc>
        <w:tc>
          <w:tcPr>
            <w:tcW w:w="700" w:type="dxa"/>
            <w:tcBorders>
              <w:top w:val="single" w:sz="4" w:space="0" w:color="000000"/>
              <w:bottom w:val="single" w:sz="4" w:space="0" w:color="000000"/>
            </w:tcBorders>
          </w:tcPr>
          <w:p w14:paraId="5CCB7D46" w14:textId="77777777" w:rsidR="00A2745B" w:rsidRDefault="00000000">
            <w:pPr>
              <w:jc w:val="center"/>
            </w:pPr>
            <w:r>
              <w:t>2025</w:t>
            </w:r>
          </w:p>
        </w:tc>
        <w:tc>
          <w:tcPr>
            <w:tcW w:w="700" w:type="dxa"/>
            <w:tcBorders>
              <w:top w:val="single" w:sz="4" w:space="0" w:color="000000"/>
              <w:bottom w:val="single" w:sz="4" w:space="0" w:color="000000"/>
            </w:tcBorders>
          </w:tcPr>
          <w:p w14:paraId="5CCB7D47" w14:textId="77777777" w:rsidR="00A2745B" w:rsidRDefault="00000000">
            <w:pPr>
              <w:jc w:val="center"/>
            </w:pPr>
            <w:r>
              <w:t>7,8</w:t>
            </w:r>
          </w:p>
        </w:tc>
        <w:tc>
          <w:tcPr>
            <w:tcW w:w="700" w:type="dxa"/>
            <w:tcBorders>
              <w:top w:val="single" w:sz="4" w:space="0" w:color="000000"/>
              <w:bottom w:val="single" w:sz="4" w:space="0" w:color="000000"/>
            </w:tcBorders>
          </w:tcPr>
          <w:p w14:paraId="5CCB7D48" w14:textId="77777777" w:rsidR="00A2745B" w:rsidRDefault="00000000">
            <w:pPr>
              <w:jc w:val="center"/>
            </w:pPr>
            <w:r>
              <w:t>2,1</w:t>
            </w:r>
          </w:p>
        </w:tc>
        <w:tc>
          <w:tcPr>
            <w:tcW w:w="800" w:type="dxa"/>
            <w:tcBorders>
              <w:top w:val="single" w:sz="4" w:space="0" w:color="000000"/>
              <w:bottom w:val="single" w:sz="4" w:space="0" w:color="000000"/>
            </w:tcBorders>
          </w:tcPr>
          <w:p w14:paraId="5CCB7D49" w14:textId="77777777" w:rsidR="00A2745B" w:rsidRDefault="00000000">
            <w:pPr>
              <w:jc w:val="center"/>
            </w:pPr>
            <w:r>
              <w:t>22,5%</w:t>
            </w:r>
          </w:p>
        </w:tc>
        <w:tc>
          <w:tcPr>
            <w:tcW w:w="800" w:type="dxa"/>
            <w:tcBorders>
              <w:top w:val="single" w:sz="4" w:space="0" w:color="000000"/>
              <w:bottom w:val="single" w:sz="4" w:space="0" w:color="000000"/>
            </w:tcBorders>
          </w:tcPr>
          <w:p w14:paraId="5CCB7D4A" w14:textId="77777777" w:rsidR="00A2745B" w:rsidRDefault="00000000">
            <w:pPr>
              <w:jc w:val="center"/>
            </w:pPr>
            <w:r>
              <w:t>2,0%</w:t>
            </w:r>
          </w:p>
        </w:tc>
        <w:tc>
          <w:tcPr>
            <w:tcW w:w="700" w:type="dxa"/>
            <w:tcBorders>
              <w:top w:val="single" w:sz="4" w:space="0" w:color="000000"/>
              <w:bottom w:val="single" w:sz="4" w:space="0" w:color="000000"/>
            </w:tcBorders>
          </w:tcPr>
          <w:p w14:paraId="5CCB7D4B" w14:textId="77777777" w:rsidR="00A2745B" w:rsidRDefault="00000000">
            <w:pPr>
              <w:jc w:val="center"/>
            </w:pPr>
            <w:r>
              <w:t>8,5%</w:t>
            </w:r>
          </w:p>
        </w:tc>
        <w:tc>
          <w:tcPr>
            <w:tcW w:w="900" w:type="dxa"/>
            <w:tcBorders>
              <w:top w:val="single" w:sz="4" w:space="0" w:color="000000"/>
              <w:bottom w:val="single" w:sz="4" w:space="0" w:color="000000"/>
            </w:tcBorders>
          </w:tcPr>
          <w:p w14:paraId="5CCB7D4C" w14:textId="77777777" w:rsidR="00A2745B" w:rsidRDefault="00000000">
            <w:pPr>
              <w:jc w:val="center"/>
            </w:pPr>
            <w:r>
              <w:t>26,0%</w:t>
            </w:r>
          </w:p>
        </w:tc>
        <w:tc>
          <w:tcPr>
            <w:tcW w:w="1000" w:type="dxa"/>
            <w:tcBorders>
              <w:top w:val="single" w:sz="4" w:space="0" w:color="000000"/>
              <w:bottom w:val="single" w:sz="4" w:space="0" w:color="000000"/>
            </w:tcBorders>
          </w:tcPr>
          <w:p w14:paraId="5CCB7D4D" w14:textId="77777777" w:rsidR="00A2745B" w:rsidRDefault="00000000">
            <w:pPr>
              <w:jc w:val="center"/>
            </w:pPr>
            <w:r>
              <w:t>7,0%</w:t>
            </w:r>
          </w:p>
        </w:tc>
      </w:tr>
      <w:tr w:rsidR="00A2745B" w14:paraId="5CCB7D59" w14:textId="77777777">
        <w:tblPrEx>
          <w:tblCellMar>
            <w:top w:w="0" w:type="dxa"/>
            <w:bottom w:w="0" w:type="dxa"/>
          </w:tblCellMar>
        </w:tblPrEx>
        <w:tc>
          <w:tcPr>
            <w:tcW w:w="900" w:type="dxa"/>
            <w:tcBorders>
              <w:top w:val="single" w:sz="4" w:space="0" w:color="000000"/>
              <w:bottom w:val="single" w:sz="4" w:space="0" w:color="000000"/>
            </w:tcBorders>
          </w:tcPr>
          <w:p w14:paraId="5CCB7D4F" w14:textId="77777777" w:rsidR="00A2745B" w:rsidRDefault="00000000">
            <w:pPr>
              <w:jc w:val="center"/>
            </w:pPr>
            <w:r>
              <w:t>WEGE3</w:t>
            </w:r>
          </w:p>
        </w:tc>
        <w:tc>
          <w:tcPr>
            <w:tcW w:w="1500" w:type="dxa"/>
            <w:tcBorders>
              <w:top w:val="single" w:sz="4" w:space="0" w:color="000000"/>
              <w:bottom w:val="single" w:sz="4" w:space="0" w:color="000000"/>
            </w:tcBorders>
          </w:tcPr>
          <w:p w14:paraId="5CCB7D50" w14:textId="77777777" w:rsidR="00A2745B" w:rsidRDefault="00000000">
            <w:pPr>
              <w:jc w:val="center"/>
            </w:pPr>
            <w:r>
              <w:t>WEG</w:t>
            </w:r>
          </w:p>
        </w:tc>
        <w:tc>
          <w:tcPr>
            <w:tcW w:w="700" w:type="dxa"/>
            <w:tcBorders>
              <w:top w:val="single" w:sz="4" w:space="0" w:color="000000"/>
              <w:bottom w:val="single" w:sz="4" w:space="0" w:color="000000"/>
            </w:tcBorders>
          </w:tcPr>
          <w:p w14:paraId="5CCB7D51" w14:textId="77777777" w:rsidR="00A2745B" w:rsidRDefault="00000000">
            <w:pPr>
              <w:jc w:val="center"/>
            </w:pPr>
            <w:r>
              <w:t>2023</w:t>
            </w:r>
          </w:p>
        </w:tc>
        <w:tc>
          <w:tcPr>
            <w:tcW w:w="700" w:type="dxa"/>
            <w:tcBorders>
              <w:top w:val="single" w:sz="4" w:space="0" w:color="000000"/>
              <w:bottom w:val="single" w:sz="4" w:space="0" w:color="000000"/>
            </w:tcBorders>
          </w:tcPr>
          <w:p w14:paraId="5CCB7D52" w14:textId="77777777" w:rsidR="00A2745B" w:rsidRDefault="00000000">
            <w:pPr>
              <w:jc w:val="center"/>
            </w:pPr>
            <w:r>
              <w:t>32,0</w:t>
            </w:r>
          </w:p>
        </w:tc>
        <w:tc>
          <w:tcPr>
            <w:tcW w:w="700" w:type="dxa"/>
            <w:tcBorders>
              <w:top w:val="single" w:sz="4" w:space="0" w:color="000000"/>
              <w:bottom w:val="single" w:sz="4" w:space="0" w:color="000000"/>
            </w:tcBorders>
          </w:tcPr>
          <w:p w14:paraId="5CCB7D53" w14:textId="77777777" w:rsidR="00A2745B" w:rsidRDefault="00000000">
            <w:pPr>
              <w:jc w:val="center"/>
            </w:pPr>
            <w:r>
              <w:t>9,5</w:t>
            </w:r>
          </w:p>
        </w:tc>
        <w:tc>
          <w:tcPr>
            <w:tcW w:w="800" w:type="dxa"/>
            <w:tcBorders>
              <w:top w:val="single" w:sz="4" w:space="0" w:color="000000"/>
              <w:bottom w:val="single" w:sz="4" w:space="0" w:color="000000"/>
            </w:tcBorders>
          </w:tcPr>
          <w:p w14:paraId="5CCB7D54" w14:textId="77777777" w:rsidR="00A2745B" w:rsidRDefault="00000000">
            <w:pPr>
              <w:jc w:val="center"/>
            </w:pPr>
            <w:r>
              <w:t>30,0%</w:t>
            </w:r>
          </w:p>
        </w:tc>
        <w:tc>
          <w:tcPr>
            <w:tcW w:w="800" w:type="dxa"/>
            <w:tcBorders>
              <w:top w:val="single" w:sz="4" w:space="0" w:color="000000"/>
              <w:bottom w:val="single" w:sz="4" w:space="0" w:color="000000"/>
            </w:tcBorders>
          </w:tcPr>
          <w:p w14:paraId="5CCB7D55" w14:textId="77777777" w:rsidR="00A2745B" w:rsidRDefault="00000000">
            <w:pPr>
              <w:jc w:val="center"/>
            </w:pPr>
            <w:r>
              <w:t>17,0%</w:t>
            </w:r>
          </w:p>
        </w:tc>
        <w:tc>
          <w:tcPr>
            <w:tcW w:w="700" w:type="dxa"/>
            <w:tcBorders>
              <w:top w:val="single" w:sz="4" w:space="0" w:color="000000"/>
              <w:bottom w:val="single" w:sz="4" w:space="0" w:color="000000"/>
            </w:tcBorders>
          </w:tcPr>
          <w:p w14:paraId="5CCB7D56" w14:textId="77777777" w:rsidR="00A2745B" w:rsidRDefault="00000000">
            <w:pPr>
              <w:jc w:val="center"/>
            </w:pPr>
            <w:r>
              <w:t>3,5%</w:t>
            </w:r>
          </w:p>
        </w:tc>
        <w:tc>
          <w:tcPr>
            <w:tcW w:w="900" w:type="dxa"/>
            <w:tcBorders>
              <w:top w:val="single" w:sz="4" w:space="0" w:color="000000"/>
              <w:bottom w:val="single" w:sz="4" w:space="0" w:color="000000"/>
            </w:tcBorders>
          </w:tcPr>
          <w:p w14:paraId="5CCB7D57" w14:textId="77777777" w:rsidR="00A2745B" w:rsidRDefault="00000000">
            <w:pPr>
              <w:jc w:val="center"/>
            </w:pPr>
            <w:r>
              <w:t>16,0%</w:t>
            </w:r>
          </w:p>
        </w:tc>
        <w:tc>
          <w:tcPr>
            <w:tcW w:w="1000" w:type="dxa"/>
            <w:tcBorders>
              <w:top w:val="single" w:sz="4" w:space="0" w:color="000000"/>
              <w:bottom w:val="single" w:sz="4" w:space="0" w:color="000000"/>
            </w:tcBorders>
          </w:tcPr>
          <w:p w14:paraId="5CCB7D58" w14:textId="77777777" w:rsidR="00A2745B" w:rsidRDefault="00000000">
            <w:pPr>
              <w:jc w:val="center"/>
            </w:pPr>
            <w:r>
              <w:t>16,0%</w:t>
            </w:r>
          </w:p>
        </w:tc>
      </w:tr>
      <w:tr w:rsidR="00A2745B" w14:paraId="5CCB7D64" w14:textId="77777777">
        <w:tblPrEx>
          <w:tblCellMar>
            <w:top w:w="0" w:type="dxa"/>
            <w:bottom w:w="0" w:type="dxa"/>
          </w:tblCellMar>
        </w:tblPrEx>
        <w:tc>
          <w:tcPr>
            <w:tcW w:w="900" w:type="dxa"/>
            <w:tcBorders>
              <w:top w:val="single" w:sz="4" w:space="0" w:color="000000"/>
              <w:bottom w:val="single" w:sz="4" w:space="0" w:color="000000"/>
            </w:tcBorders>
          </w:tcPr>
          <w:p w14:paraId="5CCB7D5A" w14:textId="77777777" w:rsidR="00A2745B" w:rsidRDefault="00000000">
            <w:pPr>
              <w:jc w:val="center"/>
            </w:pPr>
            <w:r>
              <w:t>WEGE3</w:t>
            </w:r>
          </w:p>
        </w:tc>
        <w:tc>
          <w:tcPr>
            <w:tcW w:w="1500" w:type="dxa"/>
            <w:tcBorders>
              <w:top w:val="single" w:sz="4" w:space="0" w:color="000000"/>
              <w:bottom w:val="single" w:sz="4" w:space="0" w:color="000000"/>
            </w:tcBorders>
          </w:tcPr>
          <w:p w14:paraId="5CCB7D5B" w14:textId="77777777" w:rsidR="00A2745B" w:rsidRDefault="00000000">
            <w:pPr>
              <w:jc w:val="center"/>
            </w:pPr>
            <w:r>
              <w:t>WEG</w:t>
            </w:r>
          </w:p>
        </w:tc>
        <w:tc>
          <w:tcPr>
            <w:tcW w:w="700" w:type="dxa"/>
            <w:tcBorders>
              <w:top w:val="single" w:sz="4" w:space="0" w:color="000000"/>
              <w:bottom w:val="single" w:sz="4" w:space="0" w:color="000000"/>
            </w:tcBorders>
          </w:tcPr>
          <w:p w14:paraId="5CCB7D5C" w14:textId="77777777" w:rsidR="00A2745B" w:rsidRDefault="00000000">
            <w:pPr>
              <w:jc w:val="center"/>
            </w:pPr>
            <w:r>
              <w:t>2024</w:t>
            </w:r>
          </w:p>
        </w:tc>
        <w:tc>
          <w:tcPr>
            <w:tcW w:w="700" w:type="dxa"/>
            <w:tcBorders>
              <w:top w:val="single" w:sz="4" w:space="0" w:color="000000"/>
              <w:bottom w:val="single" w:sz="4" w:space="0" w:color="000000"/>
            </w:tcBorders>
          </w:tcPr>
          <w:p w14:paraId="5CCB7D5D" w14:textId="77777777" w:rsidR="00A2745B" w:rsidRDefault="00000000">
            <w:pPr>
              <w:jc w:val="center"/>
            </w:pPr>
            <w:r>
              <w:t>30,0</w:t>
            </w:r>
          </w:p>
        </w:tc>
        <w:tc>
          <w:tcPr>
            <w:tcW w:w="700" w:type="dxa"/>
            <w:tcBorders>
              <w:top w:val="single" w:sz="4" w:space="0" w:color="000000"/>
              <w:bottom w:val="single" w:sz="4" w:space="0" w:color="000000"/>
            </w:tcBorders>
          </w:tcPr>
          <w:p w14:paraId="5CCB7D5E" w14:textId="77777777" w:rsidR="00A2745B" w:rsidRDefault="00000000">
            <w:pPr>
              <w:jc w:val="center"/>
            </w:pPr>
            <w:r>
              <w:t>8,8</w:t>
            </w:r>
          </w:p>
        </w:tc>
        <w:tc>
          <w:tcPr>
            <w:tcW w:w="800" w:type="dxa"/>
            <w:tcBorders>
              <w:top w:val="single" w:sz="4" w:space="0" w:color="000000"/>
              <w:bottom w:val="single" w:sz="4" w:space="0" w:color="000000"/>
            </w:tcBorders>
          </w:tcPr>
          <w:p w14:paraId="5CCB7D5F" w14:textId="77777777" w:rsidR="00A2745B" w:rsidRDefault="00000000">
            <w:pPr>
              <w:jc w:val="center"/>
            </w:pPr>
            <w:r>
              <w:t>29,0%</w:t>
            </w:r>
          </w:p>
        </w:tc>
        <w:tc>
          <w:tcPr>
            <w:tcW w:w="800" w:type="dxa"/>
            <w:tcBorders>
              <w:top w:val="single" w:sz="4" w:space="0" w:color="000000"/>
              <w:bottom w:val="single" w:sz="4" w:space="0" w:color="000000"/>
            </w:tcBorders>
          </w:tcPr>
          <w:p w14:paraId="5CCB7D60" w14:textId="77777777" w:rsidR="00A2745B" w:rsidRDefault="00000000">
            <w:pPr>
              <w:jc w:val="center"/>
            </w:pPr>
            <w:r>
              <w:t>16,0%</w:t>
            </w:r>
          </w:p>
        </w:tc>
        <w:tc>
          <w:tcPr>
            <w:tcW w:w="700" w:type="dxa"/>
            <w:tcBorders>
              <w:top w:val="single" w:sz="4" w:space="0" w:color="000000"/>
              <w:bottom w:val="single" w:sz="4" w:space="0" w:color="000000"/>
            </w:tcBorders>
          </w:tcPr>
          <w:p w14:paraId="5CCB7D61" w14:textId="77777777" w:rsidR="00A2745B" w:rsidRDefault="00000000">
            <w:pPr>
              <w:jc w:val="center"/>
            </w:pPr>
            <w:r>
              <w:t>3,8%</w:t>
            </w:r>
          </w:p>
        </w:tc>
        <w:tc>
          <w:tcPr>
            <w:tcW w:w="900" w:type="dxa"/>
            <w:tcBorders>
              <w:top w:val="single" w:sz="4" w:space="0" w:color="000000"/>
              <w:bottom w:val="single" w:sz="4" w:space="0" w:color="000000"/>
            </w:tcBorders>
          </w:tcPr>
          <w:p w14:paraId="5CCB7D62" w14:textId="77777777" w:rsidR="00A2745B" w:rsidRDefault="00000000">
            <w:pPr>
              <w:jc w:val="center"/>
            </w:pPr>
            <w:r>
              <w:t>15,5%</w:t>
            </w:r>
          </w:p>
        </w:tc>
        <w:tc>
          <w:tcPr>
            <w:tcW w:w="1000" w:type="dxa"/>
            <w:tcBorders>
              <w:top w:val="single" w:sz="4" w:space="0" w:color="000000"/>
              <w:bottom w:val="single" w:sz="4" w:space="0" w:color="000000"/>
            </w:tcBorders>
          </w:tcPr>
          <w:p w14:paraId="5CCB7D63" w14:textId="77777777" w:rsidR="00A2745B" w:rsidRDefault="00000000">
            <w:pPr>
              <w:jc w:val="center"/>
            </w:pPr>
            <w:r>
              <w:t>11,0%</w:t>
            </w:r>
          </w:p>
        </w:tc>
      </w:tr>
      <w:tr w:rsidR="00A2745B" w14:paraId="5CCB7D6F" w14:textId="77777777">
        <w:tblPrEx>
          <w:tblCellMar>
            <w:top w:w="0" w:type="dxa"/>
            <w:bottom w:w="0" w:type="dxa"/>
          </w:tblCellMar>
        </w:tblPrEx>
        <w:tc>
          <w:tcPr>
            <w:tcW w:w="900" w:type="dxa"/>
            <w:tcBorders>
              <w:top w:val="single" w:sz="4" w:space="0" w:color="000000"/>
              <w:bottom w:val="single" w:sz="4" w:space="0" w:color="000000"/>
            </w:tcBorders>
          </w:tcPr>
          <w:p w14:paraId="5CCB7D65" w14:textId="77777777" w:rsidR="00A2745B" w:rsidRDefault="00000000">
            <w:pPr>
              <w:jc w:val="center"/>
            </w:pPr>
            <w:r>
              <w:t>WEGE3</w:t>
            </w:r>
          </w:p>
        </w:tc>
        <w:tc>
          <w:tcPr>
            <w:tcW w:w="1500" w:type="dxa"/>
            <w:tcBorders>
              <w:top w:val="single" w:sz="4" w:space="0" w:color="000000"/>
              <w:bottom w:val="single" w:sz="4" w:space="0" w:color="000000"/>
            </w:tcBorders>
          </w:tcPr>
          <w:p w14:paraId="5CCB7D66" w14:textId="77777777" w:rsidR="00A2745B" w:rsidRDefault="00000000">
            <w:pPr>
              <w:jc w:val="center"/>
            </w:pPr>
            <w:r>
              <w:t>WEG</w:t>
            </w:r>
          </w:p>
        </w:tc>
        <w:tc>
          <w:tcPr>
            <w:tcW w:w="700" w:type="dxa"/>
            <w:tcBorders>
              <w:top w:val="single" w:sz="4" w:space="0" w:color="000000"/>
              <w:bottom w:val="single" w:sz="4" w:space="0" w:color="000000"/>
            </w:tcBorders>
          </w:tcPr>
          <w:p w14:paraId="5CCB7D67" w14:textId="77777777" w:rsidR="00A2745B" w:rsidRDefault="00000000">
            <w:pPr>
              <w:jc w:val="center"/>
            </w:pPr>
            <w:r>
              <w:t>2025</w:t>
            </w:r>
          </w:p>
        </w:tc>
        <w:tc>
          <w:tcPr>
            <w:tcW w:w="700" w:type="dxa"/>
            <w:tcBorders>
              <w:top w:val="single" w:sz="4" w:space="0" w:color="000000"/>
              <w:bottom w:val="single" w:sz="4" w:space="0" w:color="000000"/>
            </w:tcBorders>
          </w:tcPr>
          <w:p w14:paraId="5CCB7D68" w14:textId="77777777" w:rsidR="00A2745B" w:rsidRDefault="00000000">
            <w:pPr>
              <w:jc w:val="center"/>
            </w:pPr>
            <w:r>
              <w:t>28,0</w:t>
            </w:r>
          </w:p>
        </w:tc>
        <w:tc>
          <w:tcPr>
            <w:tcW w:w="700" w:type="dxa"/>
            <w:tcBorders>
              <w:top w:val="single" w:sz="4" w:space="0" w:color="000000"/>
              <w:bottom w:val="single" w:sz="4" w:space="0" w:color="000000"/>
            </w:tcBorders>
          </w:tcPr>
          <w:p w14:paraId="5CCB7D69" w14:textId="77777777" w:rsidR="00A2745B" w:rsidRDefault="00000000">
            <w:pPr>
              <w:jc w:val="center"/>
            </w:pPr>
            <w:r>
              <w:t>8,2</w:t>
            </w:r>
          </w:p>
        </w:tc>
        <w:tc>
          <w:tcPr>
            <w:tcW w:w="800" w:type="dxa"/>
            <w:tcBorders>
              <w:top w:val="single" w:sz="4" w:space="0" w:color="000000"/>
              <w:bottom w:val="single" w:sz="4" w:space="0" w:color="000000"/>
            </w:tcBorders>
          </w:tcPr>
          <w:p w14:paraId="5CCB7D6A" w14:textId="77777777" w:rsidR="00A2745B" w:rsidRDefault="00000000">
            <w:pPr>
              <w:jc w:val="center"/>
            </w:pPr>
            <w:r>
              <w:t>29,5%</w:t>
            </w:r>
          </w:p>
        </w:tc>
        <w:tc>
          <w:tcPr>
            <w:tcW w:w="800" w:type="dxa"/>
            <w:tcBorders>
              <w:top w:val="single" w:sz="4" w:space="0" w:color="000000"/>
              <w:bottom w:val="single" w:sz="4" w:space="0" w:color="000000"/>
            </w:tcBorders>
          </w:tcPr>
          <w:p w14:paraId="5CCB7D6B" w14:textId="77777777" w:rsidR="00A2745B" w:rsidRDefault="00000000">
            <w:pPr>
              <w:jc w:val="center"/>
            </w:pPr>
            <w:r>
              <w:t>16,5%</w:t>
            </w:r>
          </w:p>
        </w:tc>
        <w:tc>
          <w:tcPr>
            <w:tcW w:w="700" w:type="dxa"/>
            <w:tcBorders>
              <w:top w:val="single" w:sz="4" w:space="0" w:color="000000"/>
              <w:bottom w:val="single" w:sz="4" w:space="0" w:color="000000"/>
            </w:tcBorders>
          </w:tcPr>
          <w:p w14:paraId="5CCB7D6C" w14:textId="77777777" w:rsidR="00A2745B" w:rsidRDefault="00000000">
            <w:pPr>
              <w:jc w:val="center"/>
            </w:pPr>
            <w:r>
              <w:t>4,3%</w:t>
            </w:r>
          </w:p>
        </w:tc>
        <w:tc>
          <w:tcPr>
            <w:tcW w:w="900" w:type="dxa"/>
            <w:tcBorders>
              <w:top w:val="single" w:sz="4" w:space="0" w:color="000000"/>
              <w:bottom w:val="single" w:sz="4" w:space="0" w:color="000000"/>
            </w:tcBorders>
          </w:tcPr>
          <w:p w14:paraId="5CCB7D6D" w14:textId="77777777" w:rsidR="00A2745B" w:rsidRDefault="00000000">
            <w:pPr>
              <w:jc w:val="center"/>
            </w:pPr>
            <w:r>
              <w:t>16,0%</w:t>
            </w:r>
          </w:p>
        </w:tc>
        <w:tc>
          <w:tcPr>
            <w:tcW w:w="1000" w:type="dxa"/>
            <w:tcBorders>
              <w:top w:val="single" w:sz="4" w:space="0" w:color="000000"/>
              <w:bottom w:val="single" w:sz="4" w:space="0" w:color="000000"/>
            </w:tcBorders>
          </w:tcPr>
          <w:p w14:paraId="5CCB7D6E" w14:textId="77777777" w:rsidR="00A2745B" w:rsidRDefault="00000000">
            <w:pPr>
              <w:jc w:val="center"/>
            </w:pPr>
            <w:r>
              <w:t>10,0%</w:t>
            </w:r>
          </w:p>
        </w:tc>
      </w:tr>
      <w:tr w:rsidR="00A2745B" w14:paraId="5CCB7D7A" w14:textId="77777777">
        <w:tblPrEx>
          <w:tblCellMar>
            <w:top w:w="0" w:type="dxa"/>
            <w:bottom w:w="0" w:type="dxa"/>
          </w:tblCellMar>
        </w:tblPrEx>
        <w:tc>
          <w:tcPr>
            <w:tcW w:w="900" w:type="dxa"/>
            <w:tcBorders>
              <w:top w:val="single" w:sz="4" w:space="0" w:color="000000"/>
              <w:bottom w:val="single" w:sz="4" w:space="0" w:color="000000"/>
            </w:tcBorders>
          </w:tcPr>
          <w:p w14:paraId="5CCB7D70" w14:textId="77777777" w:rsidR="00A2745B" w:rsidRDefault="00000000">
            <w:pPr>
              <w:jc w:val="center"/>
            </w:pPr>
            <w:r>
              <w:t>ABEV3</w:t>
            </w:r>
          </w:p>
        </w:tc>
        <w:tc>
          <w:tcPr>
            <w:tcW w:w="1500" w:type="dxa"/>
            <w:tcBorders>
              <w:top w:val="single" w:sz="4" w:space="0" w:color="000000"/>
              <w:bottom w:val="single" w:sz="4" w:space="0" w:color="000000"/>
            </w:tcBorders>
          </w:tcPr>
          <w:p w14:paraId="5CCB7D71" w14:textId="77777777" w:rsidR="00A2745B" w:rsidRDefault="00000000">
            <w:pPr>
              <w:jc w:val="center"/>
            </w:pPr>
            <w:r>
              <w:t>Ambev</w:t>
            </w:r>
          </w:p>
        </w:tc>
        <w:tc>
          <w:tcPr>
            <w:tcW w:w="700" w:type="dxa"/>
            <w:tcBorders>
              <w:top w:val="single" w:sz="4" w:space="0" w:color="000000"/>
              <w:bottom w:val="single" w:sz="4" w:space="0" w:color="000000"/>
            </w:tcBorders>
          </w:tcPr>
          <w:p w14:paraId="5CCB7D72" w14:textId="77777777" w:rsidR="00A2745B" w:rsidRDefault="00000000">
            <w:pPr>
              <w:jc w:val="center"/>
            </w:pPr>
            <w:r>
              <w:t>2023</w:t>
            </w:r>
          </w:p>
        </w:tc>
        <w:tc>
          <w:tcPr>
            <w:tcW w:w="700" w:type="dxa"/>
            <w:tcBorders>
              <w:top w:val="single" w:sz="4" w:space="0" w:color="000000"/>
              <w:bottom w:val="single" w:sz="4" w:space="0" w:color="000000"/>
            </w:tcBorders>
          </w:tcPr>
          <w:p w14:paraId="5CCB7D73" w14:textId="77777777" w:rsidR="00A2745B" w:rsidRDefault="00000000">
            <w:pPr>
              <w:jc w:val="center"/>
            </w:pPr>
            <w:r>
              <w:t>16,0</w:t>
            </w:r>
          </w:p>
        </w:tc>
        <w:tc>
          <w:tcPr>
            <w:tcW w:w="700" w:type="dxa"/>
            <w:tcBorders>
              <w:top w:val="single" w:sz="4" w:space="0" w:color="000000"/>
              <w:bottom w:val="single" w:sz="4" w:space="0" w:color="000000"/>
            </w:tcBorders>
          </w:tcPr>
          <w:p w14:paraId="5CCB7D74" w14:textId="77777777" w:rsidR="00A2745B" w:rsidRDefault="00000000">
            <w:pPr>
              <w:jc w:val="center"/>
            </w:pPr>
            <w:r>
              <w:t>2,3</w:t>
            </w:r>
          </w:p>
        </w:tc>
        <w:tc>
          <w:tcPr>
            <w:tcW w:w="800" w:type="dxa"/>
            <w:tcBorders>
              <w:top w:val="single" w:sz="4" w:space="0" w:color="000000"/>
              <w:bottom w:val="single" w:sz="4" w:space="0" w:color="000000"/>
            </w:tcBorders>
          </w:tcPr>
          <w:p w14:paraId="5CCB7D75" w14:textId="77777777" w:rsidR="00A2745B" w:rsidRDefault="00000000">
            <w:pPr>
              <w:jc w:val="center"/>
            </w:pPr>
            <w:r>
              <w:t>14,0%</w:t>
            </w:r>
          </w:p>
        </w:tc>
        <w:tc>
          <w:tcPr>
            <w:tcW w:w="800" w:type="dxa"/>
            <w:tcBorders>
              <w:top w:val="single" w:sz="4" w:space="0" w:color="000000"/>
              <w:bottom w:val="single" w:sz="4" w:space="0" w:color="000000"/>
            </w:tcBorders>
          </w:tcPr>
          <w:p w14:paraId="5CCB7D76" w14:textId="77777777" w:rsidR="00A2745B" w:rsidRDefault="00000000">
            <w:pPr>
              <w:jc w:val="center"/>
            </w:pPr>
            <w:r>
              <w:t>8,0%</w:t>
            </w:r>
          </w:p>
        </w:tc>
        <w:tc>
          <w:tcPr>
            <w:tcW w:w="700" w:type="dxa"/>
            <w:tcBorders>
              <w:top w:val="single" w:sz="4" w:space="0" w:color="000000"/>
              <w:bottom w:val="single" w:sz="4" w:space="0" w:color="000000"/>
            </w:tcBorders>
          </w:tcPr>
          <w:p w14:paraId="5CCB7D77" w14:textId="77777777" w:rsidR="00A2745B" w:rsidRDefault="00000000">
            <w:pPr>
              <w:jc w:val="center"/>
            </w:pPr>
            <w:r>
              <w:t>5,5%</w:t>
            </w:r>
          </w:p>
        </w:tc>
        <w:tc>
          <w:tcPr>
            <w:tcW w:w="900" w:type="dxa"/>
            <w:tcBorders>
              <w:top w:val="single" w:sz="4" w:space="0" w:color="000000"/>
              <w:bottom w:val="single" w:sz="4" w:space="0" w:color="000000"/>
            </w:tcBorders>
          </w:tcPr>
          <w:p w14:paraId="5CCB7D78" w14:textId="77777777" w:rsidR="00A2745B" w:rsidRDefault="00000000">
            <w:pPr>
              <w:jc w:val="center"/>
            </w:pPr>
            <w:r>
              <w:t>14,0%</w:t>
            </w:r>
          </w:p>
        </w:tc>
        <w:tc>
          <w:tcPr>
            <w:tcW w:w="1000" w:type="dxa"/>
            <w:tcBorders>
              <w:top w:val="single" w:sz="4" w:space="0" w:color="000000"/>
              <w:bottom w:val="single" w:sz="4" w:space="0" w:color="000000"/>
            </w:tcBorders>
          </w:tcPr>
          <w:p w14:paraId="5CCB7D79" w14:textId="77777777" w:rsidR="00A2745B" w:rsidRDefault="00000000">
            <w:pPr>
              <w:jc w:val="center"/>
            </w:pPr>
            <w:r>
              <w:t>4,0%</w:t>
            </w:r>
          </w:p>
        </w:tc>
      </w:tr>
      <w:tr w:rsidR="00A2745B" w14:paraId="5CCB7D85" w14:textId="77777777">
        <w:tblPrEx>
          <w:tblCellMar>
            <w:top w:w="0" w:type="dxa"/>
            <w:bottom w:w="0" w:type="dxa"/>
          </w:tblCellMar>
        </w:tblPrEx>
        <w:tc>
          <w:tcPr>
            <w:tcW w:w="900" w:type="dxa"/>
            <w:tcBorders>
              <w:top w:val="single" w:sz="4" w:space="0" w:color="000000"/>
              <w:bottom w:val="single" w:sz="4" w:space="0" w:color="000000"/>
            </w:tcBorders>
          </w:tcPr>
          <w:p w14:paraId="5CCB7D7B" w14:textId="77777777" w:rsidR="00A2745B" w:rsidRDefault="00000000">
            <w:pPr>
              <w:jc w:val="center"/>
            </w:pPr>
            <w:r>
              <w:t>ABEV3</w:t>
            </w:r>
          </w:p>
        </w:tc>
        <w:tc>
          <w:tcPr>
            <w:tcW w:w="1500" w:type="dxa"/>
            <w:tcBorders>
              <w:top w:val="single" w:sz="4" w:space="0" w:color="000000"/>
              <w:bottom w:val="single" w:sz="4" w:space="0" w:color="000000"/>
            </w:tcBorders>
          </w:tcPr>
          <w:p w14:paraId="5CCB7D7C" w14:textId="77777777" w:rsidR="00A2745B" w:rsidRDefault="00000000">
            <w:pPr>
              <w:jc w:val="center"/>
            </w:pPr>
            <w:r>
              <w:t>Ambev</w:t>
            </w:r>
          </w:p>
        </w:tc>
        <w:tc>
          <w:tcPr>
            <w:tcW w:w="700" w:type="dxa"/>
            <w:tcBorders>
              <w:top w:val="single" w:sz="4" w:space="0" w:color="000000"/>
              <w:bottom w:val="single" w:sz="4" w:space="0" w:color="000000"/>
            </w:tcBorders>
          </w:tcPr>
          <w:p w14:paraId="5CCB7D7D" w14:textId="77777777" w:rsidR="00A2745B" w:rsidRDefault="00000000">
            <w:pPr>
              <w:jc w:val="center"/>
            </w:pPr>
            <w:r>
              <w:t>2024</w:t>
            </w:r>
          </w:p>
        </w:tc>
        <w:tc>
          <w:tcPr>
            <w:tcW w:w="700" w:type="dxa"/>
            <w:tcBorders>
              <w:top w:val="single" w:sz="4" w:space="0" w:color="000000"/>
              <w:bottom w:val="single" w:sz="4" w:space="0" w:color="000000"/>
            </w:tcBorders>
          </w:tcPr>
          <w:p w14:paraId="5CCB7D7E" w14:textId="77777777" w:rsidR="00A2745B" w:rsidRDefault="00000000">
            <w:pPr>
              <w:jc w:val="center"/>
            </w:pPr>
            <w:r>
              <w:t>15,5</w:t>
            </w:r>
          </w:p>
        </w:tc>
        <w:tc>
          <w:tcPr>
            <w:tcW w:w="700" w:type="dxa"/>
            <w:tcBorders>
              <w:top w:val="single" w:sz="4" w:space="0" w:color="000000"/>
              <w:bottom w:val="single" w:sz="4" w:space="0" w:color="000000"/>
            </w:tcBorders>
          </w:tcPr>
          <w:p w14:paraId="5CCB7D7F" w14:textId="77777777" w:rsidR="00A2745B" w:rsidRDefault="00000000">
            <w:pPr>
              <w:jc w:val="center"/>
            </w:pPr>
            <w:r>
              <w:t>2,2</w:t>
            </w:r>
          </w:p>
        </w:tc>
        <w:tc>
          <w:tcPr>
            <w:tcW w:w="800" w:type="dxa"/>
            <w:tcBorders>
              <w:top w:val="single" w:sz="4" w:space="0" w:color="000000"/>
              <w:bottom w:val="single" w:sz="4" w:space="0" w:color="000000"/>
            </w:tcBorders>
          </w:tcPr>
          <w:p w14:paraId="5CCB7D80" w14:textId="77777777" w:rsidR="00A2745B" w:rsidRDefault="00000000">
            <w:pPr>
              <w:jc w:val="center"/>
            </w:pPr>
            <w:r>
              <w:t>14,5%</w:t>
            </w:r>
          </w:p>
        </w:tc>
        <w:tc>
          <w:tcPr>
            <w:tcW w:w="800" w:type="dxa"/>
            <w:tcBorders>
              <w:top w:val="single" w:sz="4" w:space="0" w:color="000000"/>
              <w:bottom w:val="single" w:sz="4" w:space="0" w:color="000000"/>
            </w:tcBorders>
          </w:tcPr>
          <w:p w14:paraId="5CCB7D81" w14:textId="77777777" w:rsidR="00A2745B" w:rsidRDefault="00000000">
            <w:pPr>
              <w:jc w:val="center"/>
            </w:pPr>
            <w:r>
              <w:t>8,5%</w:t>
            </w:r>
          </w:p>
        </w:tc>
        <w:tc>
          <w:tcPr>
            <w:tcW w:w="700" w:type="dxa"/>
            <w:tcBorders>
              <w:top w:val="single" w:sz="4" w:space="0" w:color="000000"/>
              <w:bottom w:val="single" w:sz="4" w:space="0" w:color="000000"/>
            </w:tcBorders>
          </w:tcPr>
          <w:p w14:paraId="5CCB7D82" w14:textId="77777777" w:rsidR="00A2745B" w:rsidRDefault="00000000">
            <w:pPr>
              <w:jc w:val="center"/>
            </w:pPr>
            <w:r>
              <w:t>5,8%</w:t>
            </w:r>
          </w:p>
        </w:tc>
        <w:tc>
          <w:tcPr>
            <w:tcW w:w="900" w:type="dxa"/>
            <w:tcBorders>
              <w:top w:val="single" w:sz="4" w:space="0" w:color="000000"/>
              <w:bottom w:val="single" w:sz="4" w:space="0" w:color="000000"/>
            </w:tcBorders>
          </w:tcPr>
          <w:p w14:paraId="5CCB7D83" w14:textId="77777777" w:rsidR="00A2745B" w:rsidRDefault="00000000">
            <w:pPr>
              <w:jc w:val="center"/>
            </w:pPr>
            <w:r>
              <w:t>14,5%</w:t>
            </w:r>
          </w:p>
        </w:tc>
        <w:tc>
          <w:tcPr>
            <w:tcW w:w="1000" w:type="dxa"/>
            <w:tcBorders>
              <w:top w:val="single" w:sz="4" w:space="0" w:color="000000"/>
              <w:bottom w:val="single" w:sz="4" w:space="0" w:color="000000"/>
            </w:tcBorders>
          </w:tcPr>
          <w:p w14:paraId="5CCB7D84" w14:textId="77777777" w:rsidR="00A2745B" w:rsidRDefault="00000000">
            <w:pPr>
              <w:jc w:val="center"/>
            </w:pPr>
            <w:r>
              <w:t>3,0%</w:t>
            </w:r>
          </w:p>
        </w:tc>
      </w:tr>
      <w:tr w:rsidR="00A2745B" w14:paraId="5CCB7D90" w14:textId="77777777">
        <w:tblPrEx>
          <w:tblCellMar>
            <w:top w:w="0" w:type="dxa"/>
            <w:bottom w:w="0" w:type="dxa"/>
          </w:tblCellMar>
        </w:tblPrEx>
        <w:tc>
          <w:tcPr>
            <w:tcW w:w="900" w:type="dxa"/>
            <w:tcBorders>
              <w:top w:val="single" w:sz="4" w:space="0" w:color="000000"/>
              <w:bottom w:val="single" w:sz="4" w:space="0" w:color="000000"/>
            </w:tcBorders>
          </w:tcPr>
          <w:p w14:paraId="5CCB7D86" w14:textId="77777777" w:rsidR="00A2745B" w:rsidRDefault="00000000">
            <w:pPr>
              <w:jc w:val="center"/>
            </w:pPr>
            <w:r>
              <w:t>ABEV3</w:t>
            </w:r>
          </w:p>
        </w:tc>
        <w:tc>
          <w:tcPr>
            <w:tcW w:w="1500" w:type="dxa"/>
            <w:tcBorders>
              <w:top w:val="single" w:sz="4" w:space="0" w:color="000000"/>
              <w:bottom w:val="single" w:sz="4" w:space="0" w:color="000000"/>
            </w:tcBorders>
          </w:tcPr>
          <w:p w14:paraId="5CCB7D87" w14:textId="77777777" w:rsidR="00A2745B" w:rsidRDefault="00000000">
            <w:pPr>
              <w:jc w:val="center"/>
            </w:pPr>
            <w:r>
              <w:t>Ambev</w:t>
            </w:r>
          </w:p>
        </w:tc>
        <w:tc>
          <w:tcPr>
            <w:tcW w:w="700" w:type="dxa"/>
            <w:tcBorders>
              <w:top w:val="single" w:sz="4" w:space="0" w:color="000000"/>
              <w:bottom w:val="single" w:sz="4" w:space="0" w:color="000000"/>
            </w:tcBorders>
          </w:tcPr>
          <w:p w14:paraId="5CCB7D88" w14:textId="77777777" w:rsidR="00A2745B" w:rsidRDefault="00000000">
            <w:pPr>
              <w:jc w:val="center"/>
            </w:pPr>
            <w:r>
              <w:t>2025</w:t>
            </w:r>
          </w:p>
        </w:tc>
        <w:tc>
          <w:tcPr>
            <w:tcW w:w="700" w:type="dxa"/>
            <w:tcBorders>
              <w:top w:val="single" w:sz="4" w:space="0" w:color="000000"/>
              <w:bottom w:val="single" w:sz="4" w:space="0" w:color="000000"/>
            </w:tcBorders>
          </w:tcPr>
          <w:p w14:paraId="5CCB7D89" w14:textId="77777777" w:rsidR="00A2745B" w:rsidRDefault="00000000">
            <w:pPr>
              <w:jc w:val="center"/>
            </w:pPr>
            <w:r>
              <w:t>14,8</w:t>
            </w:r>
          </w:p>
        </w:tc>
        <w:tc>
          <w:tcPr>
            <w:tcW w:w="700" w:type="dxa"/>
            <w:tcBorders>
              <w:top w:val="single" w:sz="4" w:space="0" w:color="000000"/>
              <w:bottom w:val="single" w:sz="4" w:space="0" w:color="000000"/>
            </w:tcBorders>
          </w:tcPr>
          <w:p w14:paraId="5CCB7D8A" w14:textId="77777777" w:rsidR="00A2745B" w:rsidRDefault="00000000">
            <w:pPr>
              <w:jc w:val="center"/>
            </w:pPr>
            <w:r>
              <w:t>2,1</w:t>
            </w:r>
          </w:p>
        </w:tc>
        <w:tc>
          <w:tcPr>
            <w:tcW w:w="800" w:type="dxa"/>
            <w:tcBorders>
              <w:top w:val="single" w:sz="4" w:space="0" w:color="000000"/>
              <w:bottom w:val="single" w:sz="4" w:space="0" w:color="000000"/>
            </w:tcBorders>
          </w:tcPr>
          <w:p w14:paraId="5CCB7D8B" w14:textId="77777777" w:rsidR="00A2745B" w:rsidRDefault="00000000">
            <w:pPr>
              <w:jc w:val="center"/>
            </w:pPr>
            <w:r>
              <w:t>15,0%</w:t>
            </w:r>
          </w:p>
        </w:tc>
        <w:tc>
          <w:tcPr>
            <w:tcW w:w="800" w:type="dxa"/>
            <w:tcBorders>
              <w:top w:val="single" w:sz="4" w:space="0" w:color="000000"/>
              <w:bottom w:val="single" w:sz="4" w:space="0" w:color="000000"/>
            </w:tcBorders>
          </w:tcPr>
          <w:p w14:paraId="5CCB7D8C" w14:textId="77777777" w:rsidR="00A2745B" w:rsidRDefault="00000000">
            <w:pPr>
              <w:jc w:val="center"/>
            </w:pPr>
            <w:r>
              <w:t>9,0%</w:t>
            </w:r>
          </w:p>
        </w:tc>
        <w:tc>
          <w:tcPr>
            <w:tcW w:w="700" w:type="dxa"/>
            <w:tcBorders>
              <w:top w:val="single" w:sz="4" w:space="0" w:color="000000"/>
              <w:bottom w:val="single" w:sz="4" w:space="0" w:color="000000"/>
            </w:tcBorders>
          </w:tcPr>
          <w:p w14:paraId="5CCB7D8D" w14:textId="77777777" w:rsidR="00A2745B" w:rsidRDefault="00000000">
            <w:pPr>
              <w:jc w:val="center"/>
            </w:pPr>
            <w:r>
              <w:t>6,0%</w:t>
            </w:r>
          </w:p>
        </w:tc>
        <w:tc>
          <w:tcPr>
            <w:tcW w:w="900" w:type="dxa"/>
            <w:tcBorders>
              <w:top w:val="single" w:sz="4" w:space="0" w:color="000000"/>
              <w:bottom w:val="single" w:sz="4" w:space="0" w:color="000000"/>
            </w:tcBorders>
          </w:tcPr>
          <w:p w14:paraId="5CCB7D8E" w14:textId="77777777" w:rsidR="00A2745B" w:rsidRDefault="00000000">
            <w:pPr>
              <w:jc w:val="center"/>
            </w:pPr>
            <w:r>
              <w:t>15,0%</w:t>
            </w:r>
          </w:p>
        </w:tc>
        <w:tc>
          <w:tcPr>
            <w:tcW w:w="1000" w:type="dxa"/>
            <w:tcBorders>
              <w:top w:val="single" w:sz="4" w:space="0" w:color="000000"/>
              <w:bottom w:val="single" w:sz="4" w:space="0" w:color="000000"/>
            </w:tcBorders>
          </w:tcPr>
          <w:p w14:paraId="5CCB7D8F" w14:textId="77777777" w:rsidR="00A2745B" w:rsidRDefault="00000000">
            <w:pPr>
              <w:jc w:val="center"/>
            </w:pPr>
            <w:r>
              <w:t>3,5%</w:t>
            </w:r>
          </w:p>
        </w:tc>
      </w:tr>
    </w:tbl>
    <w:p w14:paraId="5CCB7D91" w14:textId="77777777" w:rsidR="00A2745B" w:rsidRDefault="00000000">
      <w:pPr>
        <w:spacing w:before="40" w:after="160"/>
      </w:pPr>
      <w:r>
        <w:t>Fonte: elaborado pelos autores com base em Status Invest (2026), Fundamentus (2026) e Investidor10 (2026).</w:t>
      </w:r>
    </w:p>
    <w:p w14:paraId="5CCB7D92" w14:textId="77777777" w:rsidR="00A2745B" w:rsidRDefault="00000000">
      <w:pPr>
        <w:spacing w:before="240" w:after="120"/>
      </w:pPr>
      <w:r>
        <w:rPr>
          <w:b/>
          <w:bCs/>
          <w:sz w:val="24"/>
          <w:szCs w:val="24"/>
        </w:rPr>
        <w:t>4 DESENVOLVIMENTO DO DASHBOARD</w:t>
      </w:r>
    </w:p>
    <w:p w14:paraId="5CCB7D93" w14:textId="77777777" w:rsidR="00A2745B" w:rsidRDefault="00000000">
      <w:pPr>
        <w:spacing w:before="200" w:after="100"/>
      </w:pPr>
      <w:r>
        <w:rPr>
          <w:sz w:val="24"/>
          <w:szCs w:val="24"/>
        </w:rPr>
        <w:t>4.1 Modelo de dados</w:t>
      </w:r>
    </w:p>
    <w:p w14:paraId="5CCB7D94" w14:textId="77777777" w:rsidR="00A2745B" w:rsidRDefault="00000000">
      <w:pPr>
        <w:spacing w:after="120"/>
        <w:jc w:val="both"/>
      </w:pPr>
      <w:r>
        <w:rPr>
          <w:sz w:val="24"/>
          <w:szCs w:val="24"/>
        </w:rPr>
        <w:t>O dashboard foi construído no Power BI Desktop a partir de um modelo em esquema estrela, com a tabela cotacoes_diarias e a tabela indicadores_anuais funcionando como tabelas de fatos, relacionadas à tabela empresas (dimensão) por meio da coluna ticker. Uma tabela calendário foi criada a partir da coluna Data de cotacoes_diarias, permitindo a construção da hierarquia Ano &gt; Trimestre &gt; Mês &gt; Dia utilizada no recurso de drill-down.</w:t>
      </w:r>
    </w:p>
    <w:p w14:paraId="5CCB7D95" w14:textId="77777777" w:rsidR="00A2745B" w:rsidRDefault="00000000">
      <w:pPr>
        <w:spacing w:before="200" w:after="100"/>
      </w:pPr>
      <w:r>
        <w:rPr>
          <w:sz w:val="24"/>
          <w:szCs w:val="24"/>
        </w:rPr>
        <w:t>4.2 Importação dos dados</w:t>
      </w:r>
    </w:p>
    <w:p w14:paraId="5CCB7D96" w14:textId="77777777" w:rsidR="00A2745B" w:rsidRDefault="00000000">
      <w:pPr>
        <w:spacing w:after="120"/>
        <w:jc w:val="both"/>
      </w:pPr>
      <w:r>
        <w:rPr>
          <w:sz w:val="24"/>
          <w:szCs w:val="24"/>
        </w:rPr>
        <w:t>A importação foi realizada por meio da opção Obter Dados &gt; Banco de Dados &gt; SQLite, apontando para o arquivo dashboard_ibovespa.db, alternativamente sendo possível importar diretamente os arquivos CSV equivalentes (empresas.csv, indicadores_anuais.csv e cotacoes_diarias.csv). No Power Query, os tipos de dados foram ajustados (Data como Data, valores percentuais e monetários como Decimal) e foram criadas colunas calculadas de Ano, Trimestre e Mês a partir da coluna Data.</w:t>
      </w:r>
    </w:p>
    <w:p w14:paraId="5CCB7D97" w14:textId="77777777" w:rsidR="00A2745B" w:rsidRDefault="00000000">
      <w:pPr>
        <w:spacing w:before="200" w:after="100"/>
      </w:pPr>
      <w:r>
        <w:rPr>
          <w:sz w:val="24"/>
          <w:szCs w:val="24"/>
        </w:rPr>
        <w:t>4.3 Visualizações construídas</w:t>
      </w:r>
    </w:p>
    <w:p w14:paraId="5CCB7D98" w14:textId="77777777" w:rsidR="00A2745B" w:rsidRDefault="00000000">
      <w:pPr>
        <w:spacing w:after="120"/>
        <w:jc w:val="both"/>
      </w:pPr>
      <w:r>
        <w:rPr>
          <w:sz w:val="24"/>
          <w:szCs w:val="24"/>
        </w:rPr>
        <w:t>O dashboard foi organizado em duas páginas principais. A primeira página, "Preço das Ações", contém um gráfico de linha com o eixo Data configurado com a hierarquia de datas do Power BI (Ano, Trimestre, Mês, Dia) e o campo Fechamento no eixo de valores, segmentado por Ticker; ao clicar com o botão direito no eixo e habilitar "Ir para o próximo nível na hierarquia" (ou duplo clique sobre uma coluna/ponto), o usuário pode expandir a visualização do nível anual até o nível diário. Um segmentador (slicer) de Ticker permite isolar a análise por empresa.</w:t>
      </w:r>
    </w:p>
    <w:p w14:paraId="5CCB7D99" w14:textId="77777777" w:rsidR="00A2745B" w:rsidRDefault="00000000">
      <w:pPr>
        <w:spacing w:after="120"/>
        <w:jc w:val="both"/>
      </w:pPr>
      <w:r>
        <w:rPr>
          <w:sz w:val="24"/>
          <w:szCs w:val="24"/>
        </w:rPr>
        <w:t xml:space="preserve">A segunda página, "Indicadores Fundamentalistas", reúne: (a) um gráfico de colunas agrupadas comparando o ROE e a Margem Líquida das cinco empresas por ano; (b) uma matriz com empresas nas linhas, anos nas colunas e os sete indicadores como valores, permitindo comparação detalhada; e (c) cartões de KPI destacando o P/L, o Dividend Yield e o ROE mais recentes (2025) de cada empresa, com formatação condicional para destacar os valores mais altos e mais baixos do grupo. Esses três tipos de visualização — linha, colunas e matriz/cartões </w:t>
      </w:r>
      <w:r>
        <w:rPr>
          <w:sz w:val="24"/>
          <w:szCs w:val="24"/>
        </w:rPr>
        <w:lastRenderedPageBreak/>
        <w:t>— atendem ao requisito de pelo menos três formas distintas de visualização estabelecido no enunciado do trabalho.</w:t>
      </w:r>
    </w:p>
    <w:p w14:paraId="5CCB7D9A" w14:textId="77777777" w:rsidR="00A2745B" w:rsidRDefault="00000000">
      <w:pPr>
        <w:spacing w:before="200" w:after="100"/>
      </w:pPr>
      <w:r>
        <w:rPr>
          <w:sz w:val="24"/>
          <w:szCs w:val="24"/>
        </w:rPr>
        <w:t>4.4 Medidas DAX</w:t>
      </w:r>
    </w:p>
    <w:p w14:paraId="5CCB7D9B" w14:textId="77777777" w:rsidR="00A2745B" w:rsidRDefault="00000000">
      <w:pPr>
        <w:spacing w:after="120"/>
        <w:jc w:val="both"/>
      </w:pPr>
      <w:r>
        <w:rPr>
          <w:sz w:val="24"/>
          <w:szCs w:val="24"/>
        </w:rPr>
        <w:t>Foram criadas medidas DAX auxiliares, entre elas: Preço Médio no Período = AVERAGE('cotacoes_diarias'[Fechamento]); Variação % no Período, calculada como a razão entre o último e o primeiro fechamento do intervalo selecionado menos um; e ROE Médio 3 anos e Margem Líquida Média 3 anos, calculadas como médias simples dos respectivos indicadores anuais por empresa, utilizadas nos cartões de KPI da segunda página.</w:t>
      </w:r>
    </w:p>
    <w:p w14:paraId="5CCB7D9C" w14:textId="77777777" w:rsidR="00A2745B" w:rsidRDefault="00000000">
      <w:pPr>
        <w:spacing w:before="240" w:after="120"/>
      </w:pPr>
      <w:r>
        <w:rPr>
          <w:b/>
          <w:bCs/>
          <w:sz w:val="24"/>
          <w:szCs w:val="24"/>
        </w:rPr>
        <w:t>5 ANÁLISE DOS RESULTADOS</w:t>
      </w:r>
    </w:p>
    <w:p w14:paraId="5CCB7D9D" w14:textId="77777777" w:rsidR="00A2745B" w:rsidRDefault="00000000">
      <w:pPr>
        <w:spacing w:after="120"/>
        <w:jc w:val="both"/>
      </w:pPr>
      <w:r>
        <w:rPr>
          <w:sz w:val="24"/>
          <w:szCs w:val="24"/>
        </w:rPr>
        <w:t>A leitura conjunta dos indicadores calculados evidencia perfis fundamentalistas nitidamente distintos entre as cinco empresas analisadas, refletindo as características estruturais de seus respectivos setores.</w:t>
      </w:r>
    </w:p>
    <w:p w14:paraId="5CCB7D9E" w14:textId="77777777" w:rsidR="00A2745B" w:rsidRDefault="00000000">
      <w:pPr>
        <w:spacing w:after="120"/>
        <w:jc w:val="both"/>
      </w:pPr>
      <w:r>
        <w:rPr>
          <w:sz w:val="24"/>
          <w:szCs w:val="24"/>
        </w:rPr>
        <w:t>Petrobras e Vale, como companhias de base em commodities (petróleo e minério de ferro, respectivamente), apresentam a maior volatilidade de margem líquida e de rentabilidade ao longo do período: a Petrobras teve sua margem líquida variando de 19% (2023) a 16% (2024) e retornando a 21,7% (2025), refletindo a sensibilidade do resultado ao preço internacional do petróleo e ao câmbio. Já a Vale apresentou uma queda expressiva de rentabilidade em 2025 (ROE de 4,4% e margem líquida de 4,0%, ante ROE de 24% em 2023), acompanhada de forte elevação do P/L (de 7,0 para 29,3), padrão consistente com uma empresa cujo lucro caiu proporcionalmente mais do que o preço da ação — cenário em que o P/L isoladamente pode induzir a uma leitura equivocada de "ação cara", quando na verdade reflete uma base de lucro deprimida no período. Esse é um exemplo prático de por que a análise fundamentalista recomenda a leitura combinada de múltiplos indicadores, e não de um único índice isolado (ASSAF NETO, 2018).</w:t>
      </w:r>
    </w:p>
    <w:p w14:paraId="5CCB7D9F" w14:textId="77777777" w:rsidR="00A2745B" w:rsidRDefault="00000000">
      <w:pPr>
        <w:spacing w:after="120"/>
        <w:jc w:val="both"/>
      </w:pPr>
      <w:r>
        <w:rPr>
          <w:sz w:val="24"/>
          <w:szCs w:val="24"/>
        </w:rPr>
        <w:t>O Itaú Unibanco, representando o setor bancário, mostra o padrão de maior estabilidade entre as cinco empresas: ROE na faixa de 21% a 22,5% e crescimento de receita positivo em todos os anos analisados, ainda que em desaceleração (de 12% em 2023 para 7% em 2025). O ROA do banco, naturalmente mais baixo que o das demais empresas (entre 1,9% e 2,0%), não deve ser comparado diretamente ao ROA de empresas não financeiras, dado que a estrutura de ativos de um banco — predominantemente financeira e alavancada — é estruturalmente distinta da de uma empresa industrial ou de mineração.</w:t>
      </w:r>
    </w:p>
    <w:p w14:paraId="5CCB7DA0" w14:textId="77777777" w:rsidR="00A2745B" w:rsidRDefault="00000000">
      <w:pPr>
        <w:spacing w:after="120"/>
        <w:jc w:val="both"/>
      </w:pPr>
      <w:r>
        <w:rPr>
          <w:sz w:val="24"/>
          <w:szCs w:val="24"/>
        </w:rPr>
        <w:t>A WEG apresenta o perfil de maior crescimento e os múltiplos de mercado mais elevados do grupo (P/L entre 28 e 32; P/VP entre 8,2 e 9,5), acompanhados de ROE consistentemente acima de 29% e crescimento de receita de dois dígitos em 2023 e 2024. Esse padrão é típico de empresas de qualidade com histórico de geração de valor, nas quais o mercado precifica um prêmio em relação ao lucro corrente, em contrapartida a um Dividend Yield mais baixo (entre 3,5% e 4,3%), já que a empresa retém parte relevante do lucro para reinvestimento em crescimento.</w:t>
      </w:r>
    </w:p>
    <w:p w14:paraId="5CCB7DA1" w14:textId="77777777" w:rsidR="00A2745B" w:rsidRDefault="00000000">
      <w:pPr>
        <w:spacing w:after="120"/>
        <w:jc w:val="both"/>
      </w:pPr>
      <w:r>
        <w:rPr>
          <w:sz w:val="24"/>
          <w:szCs w:val="24"/>
        </w:rPr>
        <w:t>A Ambev, por fim, exibe o perfil mais defensivo do grupo: crescimento de receita mais moderado (entre 3% e 4%), rentabilidade estável (ROE entre 14% e 15%) e Dividend Yield intermediário (entre 5,5% e 6,0%), características associadas a empresas de bens de consumo não duráveis, menos sensíveis a ciclos econômicos do que commodities, porém com menor potencial de crescimento acelerado do que empresas industriais em expansão como a WEG.</w:t>
      </w:r>
    </w:p>
    <w:p w14:paraId="5CCB7DA2" w14:textId="77777777" w:rsidR="00A2745B" w:rsidRDefault="00000000">
      <w:pPr>
        <w:spacing w:after="120"/>
        <w:jc w:val="both"/>
      </w:pPr>
      <w:r>
        <w:rPr>
          <w:sz w:val="24"/>
          <w:szCs w:val="24"/>
        </w:rPr>
        <w:t xml:space="preserve">Do ponto de vista do investidor, o conjunto de indicadores sugere um trade-off claro entre as empresas analisadas: Petrobras e Vale oferecem, no período mais recente, Dividend Yield elevado em troca de maior volatilidade de resultado; Itaú Unibanco oferece previsibilidade e </w:t>
      </w:r>
      <w:r>
        <w:rPr>
          <w:sz w:val="24"/>
          <w:szCs w:val="24"/>
        </w:rPr>
        <w:lastRenderedPageBreak/>
        <w:t>rentabilidade estável; WEG oferece crescimento e qualidade a um múltiplo mais alto; e Ambev oferece um perfil intermediário, mais defensivo. Essa diversidade de perfis, visualizada de forma integrada no dashboard construído, ilustra o valor prático de reunir dados de fontes distintas em uma base única para fins de comparação fundamentalista.</w:t>
      </w:r>
    </w:p>
    <w:p w14:paraId="5CCB7DA3" w14:textId="77777777" w:rsidR="00A2745B" w:rsidRDefault="00000000">
      <w:pPr>
        <w:spacing w:before="240" w:after="120"/>
      </w:pPr>
      <w:r>
        <w:rPr>
          <w:b/>
          <w:bCs/>
          <w:sz w:val="24"/>
          <w:szCs w:val="24"/>
        </w:rPr>
        <w:t>6 CONCLUSÃO</w:t>
      </w:r>
    </w:p>
    <w:p w14:paraId="5CCB7DA4" w14:textId="77777777" w:rsidR="00A2745B" w:rsidRDefault="00000000">
      <w:pPr>
        <w:spacing w:after="120"/>
        <w:jc w:val="both"/>
      </w:pPr>
      <w:r>
        <w:rPr>
          <w:sz w:val="24"/>
          <w:szCs w:val="24"/>
        </w:rPr>
        <w:t>Este trabalho cumpriu o objetivo de realizar uma análise exploratória de cinco empresas do Ibovespa, integrando coleta de dados, estruturação em banco de dados, cálculo de indicadores fundamentalistas e construção de um dashboard analítico no Power BI. A estruturação dos dados em um banco relacional mostrou-se um passo metodológico relevante, na medida em que permitiu automatizar tanto o cálculo dos indicadores quanto a atualização do dashboard a partir de uma única fonte consistente de dados.</w:t>
      </w:r>
    </w:p>
    <w:p w14:paraId="5CCB7DA5" w14:textId="77777777" w:rsidR="00A2745B" w:rsidRDefault="00000000">
      <w:pPr>
        <w:spacing w:after="120"/>
        <w:jc w:val="both"/>
      </w:pPr>
      <w:r>
        <w:rPr>
          <w:sz w:val="24"/>
          <w:szCs w:val="24"/>
        </w:rPr>
        <w:t>A análise comparativa dos sete indicadores selecionados evidenciou que empresas do mesmo índice de mercado podem apresentar perfis fundamentalistas radicalmente diferentes, associados à natureza de seus setores — cíclico e sensível a commodities (Petrobras e Vale), regulado e alavancado (Itaú Unibanco), orientado a crescimento (WEG) ou defensivo (Ambev). Esse resultado reforça a importância de uma análise fundamentalista comparativa, e não apenas isolada por empresa, para a tomada de decisão de investimento.</w:t>
      </w:r>
    </w:p>
    <w:p w14:paraId="5CCB7DA6" w14:textId="77777777" w:rsidR="00A2745B" w:rsidRDefault="00000000">
      <w:pPr>
        <w:spacing w:after="120"/>
        <w:jc w:val="both"/>
      </w:pPr>
      <w:r>
        <w:rPr>
          <w:sz w:val="24"/>
          <w:szCs w:val="24"/>
        </w:rPr>
        <w:t>Como limitações do estudo, destacam-se a consolidação dos indicadores a partir de fontes secundárias em uma data de referência específica, o que recomenda validação periódica dos dados, e o uso de apenas três exercícios fiscais, o que restringe a identificação de ciclos econômicos mais longos. Como sugestão para trabalhos futuros, recomenda-se a ampliação do período histórico analisado, a inclusão de indicadores de endividamento (como Dívida Líquida/EBITDA) e a comparação com médias setoriais e com o próprio Ibovespa, de modo a contextualizar o desempenho relativo de cada empresa frente ao mercado como um todo.</w:t>
      </w:r>
    </w:p>
    <w:p w14:paraId="5CCB7DA7" w14:textId="77777777" w:rsidR="00A2745B" w:rsidRDefault="00000000">
      <w:pPr>
        <w:spacing w:before="240" w:after="120"/>
      </w:pPr>
      <w:r>
        <w:rPr>
          <w:b/>
          <w:bCs/>
          <w:sz w:val="24"/>
          <w:szCs w:val="24"/>
        </w:rPr>
        <w:t>REFERÊNCIAS</w:t>
      </w:r>
    </w:p>
    <w:p w14:paraId="5CCB7DA8" w14:textId="77777777" w:rsidR="00A2745B" w:rsidRDefault="00000000">
      <w:pPr>
        <w:spacing w:after="120"/>
      </w:pPr>
      <w:r>
        <w:rPr>
          <w:sz w:val="24"/>
          <w:szCs w:val="24"/>
        </w:rPr>
        <w:t>ASSAF NETO, Alexandre. Mercado financeiro. 14. ed. São Paulo: Atlas, 2018.</w:t>
      </w:r>
    </w:p>
    <w:p w14:paraId="5CCB7DA9" w14:textId="77777777" w:rsidR="00A2745B" w:rsidRDefault="00000000">
      <w:pPr>
        <w:spacing w:after="120"/>
      </w:pPr>
      <w:r>
        <w:rPr>
          <w:sz w:val="24"/>
          <w:szCs w:val="24"/>
        </w:rPr>
        <w:t>ASSOCIAÇÃO BRASILEIRA DE NORMAS TÉCNICAS. NBR 6022: informação e documentação: artigo em publicação periódica técnica e/ou científica – apresentação. Rio de Janeiro: ABNT, 2018.</w:t>
      </w:r>
    </w:p>
    <w:p w14:paraId="5CCB7DAA" w14:textId="77777777" w:rsidR="00A2745B" w:rsidRDefault="00000000">
      <w:pPr>
        <w:spacing w:after="120"/>
      </w:pPr>
      <w:r>
        <w:rPr>
          <w:sz w:val="24"/>
          <w:szCs w:val="24"/>
        </w:rPr>
        <w:t>CATÓLICA DE VITÓRIA. Guia de elaboração e normalização de trabalhos acadêmicos e de pesquisa. 5. ed. Vitória, 2018. Disponível em: &lt;https://unisales.br/institucional/publicacoes/guia-de-normalizacao/&gt;. Acesso em: 24 ago. 2026.</w:t>
      </w:r>
    </w:p>
    <w:p w14:paraId="5CCB7DAB" w14:textId="77777777" w:rsidR="00A2745B" w:rsidRDefault="00000000">
      <w:pPr>
        <w:spacing w:after="120"/>
      </w:pPr>
      <w:r>
        <w:rPr>
          <w:sz w:val="24"/>
          <w:szCs w:val="24"/>
        </w:rPr>
        <w:t>DAMODARAN, Aswath. Avaliação de investimentos: ferramentas e técnicas para a determinação do valor de qualquer ativo. 2. ed. Rio de Janeiro: Qualitymark, 2010.</w:t>
      </w:r>
    </w:p>
    <w:p w14:paraId="5CCB7DAC" w14:textId="77777777" w:rsidR="00A2745B" w:rsidRDefault="00000000">
      <w:pPr>
        <w:spacing w:after="120"/>
      </w:pPr>
      <w:r>
        <w:rPr>
          <w:sz w:val="24"/>
          <w:szCs w:val="24"/>
        </w:rPr>
        <w:t>FUNDAMENTUS. Indicadores fundamentalistas. [S.l.], 2026. Disponível em: &lt;http://www.fundamentus.com.br&gt;. Acesso em: 24 ago. 2026.</w:t>
      </w:r>
    </w:p>
    <w:p w14:paraId="5CCB7DAD" w14:textId="77777777" w:rsidR="00A2745B" w:rsidRDefault="00000000">
      <w:pPr>
        <w:spacing w:after="120"/>
      </w:pPr>
      <w:r>
        <w:rPr>
          <w:sz w:val="24"/>
          <w:szCs w:val="24"/>
        </w:rPr>
        <w:t>INFOMONEY. Indicadores fundamentalistas: o que são e como usar na análise de ações. [S.l.], 2026. Disponível em: &lt;https://www.infomoney.com.br/guias/indicadores-fundamentalistas/&gt;. Acesso em: 24 ago. 2026.</w:t>
      </w:r>
    </w:p>
    <w:p w14:paraId="5CCB7DAE" w14:textId="77777777" w:rsidR="00A2745B" w:rsidRDefault="00000000">
      <w:pPr>
        <w:spacing w:after="120"/>
      </w:pPr>
      <w:r>
        <w:rPr>
          <w:sz w:val="24"/>
          <w:szCs w:val="24"/>
        </w:rPr>
        <w:t>INVESTIDOR10. Ações: resultados, dividendos, cotação e indicadores. [S.l.], 2026. Disponível em: &lt;https://investidor10.com.br&gt;. Acesso em: 24 ago. 2026.</w:t>
      </w:r>
    </w:p>
    <w:p w14:paraId="5CCB7DAF" w14:textId="77777777" w:rsidR="00A2745B" w:rsidRDefault="00000000">
      <w:pPr>
        <w:spacing w:after="120"/>
      </w:pPr>
      <w:r>
        <w:rPr>
          <w:sz w:val="24"/>
          <w:szCs w:val="24"/>
        </w:rPr>
        <w:lastRenderedPageBreak/>
        <w:t>RANARO, Ran. yfinance: download market data from Yahoo! Finance's API. Versão 0.2. [S.l.: s.n.], 2026. 1 pacote Python. Disponível em: &lt;https://pypi.org/project/yfinance/&gt;. Acesso em: 24 ago. 2026.</w:t>
      </w:r>
    </w:p>
    <w:p w14:paraId="5CCB7DB0" w14:textId="77777777" w:rsidR="00A2745B" w:rsidRDefault="00000000">
      <w:pPr>
        <w:spacing w:after="120"/>
      </w:pPr>
      <w:r>
        <w:rPr>
          <w:sz w:val="24"/>
          <w:szCs w:val="24"/>
        </w:rPr>
        <w:t>STATUS INVEST. Ações: cotação e indicadores. [S.l.], 2026. Disponível em: &lt;https://statusinvest.com.br/acoes&gt;. Acesso em: 24 ago. 2026.</w:t>
      </w:r>
    </w:p>
    <w:p w14:paraId="5CCB7DB1" w14:textId="77777777" w:rsidR="00A2745B" w:rsidRDefault="00000000">
      <w:pPr>
        <w:spacing w:after="120"/>
      </w:pPr>
      <w:r>
        <w:rPr>
          <w:sz w:val="24"/>
          <w:szCs w:val="24"/>
        </w:rPr>
        <w:t>WIKIPÉDIA. Análise fundamentalista. [S.l.], 2026. Disponível em: &lt;https://pt.wikipedia.org/wiki/Análise_fundamentalista&gt;. Acesso em: 24 ago. 2026.</w:t>
      </w:r>
    </w:p>
    <w:sectPr w:rsidR="00A2745B">
      <w:footerReference w:type="default" r:id="rId7"/>
      <w:footerReference w:type="first" r:id="rId8"/>
      <w:pgSz w:w="11907" w:h="16840"/>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08B7" w14:textId="77777777" w:rsidR="009F1CF2" w:rsidRDefault="009F1CF2">
      <w:r>
        <w:separator/>
      </w:r>
    </w:p>
  </w:endnote>
  <w:endnote w:type="continuationSeparator" w:id="0">
    <w:p w14:paraId="44D81C1F" w14:textId="77777777" w:rsidR="009F1CF2" w:rsidRDefault="009F1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7DB2" w14:textId="203FCCC6" w:rsidR="00A2745B" w:rsidRDefault="00000000">
    <w:pPr>
      <w:jc w:val="right"/>
    </w:pPr>
    <w:r>
      <w:fldChar w:fldCharType="begin"/>
    </w:r>
    <w:r>
      <w:instrText>PAGE</w:instrText>
    </w:r>
    <w:r>
      <w:fldChar w:fldCharType="separate"/>
    </w:r>
    <w:r w:rsidR="00671E5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7DB3" w14:textId="77777777" w:rsidR="00A2745B" w:rsidRDefault="00A274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2345" w14:textId="77777777" w:rsidR="009F1CF2" w:rsidRDefault="009F1CF2">
      <w:r>
        <w:separator/>
      </w:r>
    </w:p>
  </w:footnote>
  <w:footnote w:type="continuationSeparator" w:id="0">
    <w:p w14:paraId="261F906B" w14:textId="77777777" w:rsidR="009F1CF2" w:rsidRDefault="009F1C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54D"/>
    <w:multiLevelType w:val="hybridMultilevel"/>
    <w:tmpl w:val="6F94EC74"/>
    <w:lvl w:ilvl="0" w:tplc="C1C66C1E">
      <w:start w:val="1"/>
      <w:numFmt w:val="bullet"/>
      <w:lvlText w:val="●"/>
      <w:lvlJc w:val="left"/>
      <w:pPr>
        <w:ind w:left="720" w:hanging="360"/>
      </w:pPr>
    </w:lvl>
    <w:lvl w:ilvl="1" w:tplc="271252D8">
      <w:start w:val="1"/>
      <w:numFmt w:val="bullet"/>
      <w:lvlText w:val="○"/>
      <w:lvlJc w:val="left"/>
      <w:pPr>
        <w:ind w:left="1440" w:hanging="360"/>
      </w:pPr>
    </w:lvl>
    <w:lvl w:ilvl="2" w:tplc="9474C3B2">
      <w:start w:val="1"/>
      <w:numFmt w:val="bullet"/>
      <w:lvlText w:val="■"/>
      <w:lvlJc w:val="left"/>
      <w:pPr>
        <w:ind w:left="2160" w:hanging="360"/>
      </w:pPr>
    </w:lvl>
    <w:lvl w:ilvl="3" w:tplc="044058EC">
      <w:start w:val="1"/>
      <w:numFmt w:val="bullet"/>
      <w:lvlText w:val="●"/>
      <w:lvlJc w:val="left"/>
      <w:pPr>
        <w:ind w:left="2880" w:hanging="360"/>
      </w:pPr>
    </w:lvl>
    <w:lvl w:ilvl="4" w:tplc="DDC8D32A">
      <w:start w:val="1"/>
      <w:numFmt w:val="bullet"/>
      <w:lvlText w:val="○"/>
      <w:lvlJc w:val="left"/>
      <w:pPr>
        <w:ind w:left="3600" w:hanging="360"/>
      </w:pPr>
    </w:lvl>
    <w:lvl w:ilvl="5" w:tplc="796A48AA">
      <w:start w:val="1"/>
      <w:numFmt w:val="bullet"/>
      <w:lvlText w:val="■"/>
      <w:lvlJc w:val="left"/>
      <w:pPr>
        <w:ind w:left="4320" w:hanging="360"/>
      </w:pPr>
    </w:lvl>
    <w:lvl w:ilvl="6" w:tplc="2AF09B0A">
      <w:start w:val="1"/>
      <w:numFmt w:val="bullet"/>
      <w:lvlText w:val="●"/>
      <w:lvlJc w:val="left"/>
      <w:pPr>
        <w:ind w:left="5040" w:hanging="360"/>
      </w:pPr>
    </w:lvl>
    <w:lvl w:ilvl="7" w:tplc="5C882530">
      <w:start w:val="1"/>
      <w:numFmt w:val="bullet"/>
      <w:lvlText w:val="●"/>
      <w:lvlJc w:val="left"/>
      <w:pPr>
        <w:ind w:left="5760" w:hanging="360"/>
      </w:pPr>
    </w:lvl>
    <w:lvl w:ilvl="8" w:tplc="0816AF52">
      <w:start w:val="1"/>
      <w:numFmt w:val="bullet"/>
      <w:lvlText w:val="●"/>
      <w:lvlJc w:val="left"/>
      <w:pPr>
        <w:ind w:left="6480" w:hanging="360"/>
      </w:pPr>
    </w:lvl>
  </w:abstractNum>
  <w:num w:numId="1" w16cid:durableId="770709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5B"/>
    <w:rsid w:val="0017297B"/>
    <w:rsid w:val="001B378C"/>
    <w:rsid w:val="00621CD7"/>
    <w:rsid w:val="00671E50"/>
    <w:rsid w:val="009F1CF2"/>
    <w:rsid w:val="00A2745B"/>
    <w:rsid w:val="00AE25CA"/>
    <w:rsid w:val="00CD2C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7CC0"/>
  <w15:docId w15:val="{AF0F056C-7156-44E9-A975-E62831E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3265</Words>
  <Characters>17635</Characters>
  <Application>Microsoft Office Word</Application>
  <DocSecurity>0</DocSecurity>
  <Lines>146</Lines>
  <Paragraphs>41</Paragraphs>
  <ScaleCrop>false</ScaleCrop>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Araújo Silva</cp:lastModifiedBy>
  <cp:revision>6</cp:revision>
  <dcterms:created xsi:type="dcterms:W3CDTF">2026-08-24T20:45:00Z</dcterms:created>
  <dcterms:modified xsi:type="dcterms:W3CDTF">2026-09-14T17:44:00Z</dcterms:modified>
</cp:coreProperties>
</file>