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1469" w14:textId="77777777" w:rsidR="00CB6E23" w:rsidRDefault="00000000">
      <w:pPr>
        <w:spacing w:before="120" w:after="120" w:line="360" w:lineRule="auto"/>
        <w:jc w:val="center"/>
        <w:rPr>
          <w:rFonts w:ascii="Californian FB" w:hAnsi="Californian FB" w:cs="Californian FB"/>
          <w:b/>
          <w:bCs/>
          <w:sz w:val="24"/>
          <w:szCs w:val="24"/>
        </w:rPr>
      </w:pPr>
      <w:r>
        <w:rPr>
          <w:rFonts w:ascii="Californian FB" w:hAnsi="Californian FB" w:cs="Californian FB"/>
          <w:b/>
          <w:bCs/>
          <w:sz w:val="24"/>
          <w:szCs w:val="24"/>
        </w:rPr>
        <w:t xml:space="preserve">AO JUÍZO </w:t>
      </w:r>
      <w:r w:rsidRPr="00A2768D">
        <w:rPr>
          <w:rFonts w:ascii="Californian FB" w:hAnsi="Californian FB" w:cs="Californian FB"/>
          <w:b/>
          <w:bCs/>
          <w:sz w:val="24"/>
          <w:szCs w:val="24"/>
          <w:highlight w:val="red"/>
        </w:rPr>
        <w:t>DO JUIZADO ESPECIAL CÍVEL DE CUIABÁ/MT, A QUE ESTA FOR DISTRIBUÍDA</w:t>
      </w:r>
    </w:p>
    <w:p w14:paraId="1575EBF8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bCs/>
          <w:spacing w:val="2"/>
          <w:sz w:val="24"/>
          <w:szCs w:val="24"/>
          <w:shd w:val="clear" w:color="auto" w:fill="FFFFFF"/>
        </w:rPr>
      </w:pPr>
    </w:p>
    <w:p w14:paraId="67EA4B41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</w:p>
    <w:p w14:paraId="2255E55D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</w:p>
    <w:p w14:paraId="544CF813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pacing w:val="2"/>
          <w:sz w:val="24"/>
          <w:szCs w:val="24"/>
          <w:shd w:val="clear" w:color="auto" w:fill="FFFFFF"/>
        </w:rPr>
      </w:pPr>
    </w:p>
    <w:p w14:paraId="27D5E232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53536437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413879D5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2EA6B0C7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4BD8984F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4F57FC9E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7D832524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2B34DDED" w14:textId="77777777" w:rsidR="00CB6E23" w:rsidRDefault="00CB6E23">
      <w:pPr>
        <w:spacing w:before="120" w:after="120" w:line="360" w:lineRule="auto"/>
        <w:ind w:firstLine="708"/>
        <w:jc w:val="both"/>
        <w:rPr>
          <w:rFonts w:ascii="Californian FB" w:hAnsi="Californian FB" w:cs="Californian FB"/>
          <w:b/>
          <w:color w:val="000000"/>
          <w:sz w:val="24"/>
          <w:szCs w:val="24"/>
        </w:rPr>
      </w:pPr>
    </w:p>
    <w:p w14:paraId="26328CB7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bCs/>
          <w:color w:val="000000"/>
          <w:sz w:val="24"/>
          <w:szCs w:val="24"/>
        </w:rPr>
      </w:pPr>
      <w:r>
        <w:rPr>
          <w:rFonts w:ascii="Californian FB" w:hAnsi="Californian FB" w:cs="Californian FB"/>
          <w:b/>
          <w:color w:val="000000"/>
          <w:sz w:val="24"/>
          <w:szCs w:val="24"/>
        </w:rPr>
        <w:t>{{NOME_AUTOR}}</w:t>
      </w:r>
      <w:r>
        <w:rPr>
          <w:rFonts w:ascii="Californian FB" w:hAnsi="Californian FB" w:cs="Californian FB"/>
          <w:color w:val="000000"/>
          <w:sz w:val="24"/>
          <w:szCs w:val="24"/>
        </w:rPr>
        <w:t xml:space="preserve">, brasileira, {{ESTADO_CIVIL}}, médica, inscrita no CPF sob o nº {{CPF}}, residente e domiciliada na {{ENDERECO_COMPLETO}} </w:t>
      </w:r>
      <w:r>
        <w:rPr>
          <w:rFonts w:ascii="Californian FB" w:hAnsi="Californian FB" w:cs="Californian FB"/>
          <w:color w:val="000000"/>
          <w:sz w:val="24"/>
          <w:szCs w:val="24"/>
          <w:highlight w:val="yellow"/>
        </w:rPr>
        <w:t>(doc. 01)</w:t>
      </w:r>
      <w:r>
        <w:rPr>
          <w:rFonts w:ascii="Californian FB" w:hAnsi="Californian FB" w:cs="Californian FB"/>
          <w:color w:val="000000"/>
          <w:sz w:val="24"/>
          <w:szCs w:val="24"/>
        </w:rPr>
        <w:t xml:space="preserve">, </w:t>
      </w:r>
      <w:r>
        <w:rPr>
          <w:rFonts w:ascii="Californian FB" w:hAnsi="Californian FB" w:cs="Californian FB"/>
          <w:bCs/>
          <w:color w:val="000000"/>
          <w:sz w:val="24"/>
          <w:szCs w:val="24"/>
        </w:rPr>
        <w:t xml:space="preserve">por seus procuradores judiciais que a presente subscrevem </w:t>
      </w:r>
      <w:r>
        <w:rPr>
          <w:rFonts w:ascii="Californian FB" w:hAnsi="Californian FB" w:cs="Californian FB"/>
          <w:bCs/>
          <w:color w:val="000000"/>
          <w:sz w:val="24"/>
          <w:szCs w:val="24"/>
          <w:highlight w:val="yellow"/>
        </w:rPr>
        <w:t>(doc. 02)</w:t>
      </w:r>
      <w:r>
        <w:rPr>
          <w:rFonts w:ascii="Californian FB" w:hAnsi="Californian FB" w:cs="Californian FB"/>
          <w:bCs/>
          <w:color w:val="000000"/>
          <w:sz w:val="24"/>
          <w:szCs w:val="24"/>
        </w:rPr>
        <w:t>, que informam possuir endereço profissional à Rua Lima, nº 106, Bairro Jardim das Américas, em Cuiabá/MT, vem, à presença de Vossa Excelência, intentar a presente.</w:t>
      </w:r>
    </w:p>
    <w:p w14:paraId="7C4D041F" w14:textId="77777777" w:rsidR="00CB6E23" w:rsidRDefault="00000000">
      <w:pPr>
        <w:spacing w:before="120" w:after="120" w:line="360" w:lineRule="auto"/>
        <w:jc w:val="center"/>
        <w:rPr>
          <w:rFonts w:ascii="Californian FB" w:hAnsi="Californian FB" w:cs="Californian FB"/>
          <w:b/>
          <w:color w:val="000000"/>
          <w:sz w:val="24"/>
          <w:szCs w:val="24"/>
        </w:rPr>
      </w:pPr>
      <w:r>
        <w:rPr>
          <w:rFonts w:ascii="Californian FB" w:hAnsi="Californian FB" w:cs="Californian FB"/>
          <w:b/>
          <w:spacing w:val="2"/>
          <w:sz w:val="24"/>
          <w:szCs w:val="24"/>
          <w:shd w:val="clear" w:color="auto" w:fill="FFFFFF"/>
        </w:rPr>
        <w:t>AÇÃO INDENIZATÓRIA DE AUXÍLIO MORADIA DE RESIDÊNCIA MÉDICA</w:t>
      </w:r>
    </w:p>
    <w:p w14:paraId="31A40995" w14:textId="77777777" w:rsidR="00CB6E23" w:rsidRDefault="00000000">
      <w:pPr>
        <w:spacing w:before="120" w:after="120" w:line="360" w:lineRule="auto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bCs/>
          <w:sz w:val="24"/>
          <w:szCs w:val="24"/>
        </w:rPr>
        <w:t xml:space="preserve">Em face da </w:t>
      </w:r>
      <w:r>
        <w:rPr>
          <w:rFonts w:ascii="Californian FB" w:hAnsi="Californian FB" w:cs="Californian FB"/>
          <w:b/>
          <w:sz w:val="24"/>
          <w:szCs w:val="24"/>
        </w:rPr>
        <w:t xml:space="preserve">{{HOSPITAL_NOME_COMPLETO}}, </w:t>
      </w:r>
      <w:r>
        <w:rPr>
          <w:rFonts w:ascii="Californian FB" w:hAnsi="Californian FB" w:cs="Californian FB"/>
          <w:bCs/>
          <w:sz w:val="24"/>
          <w:szCs w:val="24"/>
        </w:rPr>
        <w:t xml:space="preserve">pessoa jurídica de direito privado, inscrita no CNPJ/MF sob nº {{CNPJ_HOSPITAL}}, com endereço à {{ENDERECO_HOSPITAL}} e </w:t>
      </w:r>
      <w:r>
        <w:rPr>
          <w:rFonts w:ascii="Californian FB" w:hAnsi="Californian FB" w:cs="Californian FB"/>
          <w:b/>
          <w:sz w:val="24"/>
          <w:szCs w:val="24"/>
        </w:rPr>
        <w:t xml:space="preserve">{{UNIVERSIDADE_NOME}}, </w:t>
      </w:r>
      <w:r>
        <w:rPr>
          <w:rFonts w:ascii="Californian FB" w:hAnsi="Californian FB" w:cs="Californian FB"/>
          <w:bCs/>
          <w:sz w:val="24"/>
          <w:szCs w:val="24"/>
        </w:rPr>
        <w:t>mantenedora do Primeiro Requerido, instituição de ensino privado, inscrita no CNPJ sob nº {{CNPJ_UNIVERSIDADE}}, com sede na {{ENDERECO_UNIVERSIDADE}}</w:t>
      </w:r>
      <w:r>
        <w:rPr>
          <w:rFonts w:ascii="Californian FB" w:hAnsi="Californian FB" w:cs="Arial"/>
          <w:color w:val="202124"/>
          <w:sz w:val="24"/>
          <w:szCs w:val="24"/>
          <w:shd w:val="clear" w:color="auto" w:fill="FFFFFF"/>
        </w:rPr>
        <w:t xml:space="preserve">, </w:t>
      </w:r>
      <w:r>
        <w:rPr>
          <w:rFonts w:ascii="Californian FB" w:hAnsi="Californian FB" w:cs="Californian FB"/>
          <w:color w:val="000000"/>
          <w:sz w:val="24"/>
          <w:szCs w:val="24"/>
        </w:rPr>
        <w:t xml:space="preserve">pelas razões de fato e direito a seguir extenuadas: </w:t>
      </w:r>
    </w:p>
    <w:p w14:paraId="7D105764" w14:textId="77777777" w:rsidR="00CB6E23" w:rsidRDefault="00000000">
      <w:pPr>
        <w:spacing w:before="120" w:after="120" w:line="360" w:lineRule="auto"/>
        <w:jc w:val="both"/>
      </w:pPr>
      <w:r>
        <w:rPr>
          <w:rFonts w:ascii="Californian FB" w:hAnsi="Californian FB" w:cs="Californian FB"/>
          <w:b/>
          <w:spacing w:val="2"/>
          <w:sz w:val="24"/>
          <w:szCs w:val="24"/>
          <w:shd w:val="clear" w:color="auto" w:fill="FFFFFF"/>
        </w:rPr>
        <w:t xml:space="preserve">1. DOS FATOS </w:t>
      </w:r>
    </w:p>
    <w:p w14:paraId="76F5955B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bCs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lastRenderedPageBreak/>
        <w:t>Trata-se de ação de cobrança por indenização contra a requerida, tendo em vista a ausência de auferimento do auxílio moradia durante a realização de residência médica pel{{A_O}} requerente, fornecida pela Universidade de Cuiabá.</w:t>
      </w:r>
    </w:p>
    <w:p w14:paraId="466FB1FA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bCs/>
          <w:sz w:val="24"/>
          <w:szCs w:val="24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A requerente foi devidamente matriculada no Programa de Residência Médica na especialidade de {{ESPECIALIDADE}} </w:t>
      </w:r>
      <w:r>
        <w:rPr>
          <w:rFonts w:ascii="Californian FB" w:hAnsi="Californian FB" w:cs="Californian FB"/>
          <w:spacing w:val="2"/>
          <w:sz w:val="24"/>
          <w:szCs w:val="24"/>
          <w:highlight w:val="yellow"/>
          <w:shd w:val="clear" w:color="auto" w:fill="FFFFFF"/>
        </w:rPr>
        <w:t>(doc. 03)</w:t>
      </w:r>
      <w:r>
        <w:rPr>
          <w:rFonts w:ascii="Californian FB" w:hAnsi="Californian FB" w:cs="Californian FB"/>
          <w:bCs/>
          <w:sz w:val="24"/>
          <w:szCs w:val="24"/>
        </w:rPr>
        <w:t xml:space="preserve">. </w:t>
      </w:r>
    </w:p>
    <w:p w14:paraId="460BAFA4" w14:textId="1F8DA899" w:rsidR="00CB6E23" w:rsidRDefault="00A2768D">
      <w:pPr>
        <w:spacing w:before="120" w:after="120" w:line="360" w:lineRule="auto"/>
        <w:ind w:firstLine="1418"/>
        <w:jc w:val="both"/>
      </w:pPr>
      <w:r>
        <w:rPr>
          <w:noProof/>
        </w:rPr>
        <w:pict w14:anchorId="734862E7">
          <v:rect id="Tinta 2" o:spid="_x0000_s2050" style="position:absolute;left:0;text-align:left;margin-left:-159.8pt;margin-top:2.55pt;width:8.55pt;height:17.0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" filled="f" strokecolor="#fffc00" strokeweight="6mm">
            <v:stroke opacity="21588f" endcap="square"/>
          </v:rect>
        </w:pict>
      </w:r>
      <w:r w:rsidR="00000000"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Conforme extrato do Programa de residência médica, {{A_O}} autor{{A_VAZIO}} cursou residência no {{HOSPITAL_NOME}}, no período de {{DATA_INICIO_RESIDENCIA}} até {{DATA_FIM_RESIDENCIA}}, consoante cadastro no SISCNRM (Sistema da Comissão Nacional de Residência Médica).</w:t>
      </w:r>
    </w:p>
    <w:p w14:paraId="495E0F07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bCs/>
          <w:sz w:val="24"/>
          <w:szCs w:val="24"/>
        </w:rPr>
        <w:t xml:space="preserve">Nesse ínterim, o residente deveria ter recebido auxílio moradia, conforme </w:t>
      </w:r>
      <w:r>
        <w:rPr>
          <w:rFonts w:ascii="Californian FB" w:hAnsi="Californian FB" w:cs="Arial"/>
          <w:sz w:val="24"/>
          <w:szCs w:val="24"/>
        </w:rPr>
        <w:t>redação prevista no art. 4º da Lei nº 6.932, de 7 de julho de 1981, dada pela Lei nº 12.514/2011.</w:t>
      </w:r>
    </w:p>
    <w:p w14:paraId="38736153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iCs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Contudo, em que pese a imposição da lei nº 12.514/2011, que regulamenta os cursos de Residência Médica, e determina a concessão dos benefícios como o fornecimento de alojamento/moradia aos médicos residentes, {{A_O}} Requerente nunca recebeu qualquer auxílio nesse sentido, seja </w:t>
      </w:r>
      <w:r>
        <w:rPr>
          <w:rFonts w:ascii="Californian FB" w:hAnsi="Californian FB" w:cs="Californian FB"/>
          <w:i/>
          <w:iCs/>
          <w:spacing w:val="2"/>
          <w:sz w:val="24"/>
          <w:szCs w:val="24"/>
          <w:shd w:val="clear" w:color="auto" w:fill="FFFFFF"/>
        </w:rPr>
        <w:t>in natura ou in pecúnia</w:t>
      </w:r>
      <w:r>
        <w:rPr>
          <w:rFonts w:ascii="Californian FB" w:hAnsi="Californian FB" w:cs="Californian FB"/>
          <w:iCs/>
          <w:spacing w:val="2"/>
          <w:sz w:val="24"/>
          <w:szCs w:val="24"/>
          <w:shd w:val="clear" w:color="auto" w:fill="FFFFFF"/>
        </w:rPr>
        <w:t xml:space="preserve">, conforme se afere dos rendimentos pagos pelo Requerido </w:t>
      </w:r>
      <w:r>
        <w:rPr>
          <w:rFonts w:ascii="Californian FB" w:hAnsi="Californian FB" w:cs="Californian FB"/>
          <w:iCs/>
          <w:spacing w:val="2"/>
          <w:sz w:val="24"/>
          <w:szCs w:val="24"/>
          <w:highlight w:val="yellow"/>
          <w:shd w:val="clear" w:color="auto" w:fill="FFFFFF"/>
        </w:rPr>
        <w:t>(doc. 04)</w:t>
      </w:r>
      <w:r>
        <w:rPr>
          <w:rFonts w:ascii="Californian FB" w:hAnsi="Californian FB" w:cs="Californian FB"/>
          <w:iCs/>
          <w:spacing w:val="2"/>
          <w:sz w:val="24"/>
          <w:szCs w:val="24"/>
          <w:shd w:val="clear" w:color="auto" w:fill="FFFFFF"/>
        </w:rPr>
        <w:t>.</w:t>
      </w:r>
    </w:p>
    <w:p w14:paraId="3D698891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Nesse sentido, haja vista tal situação ilegal, necessária a intervenção do Poder Judiciário, para que, uma vez descumprida a obrigação discriminada, que o auxílio-moradia seja convertido em indenização com valor razoável que garanta um resultado prático equivalente.</w:t>
      </w:r>
    </w:p>
    <w:p w14:paraId="14A8ED3B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Eis a síntese.</w:t>
      </w:r>
    </w:p>
    <w:p w14:paraId="2FA1C002" w14:textId="77777777" w:rsidR="00CB6E23" w:rsidRDefault="00000000">
      <w:pPr>
        <w:spacing w:before="120" w:after="120" w:line="360" w:lineRule="auto"/>
        <w:jc w:val="both"/>
        <w:rPr>
          <w:rFonts w:ascii="Californian FB" w:hAnsi="Californian FB" w:cs="Californian FB"/>
          <w:b/>
          <w:bCs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b/>
          <w:bCs/>
          <w:spacing w:val="2"/>
          <w:sz w:val="24"/>
          <w:szCs w:val="24"/>
          <w:shd w:val="clear" w:color="auto" w:fill="FFFFFF"/>
        </w:rPr>
        <w:t xml:space="preserve">2. PRELIMINARMENTE. DA INTERRUPÇÃO DA PRESCRIÇÃO </w:t>
      </w:r>
    </w:p>
    <w:p w14:paraId="6B4FE2D1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Preliminarmente, requer-se o reconhecimento da interrupção do prazo prescricional, tendo em vista o ajuizamento de demanda anterior com mesmo pedido, objeto e causa de pedir, que foi extinta sem resolução do mérito. </w:t>
      </w:r>
    </w:p>
    <w:p w14:paraId="72BD60D0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Com efeito, verifica-se que a ação fora distribuída no interregno entre a vigência do Código de Processo Civil de 1973 com o atual Código Processual de 2015.</w:t>
      </w:r>
    </w:p>
    <w:p w14:paraId="6637F330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Conforme previsão legal do revogado art. 219 do Código de Processo Civil de 1973: </w:t>
      </w:r>
      <w:r>
        <w:rPr>
          <w:rFonts w:ascii="Californian FB" w:hAnsi="Californian FB" w:cs="Californian FB"/>
          <w:i/>
          <w:iCs/>
          <w:spacing w:val="2"/>
          <w:sz w:val="24"/>
          <w:szCs w:val="24"/>
          <w:shd w:val="clear" w:color="auto" w:fill="FFFFFF"/>
        </w:rPr>
        <w:t xml:space="preserve">“A citação válida torna prevento o juízo, induz litispendência e faz litigiosa a coisa; </w:t>
      </w:r>
      <w:r>
        <w:rPr>
          <w:rFonts w:ascii="Californian FB" w:hAnsi="Californian FB" w:cs="Californian FB"/>
          <w:i/>
          <w:iCs/>
          <w:spacing w:val="2"/>
          <w:sz w:val="24"/>
          <w:szCs w:val="24"/>
          <w:shd w:val="clear" w:color="auto" w:fill="FFFFFF"/>
        </w:rPr>
        <w:lastRenderedPageBreak/>
        <w:t>e, ainda quando ordenada por juiz incompetente, constitui em mora o devedor e interrompe a prescrição”.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 Por sua vez, o §1º do dispositivo transcrito revogado disciplinava que: </w:t>
      </w:r>
      <w:r>
        <w:rPr>
          <w:rFonts w:ascii="Californian FB" w:hAnsi="Californian FB" w:cs="Californian FB"/>
          <w:i/>
          <w:iCs/>
          <w:spacing w:val="2"/>
          <w:sz w:val="24"/>
          <w:szCs w:val="24"/>
          <w:shd w:val="clear" w:color="auto" w:fill="FFFFFF"/>
        </w:rPr>
        <w:t>“A interrupção da prescrição retroagirá à data da propositura da ação”.</w:t>
      </w:r>
    </w:p>
    <w:p w14:paraId="0B795A5F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Pois bem. No atual Código, o art. 240, § 1º disciplina, </w:t>
      </w:r>
      <w:r>
        <w:rPr>
          <w:rFonts w:ascii="Californian FB" w:hAnsi="Californian FB" w:cs="Californian FB"/>
          <w:i/>
          <w:iCs/>
          <w:spacing w:val="2"/>
          <w:sz w:val="24"/>
          <w:szCs w:val="24"/>
          <w:shd w:val="clear" w:color="auto" w:fill="FFFFFF"/>
        </w:rPr>
        <w:t>in verbis:</w:t>
      </w:r>
    </w:p>
    <w:p w14:paraId="498CB17F" w14:textId="77777777" w:rsidR="00CB6E23" w:rsidRDefault="00000000">
      <w:pPr>
        <w:spacing w:before="120" w:after="120" w:line="360" w:lineRule="auto"/>
        <w:ind w:left="226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Art. 240. (...)</w:t>
      </w:r>
    </w:p>
    <w:p w14:paraId="35823DD0" w14:textId="77777777" w:rsidR="00CB6E23" w:rsidRDefault="00000000">
      <w:pPr>
        <w:spacing w:before="120" w:after="120" w:line="360" w:lineRule="auto"/>
        <w:ind w:left="2268"/>
        <w:jc w:val="both"/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§ 1º A interrupção da prescrição, operada pelo despacho que ordena a citação, ainda que proferido por juízo incompetente, retroagirá à data de propositura da ação.</w:t>
      </w:r>
    </w:p>
    <w:p w14:paraId="608A24E2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No caso concreto, foi ajuizado em nome d{{A_O}} autor{{A_VAZIO}} o processo de nº {{NUMERO_PROCESSO_ANTERIOR_1}} que tramitou inicialmente na {{VARA_ANTERIOR_1}} </w:t>
      </w:r>
      <w:r>
        <w:rPr>
          <w:rFonts w:ascii="Californian FB" w:hAnsi="Californian FB" w:cs="Californian FB"/>
          <w:spacing w:val="2"/>
          <w:sz w:val="24"/>
          <w:szCs w:val="24"/>
          <w:highlight w:val="yellow"/>
          <w:shd w:val="clear" w:color="auto" w:fill="FFFFFF"/>
        </w:rPr>
        <w:t>(doc. 03)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. Esse processo foi devidamente ajuizado em {{DATA_AJUIZAMENTO_ANTERIOR}}.</w:t>
      </w:r>
    </w:p>
    <w:p w14:paraId="2EB5E784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O despacho que ordenou a citação do Requerido ocorreu em {{DATA_AJUIZAMENTO_ANTERIOR}}, conforme ID 157719881 </w:t>
      </w:r>
      <w:r>
        <w:rPr>
          <w:rFonts w:ascii="Californian FB" w:hAnsi="Californian FB" w:cs="Californian FB"/>
          <w:spacing w:val="2"/>
          <w:sz w:val="24"/>
          <w:szCs w:val="24"/>
          <w:highlight w:val="yellow"/>
          <w:shd w:val="clear" w:color="auto" w:fill="FFFFFF"/>
        </w:rPr>
        <w:t>(doc. 04)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.</w:t>
      </w:r>
    </w:p>
    <w:p w14:paraId="137F7EA2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Contudo, o juízo do {{VARA_ANTERIOR_1}} entendeu que competente o Juizado Especial da Fazenda Pública para processar e julgar a matéria. Com isso, julgou extinto o feito sem resolução de mérito.</w:t>
      </w:r>
    </w:p>
    <w:p w14:paraId="1D29D1DD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Posteriormente, novo processo foi distribuído junto ao {{VARA_ANTERIOR_2}} sob o nº {{NUMERO_PROCESSO_ANTERIOR_2}}, na qual extinguiu o feito sem resolução de mérito, sob o argumento que as rés, não se enquadram no rol </w:t>
      </w:r>
      <w:r>
        <w:rPr>
          <w:rFonts w:ascii="Californian FB" w:hAnsi="Californian FB" w:cs="Californian FB"/>
          <w:b/>
          <w:bCs/>
          <w:spacing w:val="2"/>
          <w:sz w:val="24"/>
          <w:szCs w:val="24"/>
          <w:u w:val="single"/>
          <w:shd w:val="clear" w:color="auto" w:fill="FFFFFF"/>
        </w:rPr>
        <w:t>taxativo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 de legitimados a que alude a Lei 12.153/09.</w:t>
      </w:r>
    </w:p>
    <w:p w14:paraId="6864C9EC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Veja que, independentemente da norma vigente, considerando que houve despacho inicial, bem como houve a citação válida no processo anteriormente extinto, o resultado, em quaisquer das normas, é o mesmo no caso concreto, qual seja: a retroatividade da interrupção da prescrição à data da distribuição da ação.</w:t>
      </w:r>
    </w:p>
    <w:p w14:paraId="7DA35D3D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Assim, consoante diploma legal, seja o despacho que ordena a citação, seja a citação válida, confere ao presente pleito eficácia retroativa à data da propositura da primeira ação. Portanto, o efeito interruptivo retroage à data do ajuizamento da ação anterior ({{DATA_AJUIZAMENTO_ANTERIOR}}).</w:t>
      </w:r>
    </w:p>
    <w:p w14:paraId="7F3CECAF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lastRenderedPageBreak/>
        <w:t>Neste sentido, o E. Tribunal de Mato Grosso já decidiu que no caso de extinção sem julgamento de mérito de ação anteriormente proposta no Juizado Especial, sobre a interrupção da prescrição, quando demanda anterior já havia sido ajuizada:</w:t>
      </w:r>
    </w:p>
    <w:p w14:paraId="5F50FBC5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hd w:val="clear" w:color="auto" w:fill="FFFFFF"/>
        </w:rPr>
        <w:t>AGRAVO INTERNO - APELAÇÃO - AÇÃO DE COBRANÇA - DPVAT -DEMANDA PROPOSTA ANTERIORMENTE NO JUIZADO ESPECIAL – CAUSAINTERRUPTIVA DO PRAZO PRESCRICIONAL - CONSTATAÇÃO -PRESCRIÇÃO AFASTADA - ART. 240, §1º, DO CPC/2015 – SENTENÇANULA - DIREITO À INDENIZAÇÃO CONSTATADO - AUSÊNCIA DEGRADUAÇÃO DAS LESÕES DO SEGURADO - FEITO NÃO MADURO PARAJULGAMENTO - RETORNO DOS AUTOS À ORIGEM PARA A DEVIDAINSTRUÇÃO - AGRAVO INTERNO PROVIDO - APELAÇÃO PARCIALMENTE PROVIDA.</w:t>
      </w:r>
    </w:p>
    <w:p w14:paraId="40D79AB2" w14:textId="77777777" w:rsidR="00CB6E23" w:rsidRDefault="00CB6E23">
      <w:pPr>
        <w:spacing w:before="120" w:after="120" w:line="240" w:lineRule="auto"/>
        <w:ind w:left="226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</w:p>
    <w:p w14:paraId="2A56683F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No caso de extinção sem julgamento de mérito de Ação anteriormente proposta no Juizado Especial, a citação válida interrompe a prescrição, nos termos do art. 240, §1º, do CPC/15. </w:t>
      </w:r>
    </w:p>
    <w:p w14:paraId="4FE9FA99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Portanto, considerando a demanda anteriormente ajuizada e a interrupção da prescrição nos termos do art. 219, §1º do Código processual revogado c/c art. 240, §1º do Código de Processo Civil vigente, bem como do art. 206, §3º, inciso IV do Código Civil, requer-se o reconhecimento da interrupção da prescrição, retroagindo-se à data da propositura da ação anteriormente ajuizada em {{DATA_AJUIZAMENTO_ANTERIOR}}.</w:t>
      </w:r>
    </w:p>
    <w:p w14:paraId="5E3FA4E2" w14:textId="77777777" w:rsidR="00CB6E23" w:rsidRDefault="00000000">
      <w:pPr>
        <w:pStyle w:val="NormalWeb"/>
        <w:shd w:val="clear" w:color="auto" w:fill="FFFFFF"/>
        <w:spacing w:before="120" w:after="120" w:line="360" w:lineRule="auto"/>
        <w:jc w:val="both"/>
        <w:rPr>
          <w:rFonts w:ascii="Californian FB" w:hAnsi="Californian FB" w:cs="Californian FB"/>
          <w:b/>
          <w:spacing w:val="2"/>
        </w:rPr>
      </w:pPr>
      <w:r>
        <w:rPr>
          <w:rFonts w:ascii="Californian FB" w:hAnsi="Californian FB" w:cs="Californian FB"/>
          <w:b/>
          <w:spacing w:val="2"/>
        </w:rPr>
        <w:t>3. DA CONCESSÃO DO AUXÍLIO MORADIA</w:t>
      </w:r>
    </w:p>
    <w:p w14:paraId="4AA5621E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bCs/>
          <w:spacing w:val="2"/>
        </w:rPr>
      </w:pPr>
      <w:r>
        <w:rPr>
          <w:rFonts w:ascii="Californian FB" w:hAnsi="Californian FB" w:cs="Californian FB"/>
          <w:bCs/>
          <w:spacing w:val="2"/>
        </w:rPr>
        <w:t>A lei nº 6.932/1981, alterada pela Lei nº 12.514/2011, determina, em seu artigo 4°, alguns direitos dos médicos residentes, entre eles, moradia. Vejamos:</w:t>
      </w:r>
    </w:p>
    <w:p w14:paraId="45B207F1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</w:rPr>
      </w:pPr>
      <w:r>
        <w:rPr>
          <w:rFonts w:ascii="Californian FB" w:hAnsi="Californian FB" w:cs="Arial"/>
        </w:rPr>
        <w:t>Art. 4º Ao médico-residente é assegurado bolsa no valor de R$ 2.384,82 (dois mil, trezentos e oitenta e quatro reais e oitenta e dois centavos), em regime especial de treinamento em serviço de 60 (sessenta) horas semanais.</w:t>
      </w:r>
    </w:p>
    <w:p w14:paraId="59E789BB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</w:rPr>
      </w:pPr>
      <w:r>
        <w:rPr>
          <w:rFonts w:ascii="Californian FB" w:hAnsi="Californian FB" w:cs="Arial"/>
        </w:rPr>
        <w:t>(...)</w:t>
      </w:r>
    </w:p>
    <w:p w14:paraId="229BBB54" w14:textId="77777777" w:rsidR="00CB6E23" w:rsidRDefault="00000000">
      <w:pPr>
        <w:spacing w:before="120" w:after="120" w:line="240" w:lineRule="auto"/>
        <w:ind w:left="2268"/>
        <w:jc w:val="both"/>
      </w:pPr>
      <w:r>
        <w:rPr>
          <w:rFonts w:ascii="Californian FB" w:hAnsi="Californian FB" w:cs="Arial"/>
        </w:rPr>
        <w:t xml:space="preserve">§ 5º A instituição de saúde responsável por programas de residência médica oferecerá ao médico-residente, durante todo o período de residência:        </w:t>
      </w:r>
    </w:p>
    <w:p w14:paraId="4B6E4AAD" w14:textId="77777777" w:rsidR="00CB6E23" w:rsidRDefault="00000000">
      <w:pPr>
        <w:spacing w:before="120" w:after="120" w:line="240" w:lineRule="auto"/>
        <w:ind w:left="2268"/>
        <w:jc w:val="both"/>
      </w:pPr>
      <w:r>
        <w:rPr>
          <w:rFonts w:ascii="Californian FB" w:hAnsi="Californian FB" w:cs="Arial"/>
        </w:rPr>
        <w:t xml:space="preserve">I - Condições adequadas para repouso e higiene pessoal durante os plantões;       </w:t>
      </w:r>
    </w:p>
    <w:p w14:paraId="61339B6C" w14:textId="77777777" w:rsidR="00CB6E23" w:rsidRDefault="00000000">
      <w:pPr>
        <w:spacing w:before="120" w:after="120" w:line="240" w:lineRule="auto"/>
        <w:ind w:left="2268"/>
        <w:jc w:val="both"/>
      </w:pPr>
      <w:r>
        <w:rPr>
          <w:rFonts w:ascii="Californian FB" w:hAnsi="Californian FB" w:cs="Arial"/>
        </w:rPr>
        <w:t xml:space="preserve">II - Alimentação; e      </w:t>
      </w:r>
    </w:p>
    <w:p w14:paraId="13DE7081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  <w:b/>
          <w:u w:val="single"/>
        </w:rPr>
      </w:pPr>
      <w:r>
        <w:rPr>
          <w:rFonts w:ascii="Californian FB" w:hAnsi="Californian FB" w:cs="Arial"/>
          <w:b/>
          <w:u w:val="single"/>
        </w:rPr>
        <w:lastRenderedPageBreak/>
        <w:t>III - moradia, conforme estabelecido em regulamento. (Grifou-se).</w:t>
      </w:r>
    </w:p>
    <w:p w14:paraId="578EB86A" w14:textId="77777777" w:rsidR="00CB6E23" w:rsidRDefault="00CB6E23">
      <w:pPr>
        <w:spacing w:before="120" w:after="120" w:line="360" w:lineRule="auto"/>
        <w:ind w:left="2268"/>
        <w:jc w:val="both"/>
        <w:rPr>
          <w:rFonts w:ascii="Californian FB" w:hAnsi="Californian FB" w:cs="Arial"/>
          <w:b/>
          <w:sz w:val="24"/>
          <w:szCs w:val="24"/>
          <w:u w:val="single"/>
        </w:rPr>
      </w:pPr>
    </w:p>
    <w:p w14:paraId="19459327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Arial"/>
          <w:sz w:val="24"/>
          <w:szCs w:val="24"/>
        </w:rPr>
        <w:t>Entretanto, muitas instituições e entes federativos responsáveis pelos programas de residências médicas pelo Brasil não têm dado alojamento, tampouco auxílio moradia aos residentes. Este, infelizmente, é o caso d{{A_O}} Requerente, conforme se comprova pelas demonstrações de rendimentos anexos, cujo recebimento demonstra tão somente o pagamento da bolsa.</w:t>
      </w:r>
    </w:p>
    <w:p w14:paraId="1D2AEE13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Arial"/>
          <w:sz w:val="24"/>
          <w:szCs w:val="24"/>
        </w:rPr>
        <w:t>A Requerente foi residente do programa junto ao Hospital vinculado à requerida, num regime de carga horária semanal rigorosa, o que inviabilizava sua atuação com outras fontes de renda.</w:t>
      </w:r>
    </w:p>
    <w:p w14:paraId="12FC1D81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 xml:space="preserve">Logo, a requerida deviria ter garantido o auxílio discriminado, mas em nenhum momento houve concessão de alojamento, tampouco um auxílio-moradia, o que lhe causou prejuízos e violação ao seu direito, já que sua moradia teve de ser custeada por si, em desrespeito à imposição legal. </w:t>
      </w:r>
    </w:p>
    <w:p w14:paraId="6D04A617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Nesse sentido, importante analisar que o Superior Tribunal de Justiça, corte competente para a interpretação da lei federal, já firmou o entendimento que “impõe às instituições de saúde responsáveis por programas de residência médica o dever de oferecer aos residentes alimentação e moradia no decorrer do período de residência” e ainda que “a impossibilidade da prestação da tutela específica autoriza medidas que assegurem o resultado prático equivalente ou a conversão em perdas e danos”. Vejamos:</w:t>
      </w:r>
    </w:p>
    <w:p w14:paraId="6664C474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 xml:space="preserve">ADMINISTRATIVO. MÉDICO RESIDENTE. AUXÍLIO-MORADIA. LEI 6.932/1981. TUTELA ESPECÍFICA. CONVERSÃO EM PECÚNIA. ADMISSIBILIDADE. PRECEDENTE. 1. Trata-se, originariamente, de Ação Ordinária que debate a concessão de auxílio-moradia a médicos residentes. Houve denunciação da lide à União. A sentença de improcedência de ambas as pretensões foi mantida pelo Tribunal de origem. 2. </w:t>
      </w:r>
      <w:r>
        <w:rPr>
          <w:rFonts w:ascii="Californian FB" w:hAnsi="Californian FB" w:cs="Arial"/>
          <w:b/>
          <w:bCs/>
          <w:sz w:val="24"/>
          <w:szCs w:val="24"/>
          <w:u w:val="single"/>
        </w:rPr>
        <w:t>Precedente do STJ, na interpretação do art. 4º, § 4º, da Lei 6.932/1981, impõe às instituições de saúde responsáveis por programas de residência médica o dever de oferecer aos residentes alimentação e moradia no decorrer do período de residência. A impossibilidade da prestação da tutela específica autoriza medidas que assegurem o resultado prático equivalente ou a conversão em perdas e danos - CPC, art. 461 (REsp 813.408/RS, Rel. Ministro Mauro Campbell Marques, Segunda Turma, DJe 15.6.2009) .</w:t>
      </w:r>
      <w:r>
        <w:rPr>
          <w:rFonts w:ascii="Californian FB" w:hAnsi="Californian FB" w:cs="Arial"/>
          <w:sz w:val="24"/>
          <w:szCs w:val="24"/>
        </w:rPr>
        <w:t xml:space="preserve"> 3. A fixação de </w:t>
      </w:r>
      <w:r>
        <w:rPr>
          <w:rFonts w:ascii="Californian FB" w:hAnsi="Californian FB" w:cs="Arial"/>
          <w:sz w:val="24"/>
          <w:szCs w:val="24"/>
        </w:rPr>
        <w:lastRenderedPageBreak/>
        <w:t>valores do auxílio pretendido demanda investigação de elementos fático-probatórios. 4. Recurso Especial provido, determinando o retorno dos autos à origem a fim de que estabeleça valor razoável que garanta resultado prático equivalente ao que dispõe o art. 4º, § 4º, da Lei 6.932/81. ..EMEN:(RESP 201201759997, HERMAN BENJAMIN, STJ - SEGUNDA TURMA, DJE DATA:07/03/2013 ..DTPB:.) (Grifou-se).</w:t>
      </w:r>
    </w:p>
    <w:p w14:paraId="42D178F9" w14:textId="77777777" w:rsidR="00CB6E23" w:rsidRDefault="00CB6E23">
      <w:pPr>
        <w:spacing w:before="120" w:after="120" w:line="240" w:lineRule="auto"/>
        <w:ind w:left="2268"/>
        <w:jc w:val="both"/>
        <w:rPr>
          <w:rFonts w:ascii="Californian FB" w:hAnsi="Californian FB" w:cs="Arial"/>
          <w:sz w:val="24"/>
          <w:szCs w:val="24"/>
        </w:rPr>
      </w:pPr>
    </w:p>
    <w:p w14:paraId="791AB255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Por sua vez, a Turma Nacional de Uniformização, a seu turno, passou a seguir o entendimento firmado no âmbito do Superior Tribunal de Justiça, pelo que são devidos aos médicos residentes alojamento e alimentação pelo Poder Público durante todo o período de residência, e ainda que, uma vez descumprida tal obrigação, esses benefícios devem ser convertidos em pecúnia, em valor equivalente.</w:t>
      </w:r>
    </w:p>
    <w:p w14:paraId="10386AD5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Eis a ementa do julgado:</w:t>
      </w:r>
    </w:p>
    <w:p w14:paraId="5F671BE8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ADMINISTRATIVO E PROCESSUAL CIVIL. PEDIDO DE UNIFORMIZAÇÃO. PROGRAMADE RESIDÊNCIA MÉDICA. AUXÍLIO-MORADIA E ALIMENTAÇÃO. SENTENÇADE IMPROCEDÊNCIA MANTIDA PELA 3.ª TURMA RECURSAL DO RIO GRANDE DOSUL. ALEGAÇÃO DE AFRONTA À JURISPRUDÊNCIA DOMINANTE DO SUPERIOR TRIBUNALDE JUSTIÇA. LEI N.º 6.932/81. VIGÊNCIA DOS §§ DO ART. 4.º DA LEI N.º 6.932/81 APESAR DO ADVENTO DA LEI N.º 10.405/02. SIMILITUDE FÁTICO-JURÍDICAENTRE AS DECISÕES CONFRONTADAS. DIVERGÊNCIA COMPROVADA. NECESSIDADE DEEXAME DE PROVAS SOBRE MATÉRIA DE FATO, PARA FIXAR O VALOR RAZOÁVEL DOAUXÍLIO-MORADIA E ALIMENTAÇÃO. NULIDADE DO ACÓRDÃO. REMESSA DOS AUTOS AOJUÍZO A QUO PARA ADEQUAÇÃO DO JULGADO. CONHECIMENTO E PARCIAL PROVIMENTODO INCIDENTE. </w:t>
      </w:r>
    </w:p>
    <w:p w14:paraId="11A68BC5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1.Comprovada a similitude e a divergência entre o acórdão recorrido e os paradigmas do Superior Tribunal de Justiça (AgRg no REsp n.º 842685 RS, Rel. Min. Mauro Campbel Marques, DJE 26 jun. 2009; REsp n.º 813408 RS,Rel. Min. Mauro Campbell Marques, DJE 15 jun. 2009; REsp n.º 793013 RS,Rel. Min. Francisco Falcão, DJU 6 mar. 2006), tem cabimento o incidente de uniformização. </w:t>
      </w:r>
    </w:p>
    <w:p w14:paraId="3D4CBB0A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b/>
          <w:spacing w:val="2"/>
          <w:highlight w:val="yellow"/>
          <w:u w:val="single"/>
        </w:rPr>
        <w:t xml:space="preserve">2.Ao médico-residente é assegurado bolsa em regime especial de treinamento em serviço de 60 (sessenta) horas semanais, ficando a instituição de saúde responsável, durante todo o período de treinamento, condições adequadas para repouso e higiene pessoal durante os </w:t>
      </w:r>
      <w:r>
        <w:rPr>
          <w:rFonts w:ascii="Californian FB" w:hAnsi="Californian FB" w:cs="Californian FB"/>
          <w:b/>
          <w:spacing w:val="2"/>
          <w:highlight w:val="yellow"/>
          <w:u w:val="single"/>
        </w:rPr>
        <w:lastRenderedPageBreak/>
        <w:t>plantões, alimentação e moradia. Conquanto não tenha a Lei n.º 10.405/02 previsto expressamente os benefícios de alimentação e moradia para os residentes, não os revogou de forma expressa, sendo ínsito à forma de treinamento o fornecimento dos referidos benefícios.</w:t>
      </w:r>
      <w:r>
        <w:rPr>
          <w:rFonts w:ascii="Californian FB" w:hAnsi="Californian FB" w:cs="Californian FB"/>
          <w:b/>
          <w:spacing w:val="2"/>
          <w:u w:val="single"/>
        </w:rPr>
        <w:t xml:space="preserve"> </w:t>
      </w:r>
    </w:p>
    <w:p w14:paraId="43B04A7F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3.Hipótese na qual o recorrente alega que o acórdão da Turma Recursal de origem, mantendo sentença de improcedência, divergiu da jurisprudência dominante do STJ, no sentido de que mesmo após a edição da Lei n.º 10.405/02, os §§ que compõem o art. 4.º da Lei n.º 6.932/81 permanecem em vigor. </w:t>
      </w:r>
    </w:p>
    <w:p w14:paraId="5D26B823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>4.A sentença e o acórdão que a manteve, ao indeferirem o pleito autoral, pautaram-se no entendimento de que, deixando a Lei n.º 8.138/90 de vigorar, o §§ do art. 4.º da Lei n.º 6.932/81 também teriam perdido vigência, de forma que não haveria mais direito ao auxílio-moradia e alimentação aos médicos residentes. O STJ, porém, consolidou o entendimento de que os §§ do art. 4.º da Lei n.º 6.932/81 não foram revogados pelas leis que lhe seguiram, sendo ainda devido aos residentes alojamento e alimentação pelo Poder Público durante todo o período de residência, configurando violação a direito a omissão ou recusa da instituição demandada. 5.Todavia, o residente deve receber apenas moradia e alimentação, não sendo cabível o adicional de 10% (dez por cento), já que nos precedentes do STJ juntados não há menção de obrigatoriedade ao adicional e reembolso de parcela dos gastos do residente, mas apenas de existência de obrigação de fazer, qual seja, o fornecimento de alimentação e alojamento, apesar do advento da Lei n.º 10.405/02. Da mesma forma, a TNU firmou que “a Lei n.</w:t>
      </w:r>
      <w:r>
        <w:rPr>
          <w:rFonts w:ascii="Californian FB" w:hAnsi="Californian FB" w:cs="Georgia"/>
          <w:spacing w:val="2"/>
        </w:rPr>
        <w:t>º</w:t>
      </w:r>
      <w:r>
        <w:rPr>
          <w:rFonts w:ascii="Californian FB" w:hAnsi="Californian FB" w:cs="Californian FB"/>
          <w:spacing w:val="2"/>
        </w:rPr>
        <w:t xml:space="preserve"> 10.405/02 n</w:t>
      </w:r>
      <w:r>
        <w:rPr>
          <w:rFonts w:ascii="Californian FB" w:hAnsi="Californian FB" w:cs="Georgia"/>
          <w:spacing w:val="2"/>
        </w:rPr>
        <w:t>ã</w:t>
      </w:r>
      <w:r>
        <w:rPr>
          <w:rFonts w:ascii="Californian FB" w:hAnsi="Californian FB" w:cs="Californian FB"/>
          <w:spacing w:val="2"/>
        </w:rPr>
        <w:t>o revogou os benef</w:t>
      </w:r>
      <w:r>
        <w:rPr>
          <w:rFonts w:ascii="Californian FB" w:hAnsi="Californian FB" w:cs="Georgia"/>
          <w:spacing w:val="2"/>
        </w:rPr>
        <w:t>í</w:t>
      </w:r>
      <w:r>
        <w:rPr>
          <w:rFonts w:ascii="Californian FB" w:hAnsi="Californian FB" w:cs="Californian FB"/>
          <w:spacing w:val="2"/>
        </w:rPr>
        <w:t>cios de fornecimento de alimentação e alojamento/moradia aos médicos-residentes, e que, uma vez descumprida tal obrigação de fazer, deverá a mesma ser convertida em pecúnia em valor razoável que garanta um resultado prático equivalente” (PEDILEFn.</w:t>
      </w:r>
      <w:r>
        <w:rPr>
          <w:rFonts w:ascii="Californian FB" w:hAnsi="Californian FB" w:cs="Georgia"/>
          <w:spacing w:val="2"/>
        </w:rPr>
        <w:t>º</w:t>
      </w:r>
      <w:r>
        <w:rPr>
          <w:rFonts w:ascii="Californian FB" w:hAnsi="Californian FB" w:cs="Californian FB"/>
          <w:spacing w:val="2"/>
        </w:rPr>
        <w:t xml:space="preserve"> 201071500274342, Rel. Juiz Federal Vladimir Vitovsky, j. 11 set. 2012). 6.Incidente de Uniformização conhecido e parcialmente provido para, uniformizando a interpretação de que “a Lei n.</w:t>
      </w:r>
      <w:r>
        <w:rPr>
          <w:rFonts w:ascii="Californian FB" w:hAnsi="Californian FB" w:cs="Georgia"/>
          <w:spacing w:val="2"/>
        </w:rPr>
        <w:t>º</w:t>
      </w:r>
      <w:r>
        <w:rPr>
          <w:rFonts w:ascii="Californian FB" w:hAnsi="Californian FB" w:cs="Californian FB"/>
          <w:spacing w:val="2"/>
        </w:rPr>
        <w:t xml:space="preserve"> 10.405/02 n</w:t>
      </w:r>
      <w:r>
        <w:rPr>
          <w:rFonts w:ascii="Californian FB" w:hAnsi="Californian FB" w:cs="Georgia"/>
          <w:spacing w:val="2"/>
        </w:rPr>
        <w:t>ã</w:t>
      </w:r>
      <w:r>
        <w:rPr>
          <w:rFonts w:ascii="Californian FB" w:hAnsi="Californian FB" w:cs="Californian FB"/>
          <w:spacing w:val="2"/>
        </w:rPr>
        <w:t>o revogou os benef</w:t>
      </w:r>
      <w:r>
        <w:rPr>
          <w:rFonts w:ascii="Californian FB" w:hAnsi="Californian FB" w:cs="Georgia"/>
          <w:spacing w:val="2"/>
        </w:rPr>
        <w:t>í</w:t>
      </w:r>
      <w:r>
        <w:rPr>
          <w:rFonts w:ascii="Californian FB" w:hAnsi="Californian FB" w:cs="Californian FB"/>
          <w:spacing w:val="2"/>
        </w:rPr>
        <w:t>cios de fornecimento de alimenta</w:t>
      </w:r>
      <w:r>
        <w:rPr>
          <w:rFonts w:ascii="Californian FB" w:hAnsi="Californian FB" w:cs="Georgia"/>
          <w:spacing w:val="2"/>
        </w:rPr>
        <w:t>çã</w:t>
      </w:r>
      <w:r>
        <w:rPr>
          <w:rFonts w:ascii="Californian FB" w:hAnsi="Californian FB" w:cs="Californian FB"/>
          <w:spacing w:val="2"/>
        </w:rPr>
        <w:t>o e alojamento/moradia aos m</w:t>
      </w:r>
      <w:r>
        <w:rPr>
          <w:rFonts w:ascii="Californian FB" w:hAnsi="Californian FB" w:cs="Georgia"/>
          <w:spacing w:val="2"/>
        </w:rPr>
        <w:t>é</w:t>
      </w:r>
      <w:r>
        <w:rPr>
          <w:rFonts w:ascii="Californian FB" w:hAnsi="Californian FB" w:cs="Californian FB"/>
          <w:spacing w:val="2"/>
        </w:rPr>
        <w:t>dicos-residentes, e que, uma vez descumprida tal obrigação de fazer, deverá a mesma ser convertida em pecúnia em valor razoável que garanta um resultado prático equivalente”, anular o ac</w:t>
      </w:r>
      <w:r>
        <w:rPr>
          <w:rFonts w:ascii="Californian FB" w:hAnsi="Californian FB" w:cs="Georgia"/>
          <w:spacing w:val="2"/>
        </w:rPr>
        <w:t>ó</w:t>
      </w:r>
      <w:r>
        <w:rPr>
          <w:rFonts w:ascii="Californian FB" w:hAnsi="Californian FB" w:cs="Californian FB"/>
          <w:spacing w:val="2"/>
        </w:rPr>
        <w:t>rd</w:t>
      </w:r>
      <w:r>
        <w:rPr>
          <w:rFonts w:ascii="Californian FB" w:hAnsi="Californian FB" w:cs="Georgia"/>
          <w:spacing w:val="2"/>
        </w:rPr>
        <w:t>ã</w:t>
      </w:r>
      <w:r>
        <w:rPr>
          <w:rFonts w:ascii="Californian FB" w:hAnsi="Californian FB" w:cs="Californian FB"/>
          <w:spacing w:val="2"/>
        </w:rPr>
        <w:t>o recorrido e determinara apura</w:t>
      </w:r>
      <w:r>
        <w:rPr>
          <w:rFonts w:ascii="Californian FB" w:hAnsi="Californian FB" w:cs="Georgia"/>
          <w:spacing w:val="2"/>
        </w:rPr>
        <w:t>çã</w:t>
      </w:r>
      <w:r>
        <w:rPr>
          <w:rFonts w:ascii="Californian FB" w:hAnsi="Californian FB" w:cs="Californian FB"/>
          <w:spacing w:val="2"/>
        </w:rPr>
        <w:t>o da convers</w:t>
      </w:r>
      <w:r>
        <w:rPr>
          <w:rFonts w:ascii="Californian FB" w:hAnsi="Californian FB" w:cs="Georgia"/>
          <w:spacing w:val="2"/>
        </w:rPr>
        <w:t>ã</w:t>
      </w:r>
      <w:r>
        <w:rPr>
          <w:rFonts w:ascii="Californian FB" w:hAnsi="Californian FB" w:cs="Californian FB"/>
          <w:spacing w:val="2"/>
        </w:rPr>
        <w:t>o da obriga</w:t>
      </w:r>
      <w:r>
        <w:rPr>
          <w:rFonts w:ascii="Californian FB" w:hAnsi="Californian FB" w:cs="Georgia"/>
          <w:spacing w:val="2"/>
        </w:rPr>
        <w:t>çã</w:t>
      </w:r>
      <w:r>
        <w:rPr>
          <w:rFonts w:ascii="Californian FB" w:hAnsi="Californian FB" w:cs="Californian FB"/>
          <w:spacing w:val="2"/>
        </w:rPr>
        <w:t>o de fazer em pec</w:t>
      </w:r>
      <w:r>
        <w:rPr>
          <w:rFonts w:ascii="Californian FB" w:hAnsi="Californian FB" w:cs="Georgia"/>
          <w:spacing w:val="2"/>
        </w:rPr>
        <w:t>ú</w:t>
      </w:r>
      <w:r>
        <w:rPr>
          <w:rFonts w:ascii="Californian FB" w:hAnsi="Californian FB" w:cs="Californian FB"/>
          <w:spacing w:val="2"/>
        </w:rPr>
        <w:t>nia, garantindo aos beneficiários resultado prático equivalente. (TNU - PEDILEF: 201071500280550 RS, Relator: JUIZ FEDERAL ANDRÉ CARVALHO MONTEIRO, Data de Julgamento: 20/02/2013, Data de Publicação: DOU 08/03/2013) (Grifou-se)</w:t>
      </w:r>
    </w:p>
    <w:p w14:paraId="3172F3ED" w14:textId="77777777" w:rsidR="00CB6E23" w:rsidRDefault="00CB6E23">
      <w:pPr>
        <w:spacing w:before="120" w:after="120" w:line="360" w:lineRule="auto"/>
        <w:ind w:left="2268"/>
        <w:jc w:val="both"/>
        <w:rPr>
          <w:rFonts w:ascii="Californian FB" w:hAnsi="Californian FB" w:cs="Arial"/>
          <w:spacing w:val="2"/>
          <w:sz w:val="24"/>
          <w:szCs w:val="24"/>
        </w:rPr>
      </w:pPr>
    </w:p>
    <w:p w14:paraId="2204A371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Arial"/>
          <w:sz w:val="24"/>
          <w:szCs w:val="24"/>
        </w:rPr>
        <w:t xml:space="preserve">Vale salientar que com a vigência da lei nº 12.514/2011, que alterou o §5° do art. 4° da lei nº 6.932/1981, encerrou com o objeto da discussão se a lei nº 10.405/2002 haveria ou não cessado o direito do médico residente no auxílio moradia e alimentação, </w:t>
      </w:r>
      <w:r>
        <w:rPr>
          <w:rFonts w:ascii="Californian FB" w:hAnsi="Californian FB" w:cs="Arial"/>
          <w:b/>
          <w:sz w:val="24"/>
          <w:szCs w:val="24"/>
          <w:u w:val="single"/>
        </w:rPr>
        <w:t>vez que, após 2011, o §5° é expresso no sentido do dever de moradia, permanecendo o entendimento do STJ e do TNU de que a ausência de alojamento gera o dever de pagamento em pecúnia em auxílio moradia.</w:t>
      </w:r>
    </w:p>
    <w:p w14:paraId="26FEDF73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Nesse sentido, vejamos o que diz o STJ:</w:t>
      </w:r>
    </w:p>
    <w:p w14:paraId="1ACEF780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ADMINISTRATIVO. VANTAGENS, MÉDICO RESIDENTE. REEMBOLSO PREVIDENCIÁRIO. AUSÊNCIA DE PREVISÃO LEGAL. PAGAMENTO DE AUXÍLIO-MORADIA. CONVERSÃO EM PECÚNIA. IMPOSSIBILIDADE.</w:t>
      </w:r>
    </w:p>
    <w:p w14:paraId="10F9B03C" w14:textId="77777777" w:rsidR="00CB6E23" w:rsidRDefault="00000000">
      <w:pPr>
        <w:spacing w:before="120" w:after="120" w:line="240" w:lineRule="auto"/>
        <w:ind w:left="2268"/>
        <w:jc w:val="both"/>
      </w:pPr>
      <w:r>
        <w:rPr>
          <w:rFonts w:ascii="Californian FB" w:hAnsi="Californian FB" w:cs="Arial"/>
          <w:sz w:val="24"/>
          <w:szCs w:val="24"/>
        </w:rPr>
        <w:t>I - A Lei n. 10.405/2002 revogou os dispositivos da Lei n. 8.138/1990 em sua integralidade. Os parágrafos do art. 4º da Lei n. 6.932/1981, com a redação dada pela Lei 8.138/1990, asseguravam o direito dos médicos residentes ao reembolso parcial da contribuição previdenciária e à disponibilização de alimentação e moradia, contudo, os preceitos foram revogados pelo art. 10 da Lei n. 10.405/2002. II - Tais benefícios somente foram restabelecidos posteriormente com a Medida Provisória n. 536/2011, convertida na Lei n. 12.514/2011.</w:t>
      </w:r>
    </w:p>
    <w:p w14:paraId="55EAB341" w14:textId="77777777" w:rsidR="00CB6E23" w:rsidRDefault="00000000">
      <w:pPr>
        <w:spacing w:before="120" w:after="120" w:line="240" w:lineRule="auto"/>
        <w:ind w:left="2268"/>
        <w:jc w:val="both"/>
      </w:pPr>
      <w:r>
        <w:rPr>
          <w:rFonts w:ascii="Californian FB" w:hAnsi="Californian FB" w:cs="Arial"/>
          <w:sz w:val="24"/>
          <w:szCs w:val="24"/>
        </w:rPr>
        <w:t>III - No período de 10/1/2002 a 31/10/2011 (período abrangido pelas residências médicas da parte recorrente) não há que se falar em direito dos médicos residentes às referidas vantagens, já que o art. 4º, § 2º, da Lei n. 6.932/1981 com a redação dada pela Lei n. 8.138/1990, juntamente com todos os demais artigos, foi revogado pela Lei n. 10.405/2002, não se limitando os efeitos da referida revogação ao caput referido dispositivo. Nesse sentido: AgInt no AgRg nos EDcl no AgRg no REsp 1389990/RS, Rel. Ministro HERMAN BENJAMIN, SEGUNDA TURMA, julgado em 13/12/2016, DJe 19/12/2016; REsp 1318276/RS, Rel. Ministro MAURO CAMPBELL MARQUES, SEGUNDA TURMA, julgado em 15/09/2015, DJe 25/09/2015;REsp 1.415.616/RS, Rel. Ministro HERMAN BENJAMIN, SEGUNDA TURMA, DJe 18/06/2014; REsp 1.457.081/RS, Rel. Ministro HERMAN BENJAMIN, SEGUNDA TURMA, DJe 18/08/2014). IV - Agravo interno improvido.</w:t>
      </w:r>
    </w:p>
    <w:p w14:paraId="27EBAD11" w14:textId="77777777" w:rsidR="00CB6E23" w:rsidRDefault="00000000">
      <w:pPr>
        <w:spacing w:before="120" w:after="120" w:line="240" w:lineRule="auto"/>
        <w:ind w:left="2268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(STJ - AgInt no REsp: 1486652 RS 2014/0259151-2, Relator: Ministro FRANCISCO FALCÃO, Data de Julgamento: 07/11/2017, T2 - SEGUNDA TURMA, Data de Publicação: DJe 10/11/2017)</w:t>
      </w:r>
    </w:p>
    <w:p w14:paraId="175B2099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bCs/>
          <w:spacing w:val="2"/>
        </w:rPr>
        <w:lastRenderedPageBreak/>
        <w:t>O caso ora em análise é posterior a 2011, sendo que a residência d{{A_O}} Requerente ocorreu entre os anos de 2018 a 2021.</w:t>
      </w:r>
    </w:p>
    <w:p w14:paraId="1DFE42A2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b/>
          <w:bCs/>
          <w:spacing w:val="2"/>
          <w:u w:val="single"/>
        </w:rPr>
      </w:pPr>
      <w:r>
        <w:rPr>
          <w:rFonts w:ascii="Californian FB" w:hAnsi="Californian FB" w:cs="Californian FB"/>
          <w:bCs/>
          <w:spacing w:val="2"/>
        </w:rPr>
        <w:t xml:space="preserve">Por fim, salienta-se que o TNU, em incidente de Uniformização de Jurisprudência, no ano de 2016, analisando um caso semelhante ao presente, entendeu que </w:t>
      </w:r>
      <w:r>
        <w:rPr>
          <w:rFonts w:ascii="Californian FB" w:hAnsi="Californian FB" w:cs="Californian FB"/>
          <w:b/>
          <w:bCs/>
          <w:spacing w:val="2"/>
          <w:u w:val="single"/>
        </w:rPr>
        <w:t xml:space="preserve">a obrigação </w:t>
      </w:r>
      <w:r>
        <w:rPr>
          <w:rFonts w:ascii="Californian FB" w:hAnsi="Californian FB" w:cs="Californian FB"/>
          <w:b/>
          <w:bCs/>
          <w:i/>
          <w:spacing w:val="2"/>
          <w:u w:val="single"/>
        </w:rPr>
        <w:t>in natura</w:t>
      </w:r>
      <w:r>
        <w:rPr>
          <w:rFonts w:ascii="Californian FB" w:hAnsi="Californian FB" w:cs="Californian FB"/>
          <w:b/>
          <w:bCs/>
          <w:spacing w:val="2"/>
          <w:u w:val="single"/>
        </w:rPr>
        <w:t xml:space="preserve"> descumprida deverá ser "convertida em pecúnia mediante fixação de indenização, por arbitramento”, ou seja, independe de o residente comprovar os gastos com a moradia e, também, o valor a ser indenizado independe do quantum foi gasto com moradia.</w:t>
      </w:r>
    </w:p>
    <w:p w14:paraId="3E4F0B68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bCs/>
          <w:spacing w:val="2"/>
        </w:rPr>
        <w:t xml:space="preserve">INCIDENTE DE UNIFORMIZAÇÃO DE JURISPRUDÊNCIA. ADMINISTRATIVO. PROGRAMA DE RESIDÊNCIA MÉDICA. AUXÍLIO-MORADIA E ALIMENTAÇÃO. INADIMPLEMENTO DA OBRIGAÇÃO DE FAZER. INDENIZAÇÃO. JUÍZO DE ADEQUAÇÃO. COMPROVAÇÃO DE DESPESAS. DESNECESSIDADE. (...) 4. Recurso Especial provido, determinando o retorno dos autos à origem a fim de que estabeleça valor razoável que garanta resultado prático equivalente ao que dispõe o art. 4º, § 4º, da Lei 6.932/81. (REsp 1339798/RS, Rel. Ministro HERMAN BENJAMIN, SEGUNDA TURMA, julgado em 21/02/2013, DJe 07/03/2013) Assim, examinando as provas dos autos, verifico que a parte autora não trouxe aos autos quaisquer provas que permitam aferir os valores eventualmente tenham sido despendidas a título de moradia e alimentação no período em que cursou a residência médica ou outros elementos que levem a esta conclusão, de modo que não se desincumbiu do ônus de comprovar o fato constitutivo do seu direito. Na mesma linha, o seguinte precedente: ADMINISTRATIVO. RESIDÊNCIA MÉDICA. AUXÍLIO-MORADIA. AUXÍLIO-ALIMENTAÇÃO. Não comprovada a realização de despesas com moradia durante o período em que participou do programa de residência, o autor não tem direito ao ressarcimento postulado. (TRF4, AC 0008313-60.2008.404.7100, Quarta Turma, Relatora Marga Inge Barth Tessler, D.E. 25/02/2011) Como se vê, a decisão da Turma Recursal de origem, ao exigir a comprovação de despesas, está evidentemente contrariando o que restou assentado por esta Turma Nacional cujo julgamento é claro ao determinar que a obrigação in natura descumprida deverá ser "convertida em pecúnia mediante fixação de indenização, por arbitramento." (grifei) Por conseguinte, deverá a Turma Recursal de origem arbitrar o valor da indenização, utilizando-se para isso dos elementos que dispuser e entender mais adequados a esse fim, todavia, não poderá deixar de fazê-lo somente porque não foram apresentados documentos comprobatórios das despesas correspondentes à moradia e alimentação, até porque, se </w:t>
      </w:r>
      <w:r>
        <w:rPr>
          <w:rFonts w:ascii="Californian FB" w:hAnsi="Californian FB" w:cs="Californian FB"/>
          <w:bCs/>
          <w:spacing w:val="2"/>
        </w:rPr>
        <w:lastRenderedPageBreak/>
        <w:t>apresentados os documentos seria desnecessário o arbitramento, bastando fixar o valor da indenização no montante exato das despesas comprovadas. Logo, é justamente na falta desses elementos concretos que surge a oportunidade do arbitramento estabelecido na decisão uniformizadora. Ante o exposto, voto por DAR PROVIMENTO ao incidente de uniformização, determinado o retorno dos autos à origem, a fim de que fixe a indenização em valor razoável, por arbitramento". (TNU, 50014681420144047100, JUIZ FEDERAL GERSON LUIZ ROCHA, DOU 04/10/2016.). Grifou-se.</w:t>
      </w:r>
    </w:p>
    <w:p w14:paraId="7975645A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 xml:space="preserve">Assim, haja vista que o STJ diz que no período de 10/01/2002 a 31/10/2011 não há direito ao auxílio moradia, </w:t>
      </w:r>
      <w:r>
        <w:rPr>
          <w:rFonts w:ascii="Californian FB" w:hAnsi="Californian FB" w:cs="Californian FB"/>
          <w:i/>
          <w:spacing w:val="2"/>
        </w:rPr>
        <w:t>a contrario sensu</w:t>
      </w:r>
      <w:r>
        <w:rPr>
          <w:rFonts w:ascii="Californian FB" w:hAnsi="Californian FB" w:cs="Californian FB"/>
          <w:spacing w:val="2"/>
        </w:rPr>
        <w:t xml:space="preserve">, </w:t>
      </w:r>
      <w:r>
        <w:rPr>
          <w:rFonts w:ascii="Californian FB" w:hAnsi="Californian FB" w:cs="Californian FB"/>
          <w:b/>
          <w:spacing w:val="2"/>
          <w:u w:val="single"/>
        </w:rPr>
        <w:t>fica claro que após 31/10/2011, ou seja, data da vigência da Medida Provisória n. 536/2011, convertida na Lei n. 12.514/2011, todos os médicos residentes ingressos a partir da data 31/10/2011, têm direito à vantagem de auxílio moradia, convertendo em perdas e danos caso não haja o oferecimento do serviço de habitação.</w:t>
      </w:r>
    </w:p>
    <w:p w14:paraId="2797CD27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Nesse sentido, os Tribunais têm decidido, em respeito à segurança jurídica, isonomia e vinculação dos precedentes, o entendimento do STJ e do TNU.</w:t>
      </w:r>
    </w:p>
    <w:p w14:paraId="05A61FC6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Por fim, salienta-se que, conforme entende o STJ, não há qualquer impedimento de pagar o auxílio-moradia mesmo que não haja regulamentação pelo ente federativo da lei federal nº 12.514/2011, haja vista que é a própria omissão legislativa do Estado que gera o dever da conversão em pecúnia dos valores pelos Poder Judiciário. Portanto, não cabe qualquer argumento que a lei federal nº 12.514/2011 seria uma norma de eficácia contida, o que impediria o pagamento do auxílio. Vejamos:</w:t>
      </w:r>
    </w:p>
    <w:p w14:paraId="511D90CC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 xml:space="preserve">ADMINISTRATIVO. AGRAVO REGIMENTAL NOS EMBARGOS DE DECLARAÇÃO NOS EMBARGOS DE DIVERGÊNCIA EM RECURSO ESPECIAL. MÉDICOS-RESIDENTES. DIREITO A ALIMENTAÇÃO E ALOJAMENTO/MORADIA. INÉRCIA ADMINISTRATIVA. POSSIBILIDADE DE CONVERSÃO EM PECÚNIA. DIVERGÊNCIA QUE NÃO SUBSISTE. AUSÊNCIA DE CABIMENTO DOS EMBARGOS DE DIVERGÊNCIA. SÚMULA 168 DO STJ. AGRAVO REGIMENTAL DESPROVIDO. </w:t>
      </w:r>
    </w:p>
    <w:p w14:paraId="7648BFD7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 xml:space="preserve">1. O art. 4o. da Lei 6.932/81 assegura que as instituição de saúde responsáveis por programas de residência médica tem o dever legal de oferecer aos residentes alimentação e moradia no decorrer do período de residência. Assim existindo dispositivo legal peremptório acerca da obrigatoriedade no fornecimento </w:t>
      </w:r>
      <w:r>
        <w:rPr>
          <w:rFonts w:ascii="Californian FB" w:hAnsi="Californian FB" w:cs="Californian FB"/>
          <w:spacing w:val="2"/>
        </w:rPr>
        <w:lastRenderedPageBreak/>
        <w:t xml:space="preserve">de alojamento e alimentação, não pode tal vantagem submeter-se exclusivamente à discricionariedade administrativa, permitindo a intervenção do Poder Judiciário a partir do momento em que a Administração opta pela inércia não autorizada legalmente. </w:t>
      </w:r>
    </w:p>
    <w:p w14:paraId="5FF4A439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2. Ancorada nesses princípios, esta Corte reformou sua orientação jurisprudencial consolidando a orientação de que a simples inexistência de previsão legal para conversão de auxílios, que deveriam ser fornecidos in natura, em pecúnia não é suficiente para obstaculizar o pleito recursal. Precedente: REsp. 1339798/RS, Rel. Min. HERMAN BENJAMIN, 2T, DJe 07.03.2013. </w:t>
      </w:r>
    </w:p>
    <w:p w14:paraId="474D0822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Destarte, conforme visto pelos precedentes, não há mais qualquer discussão nos Tribunais se os residentes ingressos posteriormente à vigência da lei (12.10.2011), como no caso do Requerente que ingressou em 2018, têm ou não direito ao auxílio, pois têm por expressa previsão legal.</w:t>
      </w:r>
    </w:p>
    <w:p w14:paraId="713DC9A1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 xml:space="preserve">Quanto ao valor, </w:t>
      </w:r>
      <w:r>
        <w:rPr>
          <w:rFonts w:ascii="Californian FB" w:hAnsi="Californian FB" w:cs="Californian FB"/>
          <w:b/>
          <w:spacing w:val="2"/>
          <w:u w:val="single"/>
        </w:rPr>
        <w:t>a jurisprudência tem entendido a aplicação de 30% do valor da bolsa como sendo razoável a assegurar o resultado prático equivalente ao auxílio-moradia</w:t>
      </w:r>
      <w:r>
        <w:rPr>
          <w:rFonts w:ascii="Californian FB" w:hAnsi="Californian FB" w:cs="Californian FB"/>
          <w:spacing w:val="2"/>
        </w:rPr>
        <w:t xml:space="preserve"> em questão, vejamos:</w:t>
      </w:r>
    </w:p>
    <w:p w14:paraId="6A6D180D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EMENTA ADMINISTRATIVO. AUXÍLIO-MORADIA PARA MÉDICO RESIDENTE. POSSIBILIDADE. ARBITRAMENTO DE VALOR MENSAL. 1. Esta Turma já teve oportunidade de apreciar a matéria no julgamento do RECURSO CÍVEL Nº 5051077-63.2014.4.04.7100/RS, no qual, em juízo de retratação, proveu-se o recurso da parte autora, para arbitrar o valor mensal de 30% sobre o valor da bolsa-auxílio paga ao então médico-residente, devido em todos os meses de duração do programa, ainda que sem comprovação nos autos dos valores eventualmente despendidos a título de moradia e alimentação. 2. A controvérsia foi pacificada pela TNU no julgamento do PEDILEF 2010.71.50.027434-2, DJ 28/09/2012. 3. A jurisprudência do STJ, seguida por este Colegiado, é no sentido de que a fixação do valor da indenização em casos como este demanda a análise de elementos fático-probatórios a fim de garantir 'resultado prático equivalente' ao auxílio devido ((REsp 1339798/RS, Rel. Ministro HERMAN BENJAMIN, SEGUNDA TURMA, julgado em 21/02/2013, DJe 07/03/2013) 4. Embora a parte autora não tenha apresentado nos autos quaisquer provas que permitam aferir os valores que eventualmente tenham sido despendidos a título de moradia e alimentação no período em que cursou a residência médica ou outros elementos que levem a esta conclusão, a TNU determinou que houvesse o arbitramento de tais valores. 5. </w:t>
      </w:r>
      <w:r>
        <w:rPr>
          <w:rFonts w:ascii="Californian FB" w:hAnsi="Californian FB" w:cs="Californian FB"/>
          <w:b/>
          <w:bCs/>
          <w:spacing w:val="2"/>
          <w:u w:val="single"/>
        </w:rPr>
        <w:t xml:space="preserve">Considerando a dificuldade de se encontrar um parâmetro </w:t>
      </w:r>
      <w:r>
        <w:rPr>
          <w:rFonts w:ascii="Californian FB" w:hAnsi="Californian FB" w:cs="Californian FB"/>
          <w:b/>
          <w:bCs/>
          <w:spacing w:val="2"/>
          <w:u w:val="single"/>
        </w:rPr>
        <w:lastRenderedPageBreak/>
        <w:t>factível para ser utilizado, fixa-se o valor mensal no percentual de 30% sobre o valor da bolsa-auxílio paga ao então médico-residente, devido em todos os meses de duração do programa. Este percentual é o que esta Turma Recursal considerou razoável a assegurar o resultado prático equivalente ao auxílio-alimentação e moradia em questão</w:t>
      </w:r>
      <w:r>
        <w:rPr>
          <w:rFonts w:ascii="Californian FB" w:hAnsi="Californian FB" w:cs="Californian FB"/>
          <w:spacing w:val="2"/>
        </w:rPr>
        <w:t>, quando do julgamento dos Recursos Cíveis nº 50510759320144047100 de Relatoria do Juiz Federal Giovani Bigolin e 50041991220164047100, de Relatoria do Juiz Federal Oscar Valente Cardoso (em juízo de retratação), na sessão de 31/08/2017. 6. Destarte, a sentença merece reforma, para se julgar procedente o pedido de pagamento de auxílio-moradia no período em que participou do programa de residência médica, fixando-se o valor mensal no percentual de 30% sobre o valor da bolsa-auxílio paga ao então médico-residente.</w:t>
      </w:r>
    </w:p>
    <w:p w14:paraId="7640A095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(TRF-4 - RECURSO CÍVEL: 50361891620194047100 RS 5036189-16.2019.4.04.7100, Relator: ANDREI PITTEN VELLOSO, Data de Julgamento: 06/05/2020, QUINTA TURMA RECURSAL DO RS) (Grifou-se)</w:t>
      </w:r>
    </w:p>
    <w:p w14:paraId="285D699E" w14:textId="77777777" w:rsidR="00CB6E23" w:rsidRDefault="00CB6E23">
      <w:pPr>
        <w:pStyle w:val="NormalWeb"/>
        <w:shd w:val="clear" w:color="auto" w:fill="FFFFFF"/>
        <w:spacing w:before="120" w:after="120"/>
        <w:ind w:left="2268"/>
        <w:jc w:val="both"/>
        <w:rPr>
          <w:rFonts w:ascii="Californian FB" w:hAnsi="Californian FB" w:cs="Californian FB"/>
          <w:spacing w:val="2"/>
        </w:rPr>
      </w:pPr>
    </w:p>
    <w:p w14:paraId="22A9A50C" w14:textId="77777777" w:rsidR="00CB6E23" w:rsidRDefault="00000000">
      <w:pPr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  <w:sz w:val="24"/>
          <w:szCs w:val="24"/>
        </w:rPr>
        <w:t>Considerando que durante o período de residência, {{A_O}} Requerente auferiu a bolsa no valor mensal de {{VALOR_BOLSA_MENSAL}}, entre junho/2019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 a fevereiro/2021, o valor total recebido foi no montante de {{VALOR_TOTAL_BOLSAS}}. </w:t>
      </w:r>
    </w:p>
    <w:p w14:paraId="612D7E3F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</w:pP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 xml:space="preserve">Assim, considerando o valor de 30% do auxílio moradia, o valor que o requerente deveria ter recebido é de </w:t>
      </w:r>
      <w:bookmarkStart w:id="0" w:name="_Hlk163842951"/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{{VALOR_AUXILIO_MORADIA}} ({{VALOR_AUXILIO_MORADIA_EXTENSO}}).</w:t>
      </w:r>
    </w:p>
    <w:bookmarkEnd w:id="0"/>
    <w:p w14:paraId="29511C44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b/>
          <w:bCs/>
          <w:spacing w:val="2"/>
          <w:u w:val="single"/>
        </w:rPr>
      </w:pPr>
      <w:r>
        <w:rPr>
          <w:rFonts w:ascii="Californian FB" w:hAnsi="Californian FB" w:cs="Californian FB"/>
          <w:spacing w:val="2"/>
        </w:rPr>
        <w:t xml:space="preserve">Frente ao exposto, deve ser deferida a indenização do auxílio moradia a{{A_O}} Requerente, desde o início de sua transferência até o término de sua residência, qual seja, 30% (trinta por cento) sobre o valor bruto da bolsa estudantil, </w:t>
      </w:r>
      <w:r>
        <w:rPr>
          <w:rFonts w:ascii="Californian FB" w:hAnsi="Californian FB" w:cs="Californian FB"/>
          <w:b/>
          <w:spacing w:val="2"/>
          <w:u w:val="single"/>
        </w:rPr>
        <w:t xml:space="preserve">que compreende </w:t>
      </w:r>
      <w:r>
        <w:rPr>
          <w:rFonts w:ascii="Californian FB" w:hAnsi="Californian FB" w:cs="Californian FB"/>
          <w:b/>
          <w:bCs/>
          <w:spacing w:val="2"/>
          <w:u w:val="single"/>
        </w:rPr>
        <w:t>{{VALOR_AUXILIO_MORADIA}} ({{VALOR_AUXILIO_MORADIA_EXTENSO}}).</w:t>
      </w:r>
    </w:p>
    <w:p w14:paraId="27B62D54" w14:textId="77777777" w:rsidR="00CB6E23" w:rsidRDefault="00CB6E23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b/>
          <w:bCs/>
          <w:spacing w:val="2"/>
          <w:u w:val="single"/>
        </w:rPr>
      </w:pPr>
    </w:p>
    <w:p w14:paraId="12F5B414" w14:textId="77777777" w:rsidR="00CB6E23" w:rsidRDefault="00000000">
      <w:pPr>
        <w:pStyle w:val="NormalWeb"/>
        <w:shd w:val="clear" w:color="auto" w:fill="FFFFFF"/>
        <w:spacing w:before="120" w:after="120" w:line="360" w:lineRule="auto"/>
        <w:jc w:val="both"/>
        <w:rPr>
          <w:rFonts w:ascii="Californian FB" w:hAnsi="Californian FB" w:cs="Californian FB"/>
          <w:b/>
          <w:bCs/>
          <w:spacing w:val="2"/>
        </w:rPr>
      </w:pPr>
      <w:r>
        <w:rPr>
          <w:rFonts w:ascii="Californian FB" w:hAnsi="Californian FB" w:cs="Californian FB"/>
          <w:b/>
          <w:bCs/>
          <w:spacing w:val="2"/>
        </w:rPr>
        <w:t>3 – DA VEDAÇÃO DO ENRIQUECIMENTO SEM CAUSA DA REQUERIDA</w:t>
      </w:r>
    </w:p>
    <w:p w14:paraId="770A1E75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A vedação do enriquecimento sem causa da Requerida deve ser observada, sendo que esta emana do Princípio que vem desde os tempos do direito romano “</w:t>
      </w:r>
      <w:r>
        <w:rPr>
          <w:rFonts w:ascii="Californian FB" w:hAnsi="Californian FB" w:cs="Californian FB"/>
          <w:i/>
          <w:iCs/>
          <w:spacing w:val="2"/>
        </w:rPr>
        <w:t>nemo locupletari postest cum aliena jactura”,</w:t>
      </w:r>
      <w:r>
        <w:rPr>
          <w:rFonts w:ascii="Californian FB" w:hAnsi="Californian FB" w:cs="Californian FB"/>
          <w:spacing w:val="2"/>
        </w:rPr>
        <w:t xml:space="preserve"> ou seja, numa tradução livre, “ninguém pode ficar rico à custa dos outros”.</w:t>
      </w:r>
    </w:p>
    <w:p w14:paraId="5A3F5B60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i/>
          <w:iCs/>
          <w:spacing w:val="2"/>
        </w:rPr>
      </w:pPr>
      <w:r>
        <w:rPr>
          <w:rFonts w:ascii="Californian FB" w:hAnsi="Californian FB" w:cs="Californian FB"/>
          <w:spacing w:val="2"/>
        </w:rPr>
        <w:lastRenderedPageBreak/>
        <w:t xml:space="preserve">O enriquecimento sem causa também é vedado pelo Código Civil (Lei 10.406/2002) no seu art. 884: </w:t>
      </w:r>
      <w:r>
        <w:rPr>
          <w:rFonts w:ascii="Californian FB" w:hAnsi="Californian FB" w:cs="Californian FB"/>
          <w:i/>
          <w:iCs/>
          <w:spacing w:val="2"/>
        </w:rPr>
        <w:t>“Aquele que, sem justa causa, se enriquecer à custa de outrem, será obrigado a restituir o indevidamente auferido, feita a atualização dos valores monetários”.</w:t>
      </w:r>
    </w:p>
    <w:p w14:paraId="4BA148DE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Orlando Gomes, leciona com clareza sobre o tema, vejamos:</w:t>
      </w:r>
    </w:p>
    <w:p w14:paraId="05754212" w14:textId="77777777" w:rsidR="00CB6E23" w:rsidRDefault="00000000">
      <w:pPr>
        <w:pStyle w:val="NormalWeb"/>
        <w:shd w:val="clear" w:color="auto" w:fill="FFFFFF"/>
        <w:spacing w:before="120" w:after="120"/>
        <w:ind w:left="2268"/>
        <w:jc w:val="both"/>
      </w:pPr>
      <w:r>
        <w:rPr>
          <w:rFonts w:ascii="Californian FB" w:hAnsi="Californian FB" w:cs="Californian FB"/>
          <w:spacing w:val="2"/>
        </w:rPr>
        <w:t xml:space="preserve">Há enriquecimento ilícito quando alguém, a expensas de outrem, obtém vantagem patrimonial sem causa, isto é, sem que tal vantagem se funde em dispositivo de lei ou em negócio jurídico anterior. São necessários os seguintes elementos: a) enriquecimento de alguém; b) empobrecimento de outro; c) nexo de causalidade entre o enriquecimento e o empobrecimento; d) a falta de causa ou causa injusta. </w:t>
      </w:r>
    </w:p>
    <w:p w14:paraId="7E7462B5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Pelos requisitos apresentados pelo célebre jurista, podemos afirmar que, no caso em tela, fica caracterizado o enriquecimento ilícito da Requerida, vez que a demanda enriquece ilicitamente no momento em que tem seus gastos diminuídos com a não concessão ou pagamento em pecúnia, das despesas, com moradia d{{A_O}} autor{{A_VAZIO}}.</w:t>
      </w:r>
    </w:p>
    <w:p w14:paraId="51FBC678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O nexo causal é estabelecido por ser a causa do empobrecimento d{{A_O}} Requerente o não pagamento das despesas com moradia, que é dever legalmente cabido à ré. O prejuízo, registra-se, não possui causa que o justifique, vez que a vantagem aspirada possui embasamento legal.</w:t>
      </w:r>
    </w:p>
    <w:p w14:paraId="42F9C83A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Portanto, fica claro que {{A_O}} Requerente tem o direito de auxílio-moradia, sob pena de enriquecimento sem causa da Requerida, uma vez que recebem orçamento para pagar o auxílio-moradia, mas não estão repassando para {{A_O}} Requerente, o que configura, flagrantemente, o enriquecimento ilícito aqui narrado.</w:t>
      </w:r>
    </w:p>
    <w:p w14:paraId="038342B9" w14:textId="77777777" w:rsidR="00CB6E23" w:rsidRDefault="00000000">
      <w:pPr>
        <w:pStyle w:val="NormalWeb"/>
        <w:shd w:val="clear" w:color="auto" w:fill="FFFFFF"/>
        <w:spacing w:before="120" w:after="120" w:line="360" w:lineRule="auto"/>
        <w:jc w:val="both"/>
        <w:rPr>
          <w:rFonts w:ascii="Californian FB" w:hAnsi="Californian FB" w:cs="Californian FB"/>
          <w:b/>
          <w:spacing w:val="2"/>
        </w:rPr>
      </w:pPr>
      <w:r>
        <w:rPr>
          <w:rFonts w:ascii="Californian FB" w:hAnsi="Californian FB" w:cs="Californian FB"/>
          <w:b/>
          <w:spacing w:val="2"/>
        </w:rPr>
        <w:t>4 – DA EXIBIÇÃO DE DOCUMENTO</w:t>
      </w:r>
    </w:p>
    <w:p w14:paraId="5DA36B07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Embora esteja insofismavelmente demonstrado o direito d{{A_O}} Requerente, certamente que o juízo pode entender necessário que haja mais elementos de prova para formar sua convicção.</w:t>
      </w:r>
    </w:p>
    <w:p w14:paraId="614DD1BE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No caso, foram apresentados os comprovantes de rendimentos que comprovam que o valor recebido pelo Requerente diz respeito tão somente à bolsa residência, sem o acréscimo do auxílio-moradia.</w:t>
      </w:r>
    </w:p>
    <w:p w14:paraId="01745CF0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lastRenderedPageBreak/>
        <w:t>Entretanto, as fichas financeiras d{{A_O}} Requerente estão em poder da Requerida, de modo que se requer que seja determinada a sua exibição nos termos do art. 398 do Código de Processo Civil.</w:t>
      </w:r>
    </w:p>
    <w:p w14:paraId="681E20C7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</w:rPr>
      </w:pPr>
      <w:r>
        <w:rPr>
          <w:rFonts w:ascii="Californian FB" w:hAnsi="Californian FB" w:cs="Californian FB"/>
          <w:spacing w:val="2"/>
        </w:rPr>
        <w:t>Apenas a título de argumentação, a Requerida não pode se recusar a fornecer o referido documento, tendo em vista que estão em seu poder, e ainda que alegue ser comum às partes, a recusa não pode ser admitida por força do art. 399, inciso III do mesmo diploma processual.</w:t>
      </w:r>
    </w:p>
    <w:p w14:paraId="66DC57F8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pacing w:val="2"/>
        </w:rPr>
        <w:t>Assim, requer-se que sejam fornecidas pela Requerida as fichas financeiras referentes a todo o período de residência do Requerente.</w:t>
      </w:r>
    </w:p>
    <w:p w14:paraId="2E27BD0E" w14:textId="77777777" w:rsidR="00CB6E23" w:rsidRDefault="00000000">
      <w:pPr>
        <w:tabs>
          <w:tab w:val="left" w:pos="1701"/>
        </w:tabs>
        <w:spacing w:before="120" w:after="120" w:line="360" w:lineRule="auto"/>
      </w:pPr>
      <w:r>
        <w:rPr>
          <w:rFonts w:ascii="Californian FB" w:hAnsi="Californian FB" w:cs="Californian FB"/>
          <w:b/>
          <w:bCs/>
          <w:sz w:val="24"/>
          <w:szCs w:val="24"/>
        </w:rPr>
        <w:t>5 - DOS PEDIDOS</w:t>
      </w:r>
    </w:p>
    <w:p w14:paraId="458C9482" w14:textId="77777777" w:rsidR="00CB6E23" w:rsidRDefault="00000000">
      <w:pPr>
        <w:spacing w:before="120" w:after="120" w:line="360" w:lineRule="auto"/>
        <w:ind w:left="1418"/>
        <w:jc w:val="both"/>
        <w:rPr>
          <w:rFonts w:ascii="Californian FB" w:hAnsi="Californian FB" w:cs="Californian FB"/>
          <w:sz w:val="24"/>
          <w:szCs w:val="24"/>
        </w:rPr>
      </w:pPr>
      <w:r>
        <w:rPr>
          <w:rFonts w:ascii="Californian FB" w:hAnsi="Californian FB" w:cs="Californian FB"/>
          <w:sz w:val="24"/>
          <w:szCs w:val="24"/>
        </w:rPr>
        <w:t>Diante do exposto, requer que se digne Vossa Excelência a:</w:t>
      </w:r>
    </w:p>
    <w:p w14:paraId="3D2A1193" w14:textId="77777777" w:rsidR="00CB6E23" w:rsidRDefault="00000000">
      <w:pPr>
        <w:spacing w:before="120" w:after="120" w:line="360" w:lineRule="auto"/>
        <w:ind w:left="1418"/>
        <w:jc w:val="both"/>
        <w:rPr>
          <w:rFonts w:ascii="Californian FB" w:hAnsi="Californian FB" w:cs="Californian FB"/>
          <w:bCs/>
          <w:sz w:val="24"/>
          <w:szCs w:val="24"/>
        </w:rPr>
      </w:pPr>
      <w:r>
        <w:rPr>
          <w:rFonts w:ascii="Californian FB" w:hAnsi="Californian FB" w:cs="Californian FB"/>
          <w:bCs/>
          <w:sz w:val="24"/>
          <w:szCs w:val="24"/>
        </w:rPr>
        <w:t>a) o reconhecimento da preliminar de interrupção da prescrição, conforme despacho de intimação anexo;</w:t>
      </w:r>
    </w:p>
    <w:p w14:paraId="11F0FFC9" w14:textId="77777777" w:rsidR="00CB6E23" w:rsidRDefault="00000000">
      <w:pPr>
        <w:spacing w:before="120" w:after="120" w:line="360" w:lineRule="auto"/>
        <w:ind w:left="1418"/>
        <w:jc w:val="both"/>
        <w:rPr>
          <w:rFonts w:ascii="Californian FB" w:hAnsi="Californian FB" w:cs="Californian FB"/>
          <w:bCs/>
          <w:sz w:val="24"/>
          <w:szCs w:val="24"/>
        </w:rPr>
      </w:pPr>
      <w:r>
        <w:rPr>
          <w:rFonts w:ascii="Californian FB" w:hAnsi="Californian FB" w:cs="Californian FB"/>
          <w:bCs/>
          <w:sz w:val="24"/>
          <w:szCs w:val="24"/>
        </w:rPr>
        <w:t>b) a citação da Requerida para contestar a ação, requerendo-se, desde já, a dispensa da audiência de conciliação, em razão da natureza indisponível do direito pleiteado, e, na remota hipótese de não ser dispensada, requer-se que seja realizada na modalidade virtual;</w:t>
      </w:r>
    </w:p>
    <w:p w14:paraId="65916B27" w14:textId="77777777" w:rsidR="00CB6E23" w:rsidRDefault="00000000">
      <w:pPr>
        <w:spacing w:before="120" w:after="120" w:line="360" w:lineRule="auto"/>
        <w:ind w:left="1418"/>
        <w:jc w:val="both"/>
        <w:rPr>
          <w:rFonts w:ascii="Californian FB" w:hAnsi="Californian FB" w:cs="Californian FB"/>
          <w:bCs/>
          <w:sz w:val="24"/>
          <w:szCs w:val="24"/>
        </w:rPr>
      </w:pPr>
      <w:r>
        <w:rPr>
          <w:rFonts w:ascii="Californian FB" w:hAnsi="Californian FB" w:cs="Californian FB"/>
          <w:bCs/>
          <w:sz w:val="24"/>
          <w:szCs w:val="24"/>
        </w:rPr>
        <w:t xml:space="preserve">c) a determinação para exibição de documento, consistente nas fichas financeiras d{{A_O}} Requerente, referentes ao seu período de residência médica, nos termos do art. 398 e seguintes do Código de Processo Civil. </w:t>
      </w:r>
    </w:p>
    <w:p w14:paraId="16C8ACA9" w14:textId="77777777" w:rsidR="00CB6E23" w:rsidRDefault="00000000">
      <w:pPr>
        <w:spacing w:before="120" w:after="120" w:line="360" w:lineRule="auto"/>
        <w:ind w:left="1418"/>
        <w:jc w:val="both"/>
        <w:rPr>
          <w:rFonts w:ascii="Californian FB" w:hAnsi="Californian FB" w:cs="Californian FB"/>
          <w:bCs/>
          <w:sz w:val="24"/>
          <w:szCs w:val="24"/>
        </w:rPr>
      </w:pPr>
      <w:r>
        <w:rPr>
          <w:rFonts w:ascii="Californian FB" w:hAnsi="Californian FB" w:cs="Californian FB"/>
          <w:bCs/>
          <w:sz w:val="24"/>
          <w:szCs w:val="24"/>
        </w:rPr>
        <w:t xml:space="preserve">d) posteriormente ao trâmite processual nos termos legais, o julgamento procedente dos pedidos desta ação, com a condenação da parte Requerida ao pagamento de 30% do valor da bolsa de residência, a título de auxílio moradia do período entre {{PERIODO_AUXILIO}} no valor de 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{{VALOR_AUXILIO_MORADIA}} ({{VALOR_AUXILIO_MORADIA_EXTENSO}})</w:t>
      </w:r>
      <w:r>
        <w:rPr>
          <w:rFonts w:ascii="Californian FB" w:hAnsi="Californian FB" w:cs="Californian FB"/>
          <w:spacing w:val="2"/>
          <w:sz w:val="24"/>
          <w:szCs w:val="24"/>
        </w:rPr>
        <w:t xml:space="preserve">, na qual deve ser aplicado correção monetária e juros;  </w:t>
      </w:r>
    </w:p>
    <w:p w14:paraId="2B947BAE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left="1418"/>
        <w:jc w:val="both"/>
        <w:rPr>
          <w:rFonts w:ascii="Californian FB" w:hAnsi="Californian FB" w:cs="Californian FB"/>
          <w:color w:val="000000"/>
        </w:rPr>
      </w:pPr>
      <w:r>
        <w:rPr>
          <w:rFonts w:ascii="Californian FB" w:hAnsi="Californian FB" w:cs="Californian FB"/>
          <w:bCs/>
        </w:rPr>
        <w:t xml:space="preserve">e) </w:t>
      </w:r>
      <w:r>
        <w:rPr>
          <w:rFonts w:ascii="Californian FB" w:hAnsi="Californian FB" w:cs="Californian FB"/>
          <w:color w:val="000000"/>
        </w:rPr>
        <w:t>A condenação da Requerida ao pagamento de honorários advocatícios em caso de eventual recurso;</w:t>
      </w:r>
    </w:p>
    <w:p w14:paraId="7A598318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left="1418"/>
        <w:jc w:val="both"/>
        <w:rPr>
          <w:rFonts w:ascii="Californian FB" w:hAnsi="Californian FB" w:cs="Californian FB"/>
          <w:color w:val="000000"/>
        </w:rPr>
      </w:pPr>
      <w:r>
        <w:rPr>
          <w:rFonts w:ascii="Californian FB" w:hAnsi="Californian FB" w:cs="Californian FB"/>
          <w:bCs/>
        </w:rPr>
        <w:lastRenderedPageBreak/>
        <w:t xml:space="preserve">f) </w:t>
      </w:r>
      <w:r>
        <w:rPr>
          <w:rFonts w:ascii="Californian FB" w:hAnsi="Californian FB" w:cs="Californian FB"/>
        </w:rPr>
        <w:t>Por derradeiro, requer provar o alegado por todos os meios em direito admitidos, primordialmente pela juntada dos documentos anexo, sem a exclusão de quaisquer outros.</w:t>
      </w:r>
    </w:p>
    <w:p w14:paraId="57073B75" w14:textId="77777777" w:rsidR="00CB6E23" w:rsidRDefault="00000000">
      <w:pPr>
        <w:spacing w:before="120" w:after="120" w:line="360" w:lineRule="auto"/>
        <w:ind w:firstLine="1418"/>
        <w:jc w:val="both"/>
        <w:rPr>
          <w:rFonts w:ascii="Californian FB" w:hAnsi="Californian FB" w:cs="Californian FB"/>
          <w:spacing w:val="2"/>
          <w:sz w:val="24"/>
          <w:szCs w:val="24"/>
        </w:rPr>
      </w:pPr>
      <w:r>
        <w:rPr>
          <w:rFonts w:ascii="Californian FB" w:hAnsi="Californian FB" w:cs="Californian FB"/>
          <w:sz w:val="24"/>
          <w:szCs w:val="24"/>
        </w:rPr>
        <w:t xml:space="preserve">Dá-se à causa o valor de </w:t>
      </w:r>
      <w:r>
        <w:rPr>
          <w:rFonts w:ascii="Californian FB" w:hAnsi="Californian FB" w:cs="Californian FB"/>
          <w:spacing w:val="2"/>
          <w:sz w:val="24"/>
          <w:szCs w:val="24"/>
          <w:shd w:val="clear" w:color="auto" w:fill="FFFFFF"/>
        </w:rPr>
        <w:t>{{VALOR_AUXILIO_MORADIA}} ({{VALOR_AUXILIO_MORADIA_EXTENSO}}).</w:t>
      </w:r>
    </w:p>
    <w:p w14:paraId="4B80EE91" w14:textId="77777777" w:rsidR="00CB6E23" w:rsidRDefault="00000000">
      <w:pPr>
        <w:tabs>
          <w:tab w:val="left" w:pos="1701"/>
        </w:tabs>
        <w:spacing w:before="120" w:after="120" w:line="360" w:lineRule="auto"/>
        <w:ind w:firstLine="1418"/>
        <w:jc w:val="both"/>
      </w:pPr>
      <w:r>
        <w:rPr>
          <w:rFonts w:ascii="Californian FB" w:hAnsi="Californian FB" w:cs="Californian FB"/>
          <w:sz w:val="24"/>
          <w:szCs w:val="24"/>
        </w:rPr>
        <w:t xml:space="preserve">Nestes termos, pede deferimento. </w:t>
      </w:r>
    </w:p>
    <w:p w14:paraId="2C4CFC34" w14:textId="77777777" w:rsidR="00CB6E23" w:rsidRDefault="00000000">
      <w:pPr>
        <w:pStyle w:val="NormalWeb"/>
        <w:shd w:val="clear" w:color="auto" w:fill="FFFFFF"/>
        <w:spacing w:before="120" w:after="120" w:line="360" w:lineRule="auto"/>
        <w:ind w:firstLine="1418"/>
        <w:rPr>
          <w:rFonts w:ascii="Californian FB" w:hAnsi="Californian FB" w:cs="Californian FB"/>
        </w:rPr>
      </w:pPr>
      <w:r>
        <w:rPr>
          <w:rFonts w:ascii="Californian FB" w:hAnsi="Californian FB" w:cs="Californian FB"/>
        </w:rPr>
        <w:t xml:space="preserve">Cuiabá, </w:t>
      </w:r>
      <w:r>
        <w:rPr>
          <w:rFonts w:ascii="Californian FB" w:hAnsi="Californian FB" w:cs="Californian FB"/>
        </w:rPr>
        <w:fldChar w:fldCharType="begin"/>
      </w:r>
      <w:r>
        <w:rPr>
          <w:rFonts w:ascii="Californian FB" w:hAnsi="Californian FB" w:cs="Californian FB"/>
        </w:rPr>
        <w:instrText xml:space="preserve"> DATE \@"d' de 'MMMM' de 'yyyy" </w:instrText>
      </w:r>
      <w:r>
        <w:rPr>
          <w:rFonts w:ascii="Californian FB" w:hAnsi="Californian FB" w:cs="Californian FB"/>
        </w:rPr>
        <w:fldChar w:fldCharType="separate"/>
      </w:r>
      <w:r w:rsidR="00A2768D">
        <w:rPr>
          <w:rFonts w:ascii="Californian FB" w:hAnsi="Californian FB" w:cs="Californian FB"/>
          <w:noProof/>
        </w:rPr>
        <w:t>18 de janeiro de 2026</w:t>
      </w:r>
      <w:r>
        <w:rPr>
          <w:rFonts w:ascii="Californian FB" w:hAnsi="Californian FB" w:cs="Californian FB"/>
        </w:rPr>
        <w:fldChar w:fldCharType="end"/>
      </w:r>
      <w:r>
        <w:rPr>
          <w:rFonts w:ascii="Californian FB" w:hAnsi="Californian FB" w:cs="Californian FB"/>
        </w:rPr>
        <w:t>.</w:t>
      </w:r>
    </w:p>
    <w:p w14:paraId="20743454" w14:textId="77777777" w:rsidR="00CB6E23" w:rsidRDefault="00CB6E23">
      <w:pPr>
        <w:pStyle w:val="NormalWeb"/>
        <w:shd w:val="clear" w:color="auto" w:fill="FFFFFF"/>
        <w:spacing w:before="120" w:after="120" w:line="360" w:lineRule="auto"/>
        <w:ind w:firstLine="1418"/>
        <w:rPr>
          <w:rFonts w:ascii="Californian FB" w:hAnsi="Californian FB" w:cs="Californian FB"/>
        </w:rPr>
      </w:pPr>
    </w:p>
    <w:p w14:paraId="25084166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 xml:space="preserve">FERNANDA VAUCHER DE OLIVEIRA </w:t>
      </w:r>
    </w:p>
    <w:p w14:paraId="48C1B973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>OAB/MT 12.066</w:t>
      </w:r>
    </w:p>
    <w:p w14:paraId="4AF450FC" w14:textId="77777777" w:rsidR="00CB6E23" w:rsidRDefault="00CB6E23">
      <w:pPr>
        <w:pStyle w:val="NormalWeb"/>
        <w:shd w:val="clear" w:color="auto" w:fill="FFFFFF"/>
        <w:spacing w:before="120" w:after="120" w:line="360" w:lineRule="auto"/>
        <w:ind w:firstLine="1418"/>
        <w:rPr>
          <w:rFonts w:ascii="Californian FB" w:hAnsi="Californian FB" w:cs="Californian FB"/>
          <w:b/>
          <w:shd w:val="clear" w:color="auto" w:fill="FFFFFF"/>
        </w:rPr>
      </w:pPr>
    </w:p>
    <w:p w14:paraId="19D3B615" w14:textId="77777777" w:rsidR="00CB6E23" w:rsidRDefault="00000000">
      <w:pPr>
        <w:spacing w:before="120" w:after="120" w:line="240" w:lineRule="auto"/>
        <w:jc w:val="center"/>
        <w:rPr>
          <w:rFonts w:ascii="Californian FB" w:hAnsi="Californian FB" w:cs="Californian FB"/>
          <w:b/>
          <w:sz w:val="24"/>
          <w:szCs w:val="24"/>
        </w:rPr>
      </w:pPr>
      <w:r>
        <w:rPr>
          <w:rFonts w:ascii="Californian FB" w:hAnsi="Californian FB" w:cs="Californian FB"/>
          <w:b/>
          <w:sz w:val="24"/>
          <w:szCs w:val="24"/>
        </w:rPr>
        <w:t>JOÃO RICARDO VAUCHER DE OLIVEIRA</w:t>
      </w:r>
    </w:p>
    <w:p w14:paraId="69FCF1A2" w14:textId="77777777" w:rsidR="00CB6E23" w:rsidRDefault="00000000">
      <w:pPr>
        <w:spacing w:before="120" w:after="120" w:line="240" w:lineRule="auto"/>
        <w:jc w:val="center"/>
        <w:rPr>
          <w:rFonts w:ascii="Californian FB" w:hAnsi="Californian FB" w:cs="Californian FB"/>
          <w:b/>
          <w:sz w:val="24"/>
          <w:szCs w:val="24"/>
        </w:rPr>
      </w:pPr>
      <w:r>
        <w:rPr>
          <w:rFonts w:ascii="Californian FB" w:hAnsi="Californian FB" w:cs="Californian FB"/>
          <w:b/>
          <w:sz w:val="24"/>
          <w:szCs w:val="24"/>
        </w:rPr>
        <w:t>OAB/MT 14.490</w:t>
      </w:r>
    </w:p>
    <w:p w14:paraId="27CEC1EC" w14:textId="77777777" w:rsidR="00CB6E23" w:rsidRDefault="00CB6E23">
      <w:pPr>
        <w:pStyle w:val="NormalWeb"/>
        <w:shd w:val="clear" w:color="auto" w:fill="FFFFFF"/>
        <w:spacing w:before="120" w:after="120"/>
        <w:ind w:firstLine="1418"/>
        <w:rPr>
          <w:rFonts w:ascii="Californian FB" w:hAnsi="Californian FB" w:cs="Californian FB"/>
          <w:b/>
        </w:rPr>
      </w:pPr>
    </w:p>
    <w:p w14:paraId="41F24E0E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>BRUNO COSTA ÁLVARES SILVA</w:t>
      </w:r>
    </w:p>
    <w:p w14:paraId="07A94854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>OAB/MT 15.127</w:t>
      </w:r>
    </w:p>
    <w:p w14:paraId="04487ECF" w14:textId="77777777" w:rsidR="00CB6E23" w:rsidRDefault="00CB6E23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</w:p>
    <w:p w14:paraId="6C3578D4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>KARINA MACIEL COSTA SALES</w:t>
      </w:r>
    </w:p>
    <w:p w14:paraId="5A694E9B" w14:textId="77777777" w:rsidR="00CB6E23" w:rsidRDefault="00000000">
      <w:pPr>
        <w:tabs>
          <w:tab w:val="left" w:pos="142"/>
        </w:tabs>
        <w:spacing w:before="120" w:after="120" w:line="24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  <w:r>
        <w:rPr>
          <w:rFonts w:ascii="Californian FB" w:hAnsi="Californian FB" w:cs="Arial"/>
          <w:b/>
          <w:sz w:val="24"/>
          <w:szCs w:val="24"/>
          <w:shd w:val="clear" w:color="auto" w:fill="FFFFFF"/>
        </w:rPr>
        <w:t>OAB/MT 27.360</w:t>
      </w:r>
    </w:p>
    <w:p w14:paraId="14F9783D" w14:textId="77777777" w:rsidR="00CB6E23" w:rsidRDefault="00CB6E23">
      <w:pPr>
        <w:tabs>
          <w:tab w:val="left" w:pos="142"/>
        </w:tabs>
        <w:spacing w:before="120" w:after="120" w:line="360" w:lineRule="auto"/>
        <w:jc w:val="center"/>
        <w:rPr>
          <w:rFonts w:ascii="Californian FB" w:hAnsi="Californian FB" w:cs="Arial"/>
          <w:b/>
          <w:sz w:val="24"/>
          <w:szCs w:val="24"/>
          <w:shd w:val="clear" w:color="auto" w:fill="FFFFFF"/>
        </w:rPr>
      </w:pPr>
    </w:p>
    <w:sectPr w:rsidR="00CB6E23">
      <w:headerReference w:type="default" r:id="rId6"/>
      <w:footerReference w:type="default" r:id="rId7"/>
      <w:pgSz w:w="11906" w:h="16838"/>
      <w:pgMar w:top="1417" w:right="1701" w:bottom="1417" w:left="1701" w:header="426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9785" w14:textId="77777777" w:rsidR="00C411EA" w:rsidRDefault="00C411EA">
      <w:pPr>
        <w:spacing w:after="0" w:line="240" w:lineRule="auto"/>
      </w:pPr>
      <w:r>
        <w:separator/>
      </w:r>
    </w:p>
  </w:endnote>
  <w:endnote w:type="continuationSeparator" w:id="0">
    <w:p w14:paraId="50F876FF" w14:textId="77777777" w:rsidR="00C411EA" w:rsidRDefault="00C41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FC0C" w14:textId="77777777" w:rsidR="00CB6E23" w:rsidRDefault="00000000">
    <w:pPr>
      <w:spacing w:after="0" w:line="240" w:lineRule="auto"/>
      <w:jc w:val="center"/>
      <w:rPr>
        <w:rFonts w:ascii="Californian FB" w:eastAsia="Times New Roman" w:hAnsi="Californian FB" w:cs="Californian FB"/>
      </w:rPr>
    </w:pPr>
    <w:r>
      <w:rPr>
        <w:rFonts w:ascii="Californian FB" w:eastAsia="Times New Roman" w:hAnsi="Californian FB" w:cs="Californian FB"/>
      </w:rPr>
      <w:t>__________________________________________________________________________</w:t>
    </w:r>
  </w:p>
  <w:p w14:paraId="4E1C1367" w14:textId="77777777" w:rsidR="00CB6E23" w:rsidRDefault="00000000">
    <w:pPr>
      <w:spacing w:after="0" w:line="240" w:lineRule="auto"/>
      <w:jc w:val="center"/>
      <w:rPr>
        <w:rFonts w:ascii="Californian FB" w:eastAsia="Times New Roman" w:hAnsi="Californian FB" w:cs="Andalus"/>
      </w:rPr>
    </w:pPr>
    <w:r>
      <w:rPr>
        <w:rFonts w:ascii="Californian FB" w:eastAsia="Times New Roman" w:hAnsi="Californian FB" w:cs="Andalus"/>
      </w:rPr>
      <w:t xml:space="preserve">Rua Lima, nº 106, Bairro Jardim das Américas, Cuiabá-MT </w:t>
    </w:r>
  </w:p>
  <w:p w14:paraId="2621355B" w14:textId="6C121135" w:rsidR="00CB6E23" w:rsidRDefault="00A2768D">
    <w:pPr>
      <w:spacing w:after="0" w:line="240" w:lineRule="auto"/>
      <w:jc w:val="center"/>
      <w:rPr>
        <w:rFonts w:ascii="Californian FB" w:eastAsia="Times New Roman" w:hAnsi="Californian FB" w:cs="Andalus"/>
      </w:rPr>
    </w:pPr>
    <w:r>
      <w:rPr>
        <w:noProof/>
      </w:rPr>
      <w:pict w14:anchorId="2D32DD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0" o:spid="_x0000_s1025" type="#_x0000_t75" style="position:absolute;left:0;text-align:left;margin-left:418.95pt;margin-top:1.9pt;width:28.3pt;height:28.9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32f" cropbottom="-32f" cropleft="-33f" cropright="-33f"/>
        </v:shape>
      </w:pict>
    </w:r>
    <w:r w:rsidR="00000000">
      <w:rPr>
        <w:rFonts w:ascii="Californian FB" w:eastAsia="Times New Roman" w:hAnsi="Californian FB" w:cs="Andalus"/>
      </w:rPr>
      <w:t xml:space="preserve">(65) 3025-1223 – e-mail: </w:t>
    </w:r>
    <w:hyperlink r:id="rId2">
      <w:r w:rsidR="00000000">
        <w:rPr>
          <w:rStyle w:val="Hyperlink"/>
          <w:rFonts w:ascii="Californian FB" w:eastAsia="Times New Roman" w:hAnsi="Californian FB" w:cs="Andalus"/>
        </w:rPr>
        <w:t>vaucheradv@gmail.com</w:t>
      </w:r>
    </w:hyperlink>
  </w:p>
  <w:p w14:paraId="63089CDA" w14:textId="77777777" w:rsidR="00CB6E23" w:rsidRDefault="00000000">
    <w:pPr>
      <w:spacing w:after="0" w:line="240" w:lineRule="auto"/>
      <w:jc w:val="center"/>
      <w:rPr>
        <w:rFonts w:ascii="Californian FB" w:eastAsia="Times New Roman" w:hAnsi="Californian FB" w:cs="Andalus"/>
      </w:rPr>
    </w:pPr>
    <w:r>
      <w:rPr>
        <w:rFonts w:ascii="Californian FB" w:eastAsia="Times New Roman" w:hAnsi="Californian FB" w:cs="Andalus"/>
      </w:rPr>
      <w:t xml:space="preserve">Página </w:t>
    </w:r>
    <w:r>
      <w:rPr>
        <w:rFonts w:ascii="Californian FB" w:eastAsia="Times New Roman" w:hAnsi="Californian FB" w:cs="Andalus"/>
      </w:rPr>
      <w:fldChar w:fldCharType="begin"/>
    </w:r>
    <w:r>
      <w:rPr>
        <w:rFonts w:ascii="Californian FB" w:eastAsia="Times New Roman" w:hAnsi="Californian FB" w:cs="Andalus"/>
      </w:rPr>
      <w:instrText xml:space="preserve"> PAGE </w:instrText>
    </w:r>
    <w:r>
      <w:rPr>
        <w:rFonts w:ascii="Californian FB" w:eastAsia="Times New Roman" w:hAnsi="Californian FB" w:cs="Andalus"/>
      </w:rPr>
      <w:fldChar w:fldCharType="separate"/>
    </w:r>
    <w:r>
      <w:rPr>
        <w:rFonts w:ascii="Californian FB" w:eastAsia="Times New Roman" w:hAnsi="Californian FB" w:cs="Andalus"/>
      </w:rPr>
      <w:t>20</w:t>
    </w:r>
    <w:r>
      <w:rPr>
        <w:rFonts w:ascii="Californian FB" w:eastAsia="Times New Roman" w:hAnsi="Californian FB" w:cs="Andalus"/>
      </w:rPr>
      <w:fldChar w:fldCharType="end"/>
    </w:r>
    <w:r>
      <w:rPr>
        <w:rFonts w:ascii="Californian FB" w:eastAsia="Times New Roman" w:hAnsi="Californian FB" w:cs="Andalus"/>
      </w:rPr>
      <w:t xml:space="preserve"> de </w:t>
    </w:r>
    <w:r>
      <w:rPr>
        <w:rFonts w:ascii="Californian FB" w:eastAsia="Times New Roman" w:hAnsi="Californian FB" w:cs="Andalus"/>
      </w:rPr>
      <w:fldChar w:fldCharType="begin"/>
    </w:r>
    <w:r>
      <w:rPr>
        <w:rFonts w:ascii="Californian FB" w:eastAsia="Times New Roman" w:hAnsi="Californian FB" w:cs="Andalus"/>
      </w:rPr>
      <w:instrText xml:space="preserve"> NUMPAGES \* ARABIC </w:instrText>
    </w:r>
    <w:r>
      <w:rPr>
        <w:rFonts w:ascii="Californian FB" w:eastAsia="Times New Roman" w:hAnsi="Californian FB" w:cs="Andalus"/>
      </w:rPr>
      <w:fldChar w:fldCharType="separate"/>
    </w:r>
    <w:r>
      <w:rPr>
        <w:rFonts w:ascii="Californian FB" w:eastAsia="Times New Roman" w:hAnsi="Californian FB" w:cs="Andalus"/>
      </w:rPr>
      <w:t>20</w:t>
    </w:r>
    <w:r>
      <w:rPr>
        <w:rFonts w:ascii="Californian FB" w:eastAsia="Times New Roman" w:hAnsi="Californian FB" w:cs="Andalus"/>
      </w:rPr>
      <w:fldChar w:fldCharType="end"/>
    </w:r>
  </w:p>
  <w:p w14:paraId="5C764B42" w14:textId="77777777" w:rsidR="00CB6E23" w:rsidRDefault="00CB6E23">
    <w:pPr>
      <w:pStyle w:val="Rodap"/>
      <w:rPr>
        <w:rFonts w:ascii="Californian FB" w:eastAsia="Times New Roman" w:hAnsi="Californian FB" w:cs="Andalus"/>
      </w:rPr>
    </w:pPr>
  </w:p>
  <w:p w14:paraId="41320AAD" w14:textId="77777777" w:rsidR="00CB6E23" w:rsidRDefault="00CB6E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9D38" w14:textId="77777777" w:rsidR="00C411EA" w:rsidRDefault="00C411EA">
      <w:pPr>
        <w:spacing w:after="0" w:line="240" w:lineRule="auto"/>
      </w:pPr>
      <w:r>
        <w:separator/>
      </w:r>
    </w:p>
  </w:footnote>
  <w:footnote w:type="continuationSeparator" w:id="0">
    <w:p w14:paraId="7EB2D89B" w14:textId="77777777" w:rsidR="00C411EA" w:rsidRDefault="00C41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76A1" w14:textId="0877B19D" w:rsidR="00CB6E23" w:rsidRDefault="00A2768D">
    <w:pPr>
      <w:tabs>
        <w:tab w:val="center" w:pos="4252"/>
        <w:tab w:val="right" w:pos="8504"/>
      </w:tabs>
      <w:spacing w:after="0" w:line="240" w:lineRule="auto"/>
      <w:jc w:val="center"/>
      <w:rPr>
        <w:rFonts w:ascii="Californian FB" w:eastAsia="Times New Roman" w:hAnsi="Californian FB" w:cs="Californian FB"/>
        <w:i/>
        <w:sz w:val="24"/>
        <w:szCs w:val="24"/>
        <w:lang w:val="en-US" w:eastAsia="en-US"/>
      </w:rPr>
    </w:pPr>
    <w:r>
      <w:rPr>
        <w:noProof/>
      </w:rPr>
      <w:pict w14:anchorId="412DC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1" o:spid="_x0000_s1026" type="#_x0000_t75" style="position:absolute;left:0;text-align:left;margin-left:97.65pt;margin-top:-7.35pt;width:225.9pt;height:51.8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23f" cropbottom="-23f" cropleft="-5f" cropright="-5f"/>
        </v:shape>
      </w:pict>
    </w:r>
  </w:p>
  <w:p w14:paraId="6DB0E032" w14:textId="77777777" w:rsidR="00CB6E23" w:rsidRDefault="00CB6E23">
    <w:pPr>
      <w:tabs>
        <w:tab w:val="center" w:pos="4252"/>
        <w:tab w:val="right" w:pos="8504"/>
      </w:tabs>
      <w:spacing w:after="0" w:line="240" w:lineRule="auto"/>
      <w:jc w:val="right"/>
      <w:rPr>
        <w:rFonts w:ascii="Californian FB" w:eastAsia="Times New Roman" w:hAnsi="Californian FB" w:cs="Californian FB"/>
        <w:i/>
        <w:sz w:val="24"/>
        <w:szCs w:val="24"/>
        <w:lang w:val="en-US"/>
      </w:rPr>
    </w:pPr>
  </w:p>
  <w:p w14:paraId="3595BE13" w14:textId="77777777" w:rsidR="00CB6E23" w:rsidRDefault="00CB6E23">
    <w:pPr>
      <w:tabs>
        <w:tab w:val="center" w:pos="4252"/>
        <w:tab w:val="right" w:pos="8504"/>
      </w:tabs>
      <w:spacing w:after="0" w:line="240" w:lineRule="auto"/>
      <w:jc w:val="right"/>
      <w:rPr>
        <w:rFonts w:ascii="Californian FB" w:eastAsia="Times New Roman" w:hAnsi="Californian FB" w:cs="Californian FB"/>
        <w:i/>
        <w:sz w:val="24"/>
        <w:szCs w:val="24"/>
        <w:lang w:val="en-US"/>
      </w:rPr>
    </w:pPr>
  </w:p>
  <w:p w14:paraId="4CA9A58F" w14:textId="77777777" w:rsidR="00CB6E23" w:rsidRDefault="00CB6E23">
    <w:pPr>
      <w:tabs>
        <w:tab w:val="center" w:pos="4252"/>
        <w:tab w:val="right" w:pos="8504"/>
      </w:tabs>
      <w:spacing w:after="0" w:line="240" w:lineRule="auto"/>
      <w:jc w:val="right"/>
      <w:rPr>
        <w:rFonts w:ascii="Californian FB" w:eastAsia="Times New Roman" w:hAnsi="Californian FB" w:cs="Californian FB"/>
        <w:i/>
        <w:sz w:val="24"/>
        <w:szCs w:val="2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E23"/>
    <w:rsid w:val="00165A3D"/>
    <w:rsid w:val="00A2768D"/>
    <w:rsid w:val="00C411EA"/>
    <w:rsid w:val="00CB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2981B96"/>
  <w15:docId w15:val="{B298242B-EFA9-4CAE-9933-CC0E256C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Calibri" w:hAnsi="Calibri" w:cs="Times New Roman"/>
      <w:sz w:val="22"/>
      <w:szCs w:val="22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color w:val="000000"/>
      <w:sz w:val="24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apple-converted-space">
    <w:name w:val="apple-converted-space"/>
    <w:basedOn w:val="Fontepargpadro"/>
    <w:qFormat/>
  </w:style>
  <w:style w:type="character" w:styleId="Hyperlink">
    <w:name w:val="Hyperlink"/>
    <w:rPr>
      <w:color w:val="0000FF"/>
      <w:u w:val="single"/>
    </w:rPr>
  </w:style>
  <w:style w:type="character" w:customStyle="1" w:styleId="TextodenotaderodapChar">
    <w:name w:val="Texto de nota de rodapé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MenoPendente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spacing w:after="0" w:line="240" w:lineRule="auto"/>
    </w:pPr>
  </w:style>
  <w:style w:type="paragraph" w:styleId="Rodap">
    <w:name w:val="footer"/>
    <w:basedOn w:val="Normal"/>
    <w:pPr>
      <w:spacing w:after="0" w:line="240" w:lineRule="auto"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vaucheradv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15</Pages>
  <Words>4685</Words>
  <Characters>25299</Characters>
  <Application>Microsoft Office Word</Application>
  <DocSecurity>0</DocSecurity>
  <Lines>210</Lines>
  <Paragraphs>59</Paragraphs>
  <ScaleCrop>false</ScaleCrop>
  <Company/>
  <LinksUpToDate>false</LinksUpToDate>
  <CharactersWithSpaces>29925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sinara alvares</dc:creator>
  <cp:keywords/>
  <dc:description/>
  <cp:lastModifiedBy>BRUNO SILVA</cp:lastModifiedBy>
  <cp:revision>48</cp:revision>
  <cp:lastPrinted>2025-07-11T15:11:00Z</cp:lastPrinted>
  <dcterms:created xsi:type="dcterms:W3CDTF">2022-02-25T12:54:00Z</dcterms:created>
  <dcterms:modified xsi:type="dcterms:W3CDTF">2026-01-18T22:49:00Z</dcterms:modified>
  <dc:language>en-US</dc:language>
</cp:coreProperties>
</file>