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_rels/footer1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120" w:after="120"/>
        <w:jc w:val="center"/>
        <w:rPr>
          <w:rFonts w:ascii="Californian FB" w:hAnsi="Californian FB" w:cs="Californian FB"/>
          <w:b/>
          <w:bCs/>
          <w:sz w:val="24"/>
          <w:szCs w:val="24"/>
        </w:rPr>
      </w:pPr>
      <w:r>
        <w:rPr>
          <w:rFonts w:cs="Californian FB" w:ascii="Californian FB" w:hAnsi="Californian FB"/>
          <w:b/>
          <w:bCs/>
          <w:sz w:val="24"/>
          <w:szCs w:val="24"/>
        </w:rPr>
        <w:t>AO JUÍZO DO JUIZADO ESPECIAL CÍVEL DE CUIABÁ/MT, A QUE ESTA FOR DISTRIBUÍDA</w:t>
      </w:r>
    </w:p>
    <w:p>
      <w:pPr>
        <w:pStyle w:val="Normal"/>
        <w:spacing w:lineRule="auto" w:line="360" w:before="120" w:after="120"/>
        <w:ind w:firstLine="708" w:right="0"/>
        <w:jc w:val="both"/>
        <w:rPr>
          <w:rFonts w:ascii="Californian FB" w:hAnsi="Californian FB" w:cs="Californian FB"/>
          <w:b/>
          <w:bCs/>
          <w:spacing w:val="2"/>
          <w:sz w:val="24"/>
          <w:szCs w:val="24"/>
          <w:shd w:fill="FFFFFF" w:val="clear"/>
        </w:rPr>
      </w:pPr>
      <w:r>
        <w:rPr>
          <w:rFonts w:cs="Californian FB" w:ascii="Californian FB" w:hAnsi="Californian FB"/>
          <w:b/>
          <w:bCs/>
          <w:spacing w:val="2"/>
          <w:sz w:val="24"/>
          <w:szCs w:val="24"/>
          <w:shd w:fill="FFFFFF" w:val="clear"/>
        </w:rPr>
      </w:r>
    </w:p>
    <w:p>
      <w:pPr>
        <w:pStyle w:val="Normal"/>
        <w:spacing w:lineRule="auto" w:line="360" w:before="120" w:after="120"/>
        <w:ind w:firstLine="708" w:right="0"/>
        <w:jc w:val="both"/>
        <w:rPr>
          <w:rFonts w:ascii="Californian FB" w:hAnsi="Californian FB" w:cs="Californian FB"/>
          <w:spacing w:val="2"/>
          <w:sz w:val="24"/>
          <w:szCs w:val="24"/>
          <w:shd w:fill="FFFFFF" w:val="clear"/>
        </w:rPr>
      </w:pP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</w:r>
    </w:p>
    <w:p>
      <w:pPr>
        <w:pStyle w:val="Normal"/>
        <w:spacing w:lineRule="auto" w:line="360" w:before="120" w:after="120"/>
        <w:ind w:firstLine="708" w:right="0"/>
        <w:jc w:val="both"/>
        <w:rPr>
          <w:rFonts w:ascii="Californian FB" w:hAnsi="Californian FB" w:cs="Californian FB"/>
          <w:spacing w:val="2"/>
          <w:sz w:val="24"/>
          <w:szCs w:val="24"/>
          <w:shd w:fill="FFFFFF" w:val="clear"/>
        </w:rPr>
      </w:pP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</w:r>
    </w:p>
    <w:p>
      <w:pPr>
        <w:pStyle w:val="Normal"/>
        <w:spacing w:lineRule="auto" w:line="360" w:before="120" w:after="120"/>
        <w:ind w:firstLine="708" w:right="0"/>
        <w:jc w:val="both"/>
        <w:rPr>
          <w:rFonts w:ascii="Californian FB" w:hAnsi="Californian FB" w:cs="Californian FB"/>
          <w:b/>
          <w:color w:val="000000"/>
          <w:spacing w:val="2"/>
          <w:sz w:val="24"/>
          <w:szCs w:val="24"/>
          <w:shd w:fill="FFFFFF" w:val="clear"/>
        </w:rPr>
      </w:pPr>
      <w:r>
        <w:rPr>
          <w:rFonts w:cs="Californian FB" w:ascii="Californian FB" w:hAnsi="Californian FB"/>
          <w:b/>
          <w:color w:val="000000"/>
          <w:spacing w:val="2"/>
          <w:sz w:val="24"/>
          <w:szCs w:val="24"/>
          <w:shd w:fill="FFFFFF" w:val="clear"/>
        </w:rPr>
      </w:r>
    </w:p>
    <w:p>
      <w:pPr>
        <w:pStyle w:val="Normal"/>
        <w:spacing w:lineRule="auto" w:line="360" w:before="120" w:after="120"/>
        <w:ind w:firstLine="708" w:right="0"/>
        <w:jc w:val="both"/>
        <w:rPr>
          <w:rFonts w:ascii="Californian FB" w:hAnsi="Californian FB" w:cs="Californian FB"/>
          <w:b/>
          <w:color w:val="000000"/>
          <w:sz w:val="24"/>
          <w:szCs w:val="24"/>
        </w:rPr>
      </w:pPr>
      <w:r>
        <w:rPr>
          <w:rFonts w:cs="Californian FB" w:ascii="Californian FB" w:hAnsi="Californian FB"/>
          <w:b/>
          <w:color w:val="000000"/>
          <w:sz w:val="24"/>
          <w:szCs w:val="24"/>
        </w:rPr>
      </w:r>
    </w:p>
    <w:p>
      <w:pPr>
        <w:pStyle w:val="Normal"/>
        <w:spacing w:lineRule="auto" w:line="360" w:before="120" w:after="120"/>
        <w:ind w:firstLine="708" w:right="0"/>
        <w:jc w:val="both"/>
        <w:rPr>
          <w:rFonts w:ascii="Californian FB" w:hAnsi="Californian FB" w:cs="Californian FB"/>
          <w:b/>
          <w:color w:val="000000"/>
          <w:sz w:val="24"/>
          <w:szCs w:val="24"/>
        </w:rPr>
      </w:pPr>
      <w:r>
        <w:rPr>
          <w:rFonts w:cs="Californian FB" w:ascii="Californian FB" w:hAnsi="Californian FB"/>
          <w:b/>
          <w:color w:val="000000"/>
          <w:sz w:val="24"/>
          <w:szCs w:val="24"/>
        </w:rPr>
      </w:r>
    </w:p>
    <w:p>
      <w:pPr>
        <w:pStyle w:val="Normal"/>
        <w:spacing w:lineRule="auto" w:line="360" w:before="120" w:after="120"/>
        <w:ind w:firstLine="708" w:right="0"/>
        <w:jc w:val="both"/>
        <w:rPr>
          <w:rFonts w:ascii="Californian FB" w:hAnsi="Californian FB" w:cs="Californian FB"/>
          <w:b/>
          <w:color w:val="000000"/>
          <w:sz w:val="24"/>
          <w:szCs w:val="24"/>
        </w:rPr>
      </w:pPr>
      <w:r>
        <w:rPr>
          <w:rFonts w:cs="Californian FB" w:ascii="Californian FB" w:hAnsi="Californian FB"/>
          <w:b/>
          <w:color w:val="000000"/>
          <w:sz w:val="24"/>
          <w:szCs w:val="24"/>
        </w:rPr>
      </w:r>
    </w:p>
    <w:p>
      <w:pPr>
        <w:pStyle w:val="Normal"/>
        <w:spacing w:lineRule="auto" w:line="360" w:before="120" w:after="120"/>
        <w:ind w:firstLine="708" w:right="0"/>
        <w:jc w:val="both"/>
        <w:rPr>
          <w:rFonts w:ascii="Californian FB" w:hAnsi="Californian FB" w:cs="Californian FB"/>
          <w:b/>
          <w:color w:val="000000"/>
          <w:sz w:val="24"/>
          <w:szCs w:val="24"/>
        </w:rPr>
      </w:pPr>
      <w:r>
        <w:rPr>
          <w:rFonts w:cs="Californian FB" w:ascii="Californian FB" w:hAnsi="Californian FB"/>
          <w:b/>
          <w:color w:val="000000"/>
          <w:sz w:val="24"/>
          <w:szCs w:val="24"/>
        </w:rPr>
      </w:r>
    </w:p>
    <w:p>
      <w:pPr>
        <w:pStyle w:val="Normal"/>
        <w:spacing w:lineRule="auto" w:line="360" w:before="120" w:after="120"/>
        <w:ind w:firstLine="708" w:right="0"/>
        <w:jc w:val="both"/>
        <w:rPr>
          <w:rFonts w:ascii="Californian FB" w:hAnsi="Californian FB" w:cs="Californian FB"/>
          <w:b/>
          <w:color w:val="000000"/>
          <w:sz w:val="24"/>
          <w:szCs w:val="24"/>
        </w:rPr>
      </w:pPr>
      <w:r>
        <w:rPr>
          <w:rFonts w:cs="Californian FB" w:ascii="Californian FB" w:hAnsi="Californian FB"/>
          <w:b/>
          <w:color w:val="000000"/>
          <w:sz w:val="24"/>
          <w:szCs w:val="24"/>
        </w:rPr>
      </w:r>
    </w:p>
    <w:p>
      <w:pPr>
        <w:pStyle w:val="Normal"/>
        <w:spacing w:lineRule="auto" w:line="360" w:before="120" w:after="120"/>
        <w:ind w:firstLine="708" w:right="0"/>
        <w:jc w:val="both"/>
        <w:rPr>
          <w:rFonts w:ascii="Californian FB" w:hAnsi="Californian FB" w:cs="Californian FB"/>
          <w:b/>
          <w:color w:val="000000"/>
          <w:sz w:val="24"/>
          <w:szCs w:val="24"/>
        </w:rPr>
      </w:pPr>
      <w:r>
        <w:rPr>
          <w:rFonts w:cs="Californian FB" w:ascii="Californian FB" w:hAnsi="Californian FB"/>
          <w:b/>
          <w:color w:val="000000"/>
          <w:sz w:val="24"/>
          <w:szCs w:val="24"/>
        </w:rPr>
      </w:r>
    </w:p>
    <w:p>
      <w:pPr>
        <w:pStyle w:val="Normal"/>
        <w:spacing w:lineRule="auto" w:line="360" w:before="120" w:after="120"/>
        <w:ind w:firstLine="708" w:right="0"/>
        <w:jc w:val="both"/>
        <w:rPr>
          <w:rFonts w:ascii="Californian FB" w:hAnsi="Californian FB" w:cs="Californian FB"/>
          <w:b/>
          <w:color w:val="000000"/>
          <w:sz w:val="24"/>
          <w:szCs w:val="24"/>
        </w:rPr>
      </w:pPr>
      <w:r>
        <w:rPr>
          <w:rFonts w:cs="Californian FB" w:ascii="Californian FB" w:hAnsi="Californian FB"/>
          <w:b/>
          <w:color w:val="000000"/>
          <w:sz w:val="24"/>
          <w:szCs w:val="24"/>
        </w:rPr>
      </w:r>
    </w:p>
    <w:p>
      <w:pPr>
        <w:pStyle w:val="Normal"/>
        <w:spacing w:lineRule="auto" w:line="360" w:before="120" w:after="120"/>
        <w:ind w:firstLine="708" w:right="0"/>
        <w:jc w:val="both"/>
        <w:rPr>
          <w:rFonts w:ascii="Californian FB" w:hAnsi="Californian FB" w:cs="Californian FB"/>
          <w:b/>
          <w:color w:val="000000"/>
          <w:sz w:val="24"/>
          <w:szCs w:val="24"/>
        </w:rPr>
      </w:pPr>
      <w:r>
        <w:rPr>
          <w:rFonts w:cs="Californian FB" w:ascii="Californian FB" w:hAnsi="Californian FB"/>
          <w:b/>
          <w:color w:val="000000"/>
          <w:sz w:val="24"/>
          <w:szCs w:val="24"/>
        </w:rPr>
      </w:r>
    </w:p>
    <w:p>
      <w:pPr>
        <w:pStyle w:val="Normal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bCs/>
          <w:color w:val="000000"/>
          <w:sz w:val="24"/>
          <w:szCs w:val="24"/>
        </w:rPr>
      </w:pPr>
      <w:r>
        <w:rPr>
          <w:rFonts w:cs="Californian FB" w:ascii="Californian FB" w:hAnsi="Californian FB"/>
          <w:b/>
          <w:color w:val="000000"/>
          <w:sz w:val="24"/>
          <w:szCs w:val="24"/>
        </w:rPr>
        <w:t>{{NOME_AUTOR}}</w:t>
      </w:r>
      <w:r>
        <w:rPr>
          <w:rFonts w:cs="Californian FB" w:ascii="Californian FB" w:hAnsi="Californian FB"/>
          <w:color w:val="000000"/>
          <w:sz w:val="24"/>
          <w:szCs w:val="24"/>
        </w:rPr>
        <w:t xml:space="preserve">, brasileira, {{ESTADO_CIVIL}}, médica, inscrita no CPF sob o nº {{CPF}}, residente e domiciliada na {{ENDERECO_COMPLETO}} </w:t>
      </w:r>
      <w:r>
        <w:rPr>
          <w:rFonts w:cs="Californian FB" w:ascii="Californian FB" w:hAnsi="Californian FB"/>
          <w:color w:val="000000"/>
          <w:sz w:val="24"/>
          <w:szCs w:val="24"/>
          <w:highlight w:val="yellow"/>
        </w:rPr>
        <w:t>(doc. 01)</w:t>
      </w:r>
      <w:r>
        <w:rPr>
          <w:rFonts w:cs="Californian FB" w:ascii="Californian FB" w:hAnsi="Californian FB"/>
          <w:color w:val="000000"/>
          <w:sz w:val="24"/>
          <w:szCs w:val="24"/>
        </w:rPr>
        <w:t xml:space="preserve">, </w:t>
      </w:r>
      <w:r>
        <w:rPr>
          <w:rFonts w:cs="Californian FB" w:ascii="Californian FB" w:hAnsi="Californian FB"/>
          <w:bCs/>
          <w:color w:val="000000"/>
          <w:sz w:val="24"/>
          <w:szCs w:val="24"/>
        </w:rPr>
        <w:t xml:space="preserve">por seus procuradores judiciais que a presente subscrevem </w:t>
      </w:r>
      <w:r>
        <w:rPr>
          <w:rFonts w:cs="Californian FB" w:ascii="Californian FB" w:hAnsi="Californian FB"/>
          <w:bCs/>
          <w:color w:val="000000"/>
          <w:sz w:val="24"/>
          <w:szCs w:val="24"/>
          <w:highlight w:val="yellow"/>
        </w:rPr>
        <w:t>(doc. 02)</w:t>
      </w:r>
      <w:r>
        <w:rPr>
          <w:rFonts w:cs="Californian FB" w:ascii="Californian FB" w:hAnsi="Californian FB"/>
          <w:bCs/>
          <w:color w:val="000000"/>
          <w:sz w:val="24"/>
          <w:szCs w:val="24"/>
        </w:rPr>
        <w:t>, que informam possuir endereço profissional à Rua Lima, nº 106, Bairro Jardim das Américas, em Cuiabá/MT, vem, à presença de Vossa Excelência, intentar a presente.</w:t>
      </w:r>
    </w:p>
    <w:p>
      <w:pPr>
        <w:pStyle w:val="Normal"/>
        <w:spacing w:lineRule="auto" w:line="360" w:before="120" w:after="120"/>
        <w:jc w:val="center"/>
        <w:rPr>
          <w:rFonts w:ascii="Californian FB" w:hAnsi="Californian FB" w:cs="Californian FB"/>
          <w:b/>
          <w:color w:val="000000"/>
          <w:sz w:val="24"/>
          <w:szCs w:val="24"/>
        </w:rPr>
      </w:pPr>
      <w:r>
        <w:rPr>
          <w:rFonts w:cs="Californian FB" w:ascii="Californian FB" w:hAnsi="Californian FB"/>
          <w:b/>
          <w:spacing w:val="2"/>
          <w:sz w:val="24"/>
          <w:szCs w:val="24"/>
          <w:shd w:fill="FFFFFF" w:val="clear"/>
        </w:rPr>
        <w:t>AÇÃO INDENIZATÓRIA DE AUXÍLIO MORADIA DE RESIDÊNCIA MÉDICA</w:t>
      </w:r>
    </w:p>
    <w:p>
      <w:pPr>
        <w:pStyle w:val="Normal"/>
        <w:spacing w:lineRule="auto" w:line="360" w:before="120" w:after="120"/>
        <w:jc w:val="both"/>
        <w:rPr>
          <w:rFonts w:ascii="Californian FB" w:hAnsi="Californian FB" w:cs="Californian FB"/>
          <w:spacing w:val="2"/>
          <w:sz w:val="24"/>
          <w:szCs w:val="24"/>
          <w:shd w:fill="FFFFFF" w:val="clear"/>
        </w:rPr>
      </w:pPr>
      <w:r>
        <w:rPr>
          <w:rFonts w:cs="Californian FB" w:ascii="Californian FB" w:hAnsi="Californian FB"/>
          <w:bCs/>
          <w:sz w:val="24"/>
          <w:szCs w:val="24"/>
        </w:rPr>
        <w:t xml:space="preserve">Em face da </w:t>
      </w:r>
      <w:r>
        <w:rPr>
          <w:rFonts w:cs="Californian FB" w:ascii="Californian FB" w:hAnsi="Californian FB"/>
          <w:b/>
          <w:sz w:val="24"/>
          <w:szCs w:val="24"/>
        </w:rPr>
        <w:t xml:space="preserve">{{HOSPITAL_NOME_COMPLETO}}, </w:t>
      </w:r>
      <w:r>
        <w:rPr>
          <w:rFonts w:cs="Californian FB" w:ascii="Californian FB" w:hAnsi="Californian FB"/>
          <w:bCs/>
          <w:sz w:val="24"/>
          <w:szCs w:val="24"/>
        </w:rPr>
        <w:t xml:space="preserve">pessoa jurídica de direito privado, inscrita no CNPJ/MF sob nº {{CNPJ_HOSPITAL}}, com endereço à {{ENDERECO_HOSPITAL}} e </w:t>
      </w:r>
      <w:r>
        <w:rPr>
          <w:rFonts w:cs="Californian FB" w:ascii="Californian FB" w:hAnsi="Californian FB"/>
          <w:b/>
          <w:sz w:val="24"/>
          <w:szCs w:val="24"/>
        </w:rPr>
        <w:t xml:space="preserve">{{UNIVERSIDADE_NOME}}, </w:t>
      </w:r>
      <w:r>
        <w:rPr>
          <w:rFonts w:cs="Californian FB" w:ascii="Californian FB" w:hAnsi="Californian FB"/>
          <w:bCs/>
          <w:sz w:val="24"/>
          <w:szCs w:val="24"/>
        </w:rPr>
        <w:t>mantenedora do Primeiro Requerido, instituição de ensino privado, inscrita no CNPJ sob nº {{CNPJ_UNIVERSIDADE}}, com sede na {{ENDERECO_UNIVERSIDADE}}</w:t>
      </w:r>
      <w:r>
        <w:rPr>
          <w:rFonts w:cs="Arial" w:ascii="Californian FB" w:hAnsi="Californian FB"/>
          <w:color w:val="202124"/>
          <w:sz w:val="24"/>
          <w:szCs w:val="24"/>
          <w:shd w:fill="FFFFFF" w:val="clear"/>
        </w:rPr>
        <w:t xml:space="preserve">, </w:t>
      </w:r>
      <w:r>
        <w:rPr>
          <w:rFonts w:cs="Californian FB" w:ascii="Californian FB" w:hAnsi="Californian FB"/>
          <w:color w:val="000000"/>
          <w:sz w:val="24"/>
          <w:szCs w:val="24"/>
        </w:rPr>
        <w:t xml:space="preserve">pelas razões de fato e direito a seguir extenuadas: </w:t>
      </w:r>
    </w:p>
    <w:p>
      <w:pPr>
        <w:pStyle w:val="Normal"/>
        <w:spacing w:lineRule="auto" w:line="360" w:before="120" w:after="120"/>
        <w:jc w:val="both"/>
        <w:rPr/>
      </w:pPr>
      <w:r>
        <w:rPr>
          <w:rFonts w:cs="Californian FB" w:ascii="Californian FB" w:hAnsi="Californian FB"/>
          <w:b/>
          <w:spacing w:val="2"/>
          <w:sz w:val="24"/>
          <w:szCs w:val="24"/>
          <w:shd w:fill="FFFFFF" w:val="clear"/>
        </w:rPr>
        <w:t xml:space="preserve">1. DOS FATOS </w:t>
      </w:r>
    </w:p>
    <w:p>
      <w:pPr>
        <w:pStyle w:val="Normal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bCs/>
          <w:spacing w:val="2"/>
          <w:sz w:val="24"/>
          <w:szCs w:val="24"/>
          <w:shd w:fill="FFFFFF" w:val="clear"/>
        </w:rPr>
      </w:pP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>Trata-se de ação de cobrança por indenização contra a requerida, tendo em vista a ausência de auferimento do auxílio moradia durante a realização de residência médica pel{{A_O}} requerente, fornecida pela Universidade de Cuiabá.</w:t>
      </w:r>
    </w:p>
    <w:p>
      <w:pPr>
        <w:pStyle w:val="Normal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bCs/>
          <w:sz w:val="24"/>
          <w:szCs w:val="24"/>
        </w:rPr>
      </w:pP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 xml:space="preserve">A requerente foi devidamente matriculada no Programa de Residência Médica na especialidade de {{ESPECIALIDADE}} </w:t>
      </w:r>
      <w:r>
        <w:rPr>
          <w:rFonts w:cs="Californian FB" w:ascii="Californian FB" w:hAnsi="Californian FB"/>
          <w:spacing w:val="2"/>
          <w:sz w:val="24"/>
          <w:szCs w:val="24"/>
          <w:highlight w:val="yellow"/>
          <w:shd w:fill="FFFFFF" w:val="clear"/>
        </w:rPr>
        <w:t>(doc. 03)</w:t>
      </w:r>
      <w:r>
        <w:rPr>
          <w:rFonts w:cs="Californian FB" w:ascii="Californian FB" w:hAnsi="Californian FB"/>
          <w:bCs/>
          <w:sz w:val="24"/>
          <w:szCs w:val="24"/>
        </w:rPr>
        <w:t xml:space="preserve">. </w:t>
      </w:r>
    </w:p>
    <w:p>
      <w:pPr>
        <w:pStyle w:val="Normal"/>
        <w:spacing w:lineRule="auto" w:line="360" w:before="120" w:after="120"/>
        <w:ind w:firstLine="1418" w:right="0"/>
        <w:jc w:val="both"/>
        <w:rPr/>
      </w:pPr>
      <w:r>
        <mc:AlternateContent>
          <mc:Choice Requires="wps">
            <w:drawing>
              <wp:anchor behindDoc="0" distT="0" distB="0" distL="114935" distR="114935" simplePos="0" locked="0" layoutInCell="1" allowOverlap="1" relativeHeight="42">
                <wp:simplePos x="0" y="0"/>
                <wp:positionH relativeFrom="column">
                  <wp:posOffset>-2029460</wp:posOffset>
                </wp:positionH>
                <wp:positionV relativeFrom="paragraph">
                  <wp:posOffset>32385</wp:posOffset>
                </wp:positionV>
                <wp:extent cx="108585" cy="216535"/>
                <wp:effectExtent l="107950" t="108585" r="107950" b="107315"/>
                <wp:wrapNone/>
                <wp:docPr id="1" name="Tinta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720" cy="216360"/>
                        </a:xfrm>
                        <a:prstGeom prst="rect">
                          <a:avLst/>
                        </a:prstGeom>
                        <a:noFill/>
                        <a:ln cap="sq" w="216000">
                          <a:solidFill>
                            <a:srgbClr val="fffc00">
                              <a:alpha val="33000"/>
                            </a:srgbClr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Tinta 2" coordsize="1,1" path="m0,0l0,0e" stroked="t" o:allowincell="f" style="position:absolute;margin-left:-159.8pt;margin-top:2.55pt;width:8.5pt;height:17pt;mso-wrap-style:none;v-text-anchor:middle">
                <v:fill o:detectmouseclick="t" on="false"/>
                <v:stroke color="#fffc00" weight="216000" joinstyle="miter" endcap="square"/>
                <w10:wrap type="none"/>
              </v:rect>
            </w:pict>
          </mc:Fallback>
        </mc:AlternateContent>
      </w: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>Conforme extrato do Programa de residência médica, {{A_O}} autor{{A_VAZIO}} cursou residência no {{HOSPITAL_NOME}}, no período de {{DATA_INICIO_RESIDENCIA}} até {{DATA_FIM_RESIDENCIA}}, consoante cadastro no SISCNRM (Sistema da Comissão Nacional de Residência Médica).</w:t>
      </w:r>
    </w:p>
    <w:p>
      <w:pPr>
        <w:pStyle w:val="Normal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spacing w:val="2"/>
          <w:sz w:val="24"/>
          <w:szCs w:val="24"/>
          <w:shd w:fill="FFFFFF" w:val="clear"/>
        </w:rPr>
      </w:pPr>
      <w:r>
        <w:rPr>
          <w:rFonts w:cs="Californian FB" w:ascii="Californian FB" w:hAnsi="Californian FB"/>
          <w:bCs/>
          <w:sz w:val="24"/>
          <w:szCs w:val="24"/>
        </w:rPr>
        <w:t xml:space="preserve">Nesse ínterim, o residente deveria ter recebido auxílio moradia, conforme </w:t>
      </w:r>
      <w:r>
        <w:rPr>
          <w:rFonts w:cs="Arial" w:ascii="Californian FB" w:hAnsi="Californian FB"/>
          <w:sz w:val="24"/>
          <w:szCs w:val="24"/>
        </w:rPr>
        <w:t>redação prevista no art. 4º da Lei nº 6.932, de 7 de julho de 1981, dada pela Lei nº 12.514/2011.</w:t>
      </w:r>
    </w:p>
    <w:p>
      <w:pPr>
        <w:pStyle w:val="Normal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iCs/>
          <w:spacing w:val="2"/>
          <w:sz w:val="24"/>
          <w:szCs w:val="24"/>
          <w:shd w:fill="FFFFFF" w:val="clear"/>
        </w:rPr>
      </w:pP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 xml:space="preserve">Contudo, em que pese a imposição da lei nº 12.514/2011, que regulamenta os cursos de Residência Médica, e determina a concessão dos benefícios como o fornecimento de alojamento/moradia aos médicos residentes, {{A_O}} Requerente nunca recebeu qualquer auxílio nesse sentido, seja </w:t>
      </w:r>
      <w:r>
        <w:rPr>
          <w:rFonts w:cs="Californian FB" w:ascii="Californian FB" w:hAnsi="Californian FB"/>
          <w:i/>
          <w:iCs/>
          <w:spacing w:val="2"/>
          <w:sz w:val="24"/>
          <w:szCs w:val="24"/>
          <w:shd w:fill="FFFFFF" w:val="clear"/>
        </w:rPr>
        <w:t>in natura ou in pecúnia</w:t>
      </w:r>
      <w:r>
        <w:rPr>
          <w:rFonts w:cs="Californian FB" w:ascii="Californian FB" w:hAnsi="Californian FB"/>
          <w:iCs/>
          <w:spacing w:val="2"/>
          <w:sz w:val="24"/>
          <w:szCs w:val="24"/>
          <w:shd w:fill="FFFFFF" w:val="clear"/>
        </w:rPr>
        <w:t xml:space="preserve">, conforme se afere dos rendimentos pagos pelo Requerido </w:t>
      </w:r>
      <w:r>
        <w:rPr>
          <w:rFonts w:cs="Californian FB" w:ascii="Californian FB" w:hAnsi="Californian FB"/>
          <w:iCs/>
          <w:spacing w:val="2"/>
          <w:sz w:val="24"/>
          <w:szCs w:val="24"/>
          <w:highlight w:val="yellow"/>
          <w:shd w:fill="FFFFFF" w:val="clear"/>
        </w:rPr>
        <w:t>(doc. 04)</w:t>
      </w:r>
      <w:r>
        <w:rPr>
          <w:rFonts w:cs="Californian FB" w:ascii="Californian FB" w:hAnsi="Californian FB"/>
          <w:iCs/>
          <w:spacing w:val="2"/>
          <w:sz w:val="24"/>
          <w:szCs w:val="24"/>
          <w:shd w:fill="FFFFFF" w:val="clear"/>
        </w:rPr>
        <w:t>.</w:t>
      </w:r>
    </w:p>
    <w:p>
      <w:pPr>
        <w:pStyle w:val="Normal"/>
        <w:spacing w:lineRule="auto" w:line="360" w:before="120" w:after="120"/>
        <w:ind w:firstLine="1418" w:right="0"/>
        <w:jc w:val="both"/>
        <w:rPr/>
      </w:pP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>Nesse sentido, haja vista tal situação ilegal, necessária a intervenção do Poder Judiciário, para que, uma vez descumprida a obrigação discriminada, que o auxílio-moradia seja convertido em indenização com valor razoável que garanta um resultado prático equivalente.</w:t>
      </w:r>
    </w:p>
    <w:p>
      <w:pPr>
        <w:pStyle w:val="Normal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spacing w:val="2"/>
          <w:sz w:val="24"/>
          <w:szCs w:val="24"/>
          <w:shd w:fill="FFFFFF" w:val="clear"/>
        </w:rPr>
      </w:pP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>Eis a síntese.</w:t>
      </w:r>
    </w:p>
    <w:p>
      <w:pPr>
        <w:pStyle w:val="Normal"/>
        <w:spacing w:lineRule="auto" w:line="360" w:before="120" w:after="120"/>
        <w:jc w:val="both"/>
        <w:rPr>
          <w:rFonts w:ascii="Californian FB" w:hAnsi="Californian FB" w:cs="Californian FB"/>
          <w:b/>
          <w:bCs/>
          <w:spacing w:val="2"/>
          <w:sz w:val="24"/>
          <w:szCs w:val="24"/>
          <w:shd w:fill="FFFFFF" w:val="clear"/>
        </w:rPr>
      </w:pPr>
      <w:r>
        <w:rPr>
          <w:rFonts w:cs="Californian FB" w:ascii="Californian FB" w:hAnsi="Californian FB"/>
          <w:b/>
          <w:bCs/>
          <w:spacing w:val="2"/>
          <w:sz w:val="24"/>
          <w:szCs w:val="24"/>
          <w:shd w:fill="FFFFFF" w:val="clear"/>
        </w:rPr>
        <w:t xml:space="preserve">2. PRELIMINARMENTE. DA INTERRUPÇÃO DA PRESCRIÇÃO </w:t>
      </w:r>
    </w:p>
    <w:p>
      <w:pPr>
        <w:pStyle w:val="Normal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spacing w:val="2"/>
          <w:sz w:val="24"/>
          <w:szCs w:val="24"/>
          <w:shd w:fill="FFFFFF" w:val="clear"/>
        </w:rPr>
      </w:pP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 xml:space="preserve">Preliminarmente, requer-se o reconhecimento da interrupção do prazo prescricional, tendo em vista o ajuizamento de demanda anterior com mesmo pedido, objeto e causa de pedir, que foi extinta sem resolução do mérito. </w:t>
      </w:r>
    </w:p>
    <w:p>
      <w:pPr>
        <w:pStyle w:val="Normal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spacing w:val="2"/>
          <w:sz w:val="24"/>
          <w:szCs w:val="24"/>
          <w:shd w:fill="FFFFFF" w:val="clear"/>
        </w:rPr>
      </w:pP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>Com efeito, verifica-se que a ação fora distribuída no interregno entre a vigência do Código de Processo Civil de 1973 com o atual Código Processual de 2015.</w:t>
      </w:r>
    </w:p>
    <w:p>
      <w:pPr>
        <w:pStyle w:val="Normal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spacing w:val="2"/>
          <w:sz w:val="24"/>
          <w:szCs w:val="24"/>
          <w:shd w:fill="FFFFFF" w:val="clear"/>
        </w:rPr>
      </w:pP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 xml:space="preserve">Conforme previsão legal do revogado art. 219 do Código de Processo Civil de 1973: </w:t>
      </w:r>
      <w:r>
        <w:rPr>
          <w:rFonts w:cs="Californian FB" w:ascii="Californian FB" w:hAnsi="Californian FB"/>
          <w:i/>
          <w:iCs/>
          <w:spacing w:val="2"/>
          <w:sz w:val="24"/>
          <w:szCs w:val="24"/>
          <w:shd w:fill="FFFFFF" w:val="clear"/>
        </w:rPr>
        <w:t>“A citação válida torna prevento o juízo, induz litispendência e faz litigiosa a coisa; e, ainda quando ordenada por juiz incompetente, constitui em mora o devedor e interrompe a prescrição”.</w:t>
      </w: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 xml:space="preserve"> Por sua vez, o §1º do dispositivo transcrito revogado disciplinava que: </w:t>
      </w:r>
      <w:r>
        <w:rPr>
          <w:rFonts w:cs="Californian FB" w:ascii="Californian FB" w:hAnsi="Californian FB"/>
          <w:i/>
          <w:iCs/>
          <w:spacing w:val="2"/>
          <w:sz w:val="24"/>
          <w:szCs w:val="24"/>
          <w:shd w:fill="FFFFFF" w:val="clear"/>
        </w:rPr>
        <w:t>“A interrupção da prescrição retroagirá à data da propositura da ação”.</w:t>
      </w:r>
    </w:p>
    <w:p>
      <w:pPr>
        <w:pStyle w:val="Normal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spacing w:val="2"/>
          <w:sz w:val="24"/>
          <w:szCs w:val="24"/>
          <w:shd w:fill="FFFFFF" w:val="clear"/>
        </w:rPr>
      </w:pP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 xml:space="preserve">Pois bem. No atual Código, o art. 240, § 1º disciplina, </w:t>
      </w:r>
      <w:r>
        <w:rPr>
          <w:rFonts w:cs="Californian FB" w:ascii="Californian FB" w:hAnsi="Californian FB"/>
          <w:i/>
          <w:iCs/>
          <w:spacing w:val="2"/>
          <w:sz w:val="24"/>
          <w:szCs w:val="24"/>
          <w:shd w:fill="FFFFFF" w:val="clear"/>
        </w:rPr>
        <w:t>in verbis:</w:t>
      </w:r>
    </w:p>
    <w:p>
      <w:pPr>
        <w:pStyle w:val="Normal"/>
        <w:spacing w:lineRule="auto" w:line="360" w:before="120" w:after="120"/>
        <w:ind w:left="2268" w:right="0"/>
        <w:jc w:val="both"/>
        <w:rPr>
          <w:rFonts w:ascii="Californian FB" w:hAnsi="Californian FB" w:cs="Californian FB"/>
          <w:spacing w:val="2"/>
          <w:sz w:val="24"/>
          <w:szCs w:val="24"/>
          <w:shd w:fill="FFFFFF" w:val="clear"/>
        </w:rPr>
      </w:pP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>Art. 240. (...)</w:t>
      </w:r>
    </w:p>
    <w:p>
      <w:pPr>
        <w:pStyle w:val="Normal"/>
        <w:spacing w:lineRule="auto" w:line="360" w:before="120" w:after="120"/>
        <w:ind w:left="2268" w:right="0"/>
        <w:jc w:val="both"/>
        <w:rPr/>
      </w:pP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>§ 1º A interrupção da prescrição, operada pelo despacho que ordena a citação, ainda que proferido por juízo incompetente, retroagirá à data de propositura da ação.</w:t>
      </w:r>
    </w:p>
    <w:p>
      <w:pPr>
        <w:pStyle w:val="Normal"/>
        <w:spacing w:lineRule="auto" w:line="360" w:before="120" w:after="120"/>
        <w:ind w:firstLine="1418" w:right="0"/>
        <w:jc w:val="both"/>
        <w:rPr/>
      </w:pP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 xml:space="preserve">No caso concreto, foi ajuizado em nome d{{A_O}} autor{{A_VAZIO}} o processo de nº {{NUMERO_PROCESSO_ANTERIOR_1}} que tramitou inicialmente na {{VARA_ANTERIOR_1}} </w:t>
      </w:r>
      <w:r>
        <w:rPr>
          <w:rFonts w:cs="Californian FB" w:ascii="Californian FB" w:hAnsi="Californian FB"/>
          <w:spacing w:val="2"/>
          <w:sz w:val="24"/>
          <w:szCs w:val="24"/>
          <w:highlight w:val="yellow"/>
          <w:shd w:fill="FFFFFF" w:val="clear"/>
        </w:rPr>
        <w:t>(doc. 03)</w:t>
      </w: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>. Esse processo foi devidamente ajuizado em {{DATA_AJUIZAMENTO_ANTERIOR}}.</w:t>
      </w:r>
    </w:p>
    <w:p>
      <w:pPr>
        <w:pStyle w:val="Normal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spacing w:val="2"/>
          <w:sz w:val="24"/>
          <w:szCs w:val="24"/>
          <w:shd w:fill="FFFFFF" w:val="clear"/>
        </w:rPr>
      </w:pP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 xml:space="preserve">O despacho que ordenou a citação do Requerido ocorreu em {{DATA_AJUIZAMENTO_ANTERIOR}}, conforme ID 157719881 </w:t>
      </w:r>
      <w:r>
        <w:rPr>
          <w:rFonts w:cs="Californian FB" w:ascii="Californian FB" w:hAnsi="Californian FB"/>
          <w:spacing w:val="2"/>
          <w:sz w:val="24"/>
          <w:szCs w:val="24"/>
          <w:highlight w:val="yellow"/>
          <w:shd w:fill="FFFFFF" w:val="clear"/>
        </w:rPr>
        <w:t>(doc. 04)</w:t>
      </w: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>.</w:t>
      </w:r>
    </w:p>
    <w:p>
      <w:pPr>
        <w:pStyle w:val="Normal"/>
        <w:spacing w:lineRule="auto" w:line="360" w:before="120" w:after="120"/>
        <w:ind w:firstLine="1418" w:right="0"/>
        <w:jc w:val="both"/>
        <w:rPr/>
      </w:pP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>Contudo, o juízo do {{VARA_ANTERIOR_1}} entendeu que competente o Juizado Especial da Fazenda Pública para processar e julgar a matéria. Com isso, julgou extinto o feito sem resolução de mérito.</w:t>
      </w:r>
    </w:p>
    <w:p>
      <w:pPr>
        <w:pStyle w:val="Normal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spacing w:val="2"/>
          <w:sz w:val="24"/>
          <w:szCs w:val="24"/>
          <w:shd w:fill="FFFFFF" w:val="clear"/>
        </w:rPr>
      </w:pP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>Posteriormente, novo processo foi distribuído junto ao {{VARA_ANTERIOR_2}} sob o nº {{NUMERO_PROCESSO_ANTERIOR_2}}, na qual extinguiu o feito sem resolução de mérito, sob o argumento que as rés, não se enquadram no rol </w:t>
      </w:r>
      <w:r>
        <w:rPr>
          <w:rFonts w:cs="Californian FB" w:ascii="Californian FB" w:hAnsi="Californian FB"/>
          <w:b/>
          <w:bCs/>
          <w:spacing w:val="2"/>
          <w:sz w:val="24"/>
          <w:szCs w:val="24"/>
          <w:u w:val="single"/>
          <w:shd w:fill="FFFFFF" w:val="clear"/>
        </w:rPr>
        <w:t>taxativo</w:t>
      </w: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> de legitimados a que alude a Lei 12.153/09.</w:t>
      </w:r>
    </w:p>
    <w:p>
      <w:pPr>
        <w:pStyle w:val="Normal"/>
        <w:spacing w:lineRule="auto" w:line="360" w:before="120" w:after="120"/>
        <w:ind w:firstLine="1418" w:right="0"/>
        <w:jc w:val="both"/>
        <w:rPr/>
      </w:pP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>Veja que, independentemente da norma vigente, considerando que houve despacho inicial, bem como houve a citação válida no processo anteriormente extinto, o resultado, em quaisquer das normas, é o mesmo no caso concreto, qual seja: a retroatividade da interrupção da prescrição à data da distribuição da ação.</w:t>
      </w:r>
    </w:p>
    <w:p>
      <w:pPr>
        <w:pStyle w:val="Normal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spacing w:val="2"/>
          <w:sz w:val="24"/>
          <w:szCs w:val="24"/>
          <w:shd w:fill="FFFFFF" w:val="clear"/>
        </w:rPr>
      </w:pP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>Assim, consoante diploma legal, seja o despacho que ordena a citação, seja a citação válida, confere ao presente pleito eficácia retroativa à data da propositura da primeira ação. Portanto, o efeito interruptivo retroage à data do ajuizamento da ação anterior ({{DATA_AJUIZAMENTO_ANTERIOR}}).</w:t>
      </w:r>
    </w:p>
    <w:p>
      <w:pPr>
        <w:pStyle w:val="Normal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spacing w:val="2"/>
          <w:sz w:val="24"/>
          <w:szCs w:val="24"/>
          <w:shd w:fill="FFFFFF" w:val="clear"/>
        </w:rPr>
      </w:pP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>Neste sentido, o E. Tribunal de Mato Grosso já decidiu que no caso de extinção sem julgamento de mérito de ação anteriormente proposta no Juizado Especial, sobre a interrupção da prescrição, quando demanda anterior já havia sido ajuizada:</w:t>
      </w:r>
    </w:p>
    <w:p>
      <w:pPr>
        <w:pStyle w:val="Normal"/>
        <w:spacing w:lineRule="auto" w:line="240" w:before="120" w:after="120"/>
        <w:ind w:left="2268" w:right="0"/>
        <w:jc w:val="both"/>
        <w:rPr>
          <w:rFonts w:ascii="Californian FB" w:hAnsi="Californian FB" w:cs="Californian FB"/>
          <w:spacing w:val="2"/>
          <w:sz w:val="24"/>
          <w:szCs w:val="24"/>
          <w:shd w:fill="FFFFFF" w:val="clear"/>
        </w:rPr>
      </w:pPr>
      <w:r>
        <w:rPr>
          <w:rFonts w:cs="Californian FB" w:ascii="Californian FB" w:hAnsi="Californian FB"/>
          <w:spacing w:val="2"/>
          <w:shd w:fill="FFFFFF" w:val="clear"/>
        </w:rPr>
        <w:t>AGRAVO INTERNO - APELAÇÃO - AÇÃO DE COBRANÇA - DPVAT -DEMANDA PROPOSTA ANTERIORMENTE NO JUIZADO ESPECIAL – CAUSAINTERRUPTIVA DO PRAZO PRESCRICIONAL - CONSTATAÇÃO -PRESCRIÇÃO AFASTADA - ART. 240, §1º, DO CPC/2015 – SENTENÇANULA - DIREITO À INDENIZAÇÃO CONSTATADO - AUSÊNCIA DEGRADUAÇÃO DAS LESÕES DO SEGURADO - FEITO NÃO MADURO PARAJULGAMENTO - RETORNO DOS AUTOS À ORIGEM PARA A DEVIDAINSTRUÇÃO - AGRAVO INTERNO PROVIDO - APELAÇÃO PARCIALMENTE PROVIDA.</w:t>
      </w:r>
    </w:p>
    <w:p>
      <w:pPr>
        <w:pStyle w:val="Normal"/>
        <w:spacing w:lineRule="auto" w:line="240" w:before="120" w:after="120"/>
        <w:ind w:left="2268" w:right="0"/>
        <w:jc w:val="both"/>
        <w:rPr>
          <w:rFonts w:ascii="Californian FB" w:hAnsi="Californian FB" w:cs="Californian FB"/>
          <w:spacing w:val="2"/>
          <w:sz w:val="24"/>
          <w:szCs w:val="24"/>
          <w:shd w:fill="FFFFFF" w:val="clear"/>
        </w:rPr>
      </w:pP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</w:r>
    </w:p>
    <w:p>
      <w:pPr>
        <w:pStyle w:val="Normal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spacing w:val="2"/>
          <w:sz w:val="24"/>
          <w:szCs w:val="24"/>
          <w:shd w:fill="FFFFFF" w:val="clear"/>
        </w:rPr>
      </w:pP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 xml:space="preserve">No caso de extinção sem julgamento de mérito de Ação anteriormente proposta no Juizado Especial, a citação válida interrompe a prescrição, nos termos do art. 240, §1º, do CPC/15. </w:t>
      </w:r>
    </w:p>
    <w:p>
      <w:pPr>
        <w:pStyle w:val="Normal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spacing w:val="2"/>
          <w:sz w:val="24"/>
          <w:szCs w:val="24"/>
          <w:shd w:fill="FFFFFF" w:val="clear"/>
        </w:rPr>
      </w:pP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>Portanto, considerando a demanda anteriormente ajuizada e a interrupção da prescrição nos termos do art. 219, §1º do Código processual revogado c/c art. 240, §1º do Código de Processo Civil vigente, bem como do art. 206, §3º, inciso IV do Código Civil, requer-se o reconhecimento da interrupção da prescrição, retroagindo-se à data da propositura da ação anteriormente ajuizada em {{DATA_AJUIZAMENTO_ANTERIOR}}.</w:t>
      </w:r>
    </w:p>
    <w:p>
      <w:pPr>
        <w:pStyle w:val="NormalWeb"/>
        <w:shd w:fill="FFFFFF" w:val="clear"/>
        <w:spacing w:lineRule="auto" w:line="360" w:before="120" w:after="120"/>
        <w:jc w:val="both"/>
        <w:rPr>
          <w:rFonts w:ascii="Californian FB" w:hAnsi="Californian FB" w:cs="Californian FB"/>
          <w:b/>
          <w:spacing w:val="2"/>
        </w:rPr>
      </w:pPr>
      <w:r>
        <w:rPr>
          <w:rFonts w:cs="Californian FB" w:ascii="Californian FB" w:hAnsi="Californian FB"/>
          <w:b/>
          <w:spacing w:val="2"/>
        </w:rPr>
        <w:t>3. DA CONCESSÃO DO AUXÍLIO MORADIA</w:t>
      </w:r>
    </w:p>
    <w:p>
      <w:pPr>
        <w:pStyle w:val="NormalWeb"/>
        <w:shd w:fill="FFFFFF" w:val="clear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bCs/>
          <w:spacing w:val="2"/>
        </w:rPr>
      </w:pPr>
      <w:r>
        <w:rPr>
          <w:rFonts w:cs="Californian FB" w:ascii="Californian FB" w:hAnsi="Californian FB"/>
          <w:bCs/>
          <w:spacing w:val="2"/>
        </w:rPr>
        <w:t>A lei nº 6.932/1981, alterada pela Lei nº 12.514/2011, determina, em seu artigo 4°, alguns direitos dos médicos residentes, entre eles, moradia. Vejamos:</w:t>
      </w:r>
    </w:p>
    <w:p>
      <w:pPr>
        <w:pStyle w:val="Normal"/>
        <w:spacing w:lineRule="auto" w:line="240" w:before="120" w:after="120"/>
        <w:ind w:left="2268" w:right="0"/>
        <w:jc w:val="both"/>
        <w:rPr>
          <w:rFonts w:ascii="Californian FB" w:hAnsi="Californian FB" w:cs="Arial"/>
        </w:rPr>
      </w:pPr>
      <w:r>
        <w:rPr>
          <w:rFonts w:cs="Arial" w:ascii="Californian FB" w:hAnsi="Californian FB"/>
        </w:rPr>
        <w:t>Art. 4º Ao médico-residente é assegurado bolsa no valor de R$ 2.384,82 (dois mil, trezentos e oitenta e quatro reais e oitenta e dois centavos), em regime especial de treinamento em serviço de 60 (sessenta) horas semanais.</w:t>
      </w:r>
    </w:p>
    <w:p>
      <w:pPr>
        <w:pStyle w:val="Normal"/>
        <w:spacing w:lineRule="auto" w:line="240" w:before="120" w:after="120"/>
        <w:ind w:left="2268" w:right="0"/>
        <w:jc w:val="both"/>
        <w:rPr>
          <w:rFonts w:ascii="Californian FB" w:hAnsi="Californian FB" w:cs="Arial"/>
        </w:rPr>
      </w:pPr>
      <w:r>
        <w:rPr>
          <w:rFonts w:cs="Arial" w:ascii="Californian FB" w:hAnsi="Californian FB"/>
        </w:rPr>
        <w:t>(...)</w:t>
      </w:r>
    </w:p>
    <w:p>
      <w:pPr>
        <w:pStyle w:val="Normal"/>
        <w:spacing w:lineRule="auto" w:line="240" w:before="120" w:after="120"/>
        <w:ind w:left="2268" w:right="0"/>
        <w:jc w:val="both"/>
        <w:rPr/>
      </w:pPr>
      <w:r>
        <w:rPr>
          <w:rFonts w:cs="Arial" w:ascii="Californian FB" w:hAnsi="Californian FB"/>
        </w:rPr>
        <w:t xml:space="preserve">§ 5º A instituição de saúde responsável por programas de residência médica oferecerá ao médico-residente, durante todo o período de residência:        </w:t>
      </w:r>
    </w:p>
    <w:p>
      <w:pPr>
        <w:pStyle w:val="Normal"/>
        <w:spacing w:lineRule="auto" w:line="240" w:before="120" w:after="120"/>
        <w:ind w:left="2268" w:right="0"/>
        <w:jc w:val="both"/>
        <w:rPr/>
      </w:pPr>
      <w:r>
        <w:rPr>
          <w:rFonts w:cs="Arial" w:ascii="Californian FB" w:hAnsi="Californian FB"/>
        </w:rPr>
        <w:t xml:space="preserve">I - Condições adequadas para repouso e higiene pessoal durante os plantões;       </w:t>
      </w:r>
    </w:p>
    <w:p>
      <w:pPr>
        <w:pStyle w:val="Normal"/>
        <w:spacing w:lineRule="auto" w:line="240" w:before="120" w:after="120"/>
        <w:ind w:left="2268" w:right="0"/>
        <w:jc w:val="both"/>
        <w:rPr/>
      </w:pPr>
      <w:r>
        <w:rPr>
          <w:rFonts w:cs="Arial" w:ascii="Californian FB" w:hAnsi="Californian FB"/>
        </w:rPr>
        <w:t xml:space="preserve">II - Alimentação; e      </w:t>
      </w:r>
    </w:p>
    <w:p>
      <w:pPr>
        <w:pStyle w:val="Normal"/>
        <w:spacing w:lineRule="auto" w:line="240" w:before="120" w:after="120"/>
        <w:ind w:left="2268" w:right="0"/>
        <w:jc w:val="both"/>
        <w:rPr>
          <w:rFonts w:ascii="Californian FB" w:hAnsi="Californian FB" w:cs="Arial"/>
          <w:b/>
          <w:u w:val="single"/>
        </w:rPr>
      </w:pPr>
      <w:r>
        <w:rPr>
          <w:rFonts w:cs="Arial" w:ascii="Californian FB" w:hAnsi="Californian FB"/>
          <w:b/>
          <w:u w:val="single"/>
        </w:rPr>
        <w:t>III - moradia, conforme estabelecido em regulamento. (Grifou-se).</w:t>
      </w:r>
    </w:p>
    <w:p>
      <w:pPr>
        <w:pStyle w:val="Normal"/>
        <w:spacing w:lineRule="auto" w:line="360" w:before="120" w:after="120"/>
        <w:ind w:left="2268" w:right="0"/>
        <w:jc w:val="both"/>
        <w:rPr>
          <w:rFonts w:ascii="Californian FB" w:hAnsi="Californian FB" w:cs="Arial"/>
          <w:b/>
          <w:sz w:val="24"/>
          <w:szCs w:val="24"/>
          <w:u w:val="single"/>
        </w:rPr>
      </w:pPr>
      <w:r>
        <w:rPr>
          <w:rFonts w:cs="Arial" w:ascii="Californian FB" w:hAnsi="Californian FB"/>
          <w:b/>
          <w:sz w:val="24"/>
          <w:szCs w:val="24"/>
          <w:u w:val="single"/>
        </w:rPr>
      </w:r>
    </w:p>
    <w:p>
      <w:pPr>
        <w:pStyle w:val="Normal"/>
        <w:spacing w:lineRule="auto" w:line="360" w:before="120" w:after="120"/>
        <w:ind w:firstLine="1418" w:right="0"/>
        <w:jc w:val="both"/>
        <w:rPr/>
      </w:pPr>
      <w:r>
        <w:rPr>
          <w:rFonts w:cs="Arial" w:ascii="Californian FB" w:hAnsi="Californian FB"/>
          <w:sz w:val="24"/>
          <w:szCs w:val="24"/>
        </w:rPr>
        <w:t>Entretanto, muitas instituições e entes federativos responsáveis pelos programas de residências médicas pelo Brasil não têm dado alojamento, tampouco auxílio moradia aos residentes. Este, infelizmente, é o caso d{{A_O}} Requerente, conforme se comprova pelas demonstrações de rendimentos anexos, cujo recebimento demonstra tão somente o pagamento da bolsa.</w:t>
      </w:r>
    </w:p>
    <w:p>
      <w:pPr>
        <w:pStyle w:val="Normal"/>
        <w:spacing w:lineRule="auto" w:line="360" w:before="120" w:after="120"/>
        <w:ind w:firstLine="1418" w:right="0"/>
        <w:jc w:val="both"/>
        <w:rPr/>
      </w:pPr>
      <w:r>
        <w:rPr>
          <w:rFonts w:cs="Arial" w:ascii="Californian FB" w:hAnsi="Californian FB"/>
          <w:sz w:val="24"/>
          <w:szCs w:val="24"/>
        </w:rPr>
        <w:t>A Requerente foi residente do programa junto ao Hospital vinculado à requerida, num regime de carga horária semanal rigorosa, o que inviabilizava sua atuação com outras fontes de renda.</w:t>
      </w:r>
    </w:p>
    <w:p>
      <w:pPr>
        <w:pStyle w:val="Normal"/>
        <w:spacing w:lineRule="auto" w:line="360" w:before="120" w:after="120"/>
        <w:ind w:firstLine="1418" w:right="0"/>
        <w:jc w:val="both"/>
        <w:rPr>
          <w:rFonts w:ascii="Californian FB" w:hAnsi="Californian FB" w:cs="Arial"/>
          <w:sz w:val="24"/>
          <w:szCs w:val="24"/>
        </w:rPr>
      </w:pPr>
      <w:r>
        <w:rPr>
          <w:rFonts w:cs="Arial" w:ascii="Californian FB" w:hAnsi="Californian FB"/>
          <w:sz w:val="24"/>
          <w:szCs w:val="24"/>
        </w:rPr>
        <w:t xml:space="preserve">Logo, a requerida deviria ter garantido o auxílio discriminado, mas em nenhum momento houve concessão de alojamento, tampouco um auxílio-moradia, o que lhe causou prejuízos e violação ao seu direito, já que sua moradia teve de ser custeada por si, em desrespeito à imposição legal. </w:t>
      </w:r>
    </w:p>
    <w:p>
      <w:pPr>
        <w:pStyle w:val="Normal"/>
        <w:spacing w:lineRule="auto" w:line="360" w:before="120" w:after="120"/>
        <w:ind w:firstLine="1418" w:right="0"/>
        <w:jc w:val="both"/>
        <w:rPr>
          <w:rFonts w:ascii="Californian FB" w:hAnsi="Californian FB" w:cs="Arial"/>
          <w:sz w:val="24"/>
          <w:szCs w:val="24"/>
        </w:rPr>
      </w:pPr>
      <w:r>
        <w:rPr>
          <w:rFonts w:cs="Arial" w:ascii="Californian FB" w:hAnsi="Californian FB"/>
          <w:sz w:val="24"/>
          <w:szCs w:val="24"/>
        </w:rPr>
        <w:t>Nesse sentido, importante analisar que o Superior Tribunal de Justiça, corte competente para a interpretação da lei federal, já firmou o entendimento que “impõe às instituições de saúde responsáveis por programas de residência médica o dever de oferecer aos residentes alimentação e moradia no decorrer do período de residência” e ainda que “a impossibilidade da prestação da tutela específica autoriza medidas que assegurem o resultado prático equivalente ou a conversão em perdas e danos”. Vejamos:</w:t>
      </w:r>
    </w:p>
    <w:p>
      <w:pPr>
        <w:pStyle w:val="Normal"/>
        <w:spacing w:lineRule="auto" w:line="240" w:before="120" w:after="120"/>
        <w:ind w:left="2268" w:right="0"/>
        <w:jc w:val="both"/>
        <w:rPr>
          <w:rFonts w:ascii="Californian FB" w:hAnsi="Californian FB" w:cs="Arial"/>
          <w:sz w:val="24"/>
          <w:szCs w:val="24"/>
        </w:rPr>
      </w:pPr>
      <w:r>
        <w:rPr>
          <w:rFonts w:cs="Arial" w:ascii="Californian FB" w:hAnsi="Californian FB"/>
          <w:sz w:val="24"/>
          <w:szCs w:val="24"/>
        </w:rPr>
        <w:t xml:space="preserve">ADMINISTRATIVO. MÉDICO RESIDENTE. AUXÍLIO-MORADIA. LEI 6.932/1981. TUTELA ESPECÍFICA. CONVERSÃO EM PECÚNIA. ADMISSIBILIDADE. PRECEDENTE. 1. Trata-se, originariamente, de Ação Ordinária que debate a concessão de auxílio-moradia a médicos residentes. Houve denunciação da lide à União. A sentença de improcedência de ambas as pretensões foi mantida pelo Tribunal de origem. 2. </w:t>
      </w:r>
      <w:r>
        <w:rPr>
          <w:rFonts w:cs="Arial" w:ascii="Californian FB" w:hAnsi="Californian FB"/>
          <w:b/>
          <w:bCs/>
          <w:sz w:val="24"/>
          <w:szCs w:val="24"/>
          <w:u w:val="single"/>
        </w:rPr>
        <w:t>Precedente do STJ, na interpretação do art. 4º, § 4º, da Lei 6.932/1981, impõe às instituições de saúde responsáveis por programas de residência médica o dever de oferecer aos residentes alimentação e moradia no decorrer do período de residência. A impossibilidade da prestação da tutela específica autoriza medidas que assegurem o resultado prático equivalente ou a conversão em perdas e danos - CPC, art. 461 (REsp 813.408/RS, Rel. Ministro Mauro Campbell Marques, Segunda Turma, DJe 15.6.2009) .</w:t>
      </w:r>
      <w:r>
        <w:rPr>
          <w:rFonts w:cs="Arial" w:ascii="Californian FB" w:hAnsi="Californian FB"/>
          <w:sz w:val="24"/>
          <w:szCs w:val="24"/>
        </w:rPr>
        <w:t xml:space="preserve"> 3. A fixação de valores do auxílio pretendido demanda investigação de elementos fático-probatórios. 4. Recurso Especial provido, determinando o retorno dos autos à origem a fim de que estabeleça valor razoável que garanta resultado prático equivalente ao que dispõe o art. 4º, § 4º, da Lei 6.932/81. ..EMEN:(RESP 201201759997, HERMAN BENJAMIN, STJ - SEGUNDA TURMA, DJE DATA:07/03/2013 ..DTPB:.) (Grifou-se).</w:t>
      </w:r>
    </w:p>
    <w:p>
      <w:pPr>
        <w:pStyle w:val="Normal"/>
        <w:spacing w:lineRule="auto" w:line="240" w:before="120" w:after="120"/>
        <w:ind w:left="2268" w:right="0"/>
        <w:jc w:val="both"/>
        <w:rPr>
          <w:rFonts w:ascii="Californian FB" w:hAnsi="Californian FB" w:cs="Arial"/>
          <w:sz w:val="24"/>
          <w:szCs w:val="24"/>
        </w:rPr>
      </w:pPr>
      <w:r>
        <w:rPr>
          <w:rFonts w:cs="Arial" w:ascii="Californian FB" w:hAnsi="Californian FB"/>
          <w:sz w:val="24"/>
          <w:szCs w:val="24"/>
        </w:rPr>
      </w:r>
    </w:p>
    <w:p>
      <w:pPr>
        <w:pStyle w:val="Normal"/>
        <w:spacing w:lineRule="auto" w:line="360" w:before="120" w:after="120"/>
        <w:ind w:firstLine="1418" w:right="0"/>
        <w:jc w:val="both"/>
        <w:rPr>
          <w:rFonts w:ascii="Californian FB" w:hAnsi="Californian FB" w:cs="Arial"/>
          <w:sz w:val="24"/>
          <w:szCs w:val="24"/>
        </w:rPr>
      </w:pPr>
      <w:r>
        <w:rPr>
          <w:rFonts w:cs="Arial" w:ascii="Californian FB" w:hAnsi="Californian FB"/>
          <w:sz w:val="24"/>
          <w:szCs w:val="24"/>
        </w:rPr>
        <w:t>Por sua vez, a Turma Nacional de Uniformização, a seu turno, passou a seguir o entendimento firmado no âmbito do Superior Tribunal de Justiça, pelo que são devidos aos médicos residentes alojamento e alimentação pelo Poder Público durante todo o período de residência, e ainda que, uma vez descumprida tal obrigação, esses benefícios devem ser convertidos em pecúnia, em valor equivalente.</w:t>
      </w:r>
    </w:p>
    <w:p>
      <w:pPr>
        <w:pStyle w:val="Normal"/>
        <w:spacing w:lineRule="auto" w:line="360" w:before="120" w:after="120"/>
        <w:ind w:firstLine="1418" w:right="0"/>
        <w:jc w:val="both"/>
        <w:rPr>
          <w:rFonts w:ascii="Californian FB" w:hAnsi="Californian FB" w:cs="Arial"/>
          <w:sz w:val="24"/>
          <w:szCs w:val="24"/>
        </w:rPr>
      </w:pPr>
      <w:r>
        <w:rPr>
          <w:rFonts w:cs="Arial" w:ascii="Californian FB" w:hAnsi="Californian FB"/>
          <w:sz w:val="24"/>
          <w:szCs w:val="24"/>
        </w:rPr>
        <w:t>Eis a ementa do julgado:</w:t>
      </w:r>
    </w:p>
    <w:p>
      <w:pPr>
        <w:pStyle w:val="NormalWeb"/>
        <w:shd w:fill="FFFFFF" w:val="clear"/>
        <w:spacing w:before="120" w:after="120"/>
        <w:ind w:left="2268" w:right="0"/>
        <w:jc w:val="both"/>
        <w:rPr/>
      </w:pPr>
      <w:r>
        <w:rPr>
          <w:rFonts w:cs="Californian FB" w:ascii="Californian FB" w:hAnsi="Californian FB"/>
          <w:spacing w:val="2"/>
        </w:rPr>
        <w:t xml:space="preserve">ADMINISTRATIVO E PROCESSUAL CIVIL. PEDIDO DE UNIFORMIZAÇÃO. PROGRAMADE RESIDÊNCIA MÉDICA. AUXÍLIO-MORADIA E ALIMENTAÇÃO. SENTENÇADE IMPROCEDÊNCIA MANTIDA PELA 3.ª TURMA RECURSAL DO RIO GRANDE DOSUL. ALEGAÇÃO DE AFRONTA À JURISPRUDÊNCIA DOMINANTE DO SUPERIOR TRIBUNALDE JUSTIÇA. LEI N.º 6.932/81. VIGÊNCIA DOS §§ DO ART. 4.º DA LEI N.º 6.932/81 APESAR DO ADVENTO DA LEI N.º 10.405/02. SIMILITUDE FÁTICO-JURÍDICAENTRE AS DECISÕES CONFRONTADAS. DIVERGÊNCIA COMPROVADA. NECESSIDADE DEEXAME DE PROVAS SOBRE MATÉRIA DE FATO, PARA FIXAR O VALOR RAZOÁVEL DOAUXÍLIO-MORADIA E ALIMENTAÇÃO. NULIDADE DO ACÓRDÃO. REMESSA DOS AUTOS AOJUÍZO A QUO PARA ADEQUAÇÃO DO JULGADO. CONHECIMENTO E PARCIAL PROVIMENTODO INCIDENTE. </w:t>
      </w:r>
    </w:p>
    <w:p>
      <w:pPr>
        <w:pStyle w:val="NormalWeb"/>
        <w:shd w:fill="FFFFFF" w:val="clear"/>
        <w:spacing w:before="120" w:after="120"/>
        <w:ind w:left="2268" w:right="0"/>
        <w:jc w:val="both"/>
        <w:rPr/>
      </w:pPr>
      <w:r>
        <w:rPr>
          <w:rFonts w:cs="Californian FB" w:ascii="Californian FB" w:hAnsi="Californian FB"/>
          <w:spacing w:val="2"/>
        </w:rPr>
        <w:t xml:space="preserve">1.Comprovada a similitude e a divergência entre o acórdão recorrido e os paradigmas do Superior Tribunal de Justiça (AgRg no REsp n.º 842685 RS, Rel. Min. Mauro Campbel Marques, DJE 26 jun. 2009; REsp n.º 813408 RS,Rel. Min. Mauro Campbell Marques, DJE 15 jun. 2009; REsp n.º 793013 RS,Rel. Min. Francisco Falcão, DJU 6 mar. 2006), tem cabimento o incidente de uniformização. </w:t>
      </w:r>
    </w:p>
    <w:p>
      <w:pPr>
        <w:pStyle w:val="NormalWeb"/>
        <w:shd w:fill="FFFFFF" w:val="clear"/>
        <w:spacing w:before="120" w:after="120"/>
        <w:ind w:left="2268" w:right="0"/>
        <w:jc w:val="both"/>
        <w:rPr/>
      </w:pPr>
      <w:r>
        <w:rPr>
          <w:rFonts w:cs="Californian FB" w:ascii="Californian FB" w:hAnsi="Californian FB"/>
          <w:b/>
          <w:spacing w:val="2"/>
          <w:highlight w:val="yellow"/>
          <w:u w:val="single"/>
        </w:rPr>
        <w:t>2.Ao médico-residente é assegurado bolsa em regime especial de treinamento em serviço de 60 (sessenta) horas semanais, ficando a instituição de saúde responsável, durante todo o período de treinamento, condições adequadas para repouso e higiene pessoal durante os plantões, alimentação e moradia. Conquanto não tenha a Lei n.º 10.405/02 previsto expressamente os benefícios de alimentação e moradia para os residentes, não os revogou de forma expressa, sendo ínsito à forma de treinamento o fornecimento dos referidos benefícios.</w:t>
      </w:r>
      <w:r>
        <w:rPr>
          <w:rFonts w:cs="Californian FB" w:ascii="Californian FB" w:hAnsi="Californian FB"/>
          <w:b/>
          <w:spacing w:val="2"/>
          <w:u w:val="single"/>
        </w:rPr>
        <w:t xml:space="preserve"> </w:t>
      </w:r>
    </w:p>
    <w:p>
      <w:pPr>
        <w:pStyle w:val="NormalWeb"/>
        <w:shd w:fill="FFFFFF" w:val="clear"/>
        <w:spacing w:before="120" w:after="120"/>
        <w:ind w:left="2268" w:right="0"/>
        <w:jc w:val="both"/>
        <w:rPr/>
      </w:pPr>
      <w:r>
        <w:rPr>
          <w:rFonts w:cs="Californian FB" w:ascii="Californian FB" w:hAnsi="Californian FB"/>
          <w:spacing w:val="2"/>
        </w:rPr>
        <w:t xml:space="preserve">3.Hipótese na qual o recorrente alega que o acórdão da Turma Recursal de origem, mantendo sentença de improcedência, divergiu da jurisprudência dominante do STJ, no sentido de que mesmo após a edição da Lei n.º 10.405/02, os §§ que compõem o art. 4.º da Lei n.º 6.932/81 permanecem em vigor. </w:t>
      </w:r>
    </w:p>
    <w:p>
      <w:pPr>
        <w:pStyle w:val="NormalWeb"/>
        <w:shd w:fill="FFFFFF" w:val="clear"/>
        <w:spacing w:before="120" w:after="120"/>
        <w:ind w:left="2268" w:right="0"/>
        <w:jc w:val="both"/>
        <w:rPr/>
      </w:pPr>
      <w:r>
        <w:rPr>
          <w:rFonts w:cs="Californian FB" w:ascii="Californian FB" w:hAnsi="Californian FB"/>
          <w:spacing w:val="2"/>
        </w:rPr>
        <w:t>4.A sentença e o acórdão que a manteve, ao indeferirem o pleito autoral, pautaram-se no entendimento de que, deixando a Lei n.º 8.138/90 de vigorar, o §§ do art. 4.º da Lei n.º 6.932/81 também teriam perdido vigência, de forma que não haveria mais direito ao auxílio-moradia e alimentação aos médicos residentes. O STJ, porém, consolidou o entendimento de que os §§ do art. 4.º da Lei n.º 6.932/81 não foram revogados pelas leis que lhe seguiram, sendo ainda devido aos residentes alojamento e alimentação pelo Poder Público durante todo o período de residência, configurando violação a direito a omissão ou recusa da instituição demandada. 5.Todavia, o residente deve receber apenas moradia e alimentação, não sendo cabível o adicional de 10% (dez por cento), já que nos precedentes do STJ juntados não há menção de obrigatoriedade ao adicional e reembolso de parcela dos gastos do residente, mas apenas de existência de obrigação de fazer, qual seja, o fornecimento de alimentação e alojamento, apesar do advento da Lei n.º 10.405/02. Da mesma forma, a TNU firmou que “a Lei n.</w:t>
      </w:r>
      <w:r>
        <w:rPr>
          <w:rFonts w:cs="Georgia" w:ascii="Californian FB" w:hAnsi="Californian FB"/>
          <w:spacing w:val="2"/>
        </w:rPr>
        <w:t>º</w:t>
      </w:r>
      <w:r>
        <w:rPr>
          <w:rFonts w:cs="Californian FB" w:ascii="Californian FB" w:hAnsi="Californian FB"/>
          <w:spacing w:val="2"/>
        </w:rPr>
        <w:t xml:space="preserve"> 10.405/02 n</w:t>
      </w:r>
      <w:r>
        <w:rPr>
          <w:rFonts w:cs="Georgia" w:ascii="Californian FB" w:hAnsi="Californian FB"/>
          <w:spacing w:val="2"/>
        </w:rPr>
        <w:t>ã</w:t>
      </w:r>
      <w:r>
        <w:rPr>
          <w:rFonts w:cs="Californian FB" w:ascii="Californian FB" w:hAnsi="Californian FB"/>
          <w:spacing w:val="2"/>
        </w:rPr>
        <w:t>o revogou os benef</w:t>
      </w:r>
      <w:r>
        <w:rPr>
          <w:rFonts w:cs="Georgia" w:ascii="Californian FB" w:hAnsi="Californian FB"/>
          <w:spacing w:val="2"/>
        </w:rPr>
        <w:t>í</w:t>
      </w:r>
      <w:r>
        <w:rPr>
          <w:rFonts w:cs="Californian FB" w:ascii="Californian FB" w:hAnsi="Californian FB"/>
          <w:spacing w:val="2"/>
        </w:rPr>
        <w:t>cios de fornecimento de alimentação e alojamento/moradia aos médicos-residentes, e que, uma vez descumprida tal obrigação de fazer, deverá a mesma ser convertida em pecúnia em valor razoável que garanta um resultado prático equivalente” (PEDILEFn.</w:t>
      </w:r>
      <w:r>
        <w:rPr>
          <w:rFonts w:cs="Georgia" w:ascii="Californian FB" w:hAnsi="Californian FB"/>
          <w:spacing w:val="2"/>
        </w:rPr>
        <w:t>º</w:t>
      </w:r>
      <w:r>
        <w:rPr>
          <w:rFonts w:cs="Californian FB" w:ascii="Californian FB" w:hAnsi="Californian FB"/>
          <w:spacing w:val="2"/>
        </w:rPr>
        <w:t xml:space="preserve"> 201071500274342, Rel. Juiz Federal Vladimir Vitovsky, j. 11 set. 2012). 6.Incidente de Uniformização conhecido e parcialmente provido para, uniformizando a interpretação de que “a Lei n.</w:t>
      </w:r>
      <w:r>
        <w:rPr>
          <w:rFonts w:cs="Georgia" w:ascii="Californian FB" w:hAnsi="Californian FB"/>
          <w:spacing w:val="2"/>
        </w:rPr>
        <w:t>º</w:t>
      </w:r>
      <w:r>
        <w:rPr>
          <w:rFonts w:cs="Californian FB" w:ascii="Californian FB" w:hAnsi="Californian FB"/>
          <w:spacing w:val="2"/>
        </w:rPr>
        <w:t xml:space="preserve"> 10.405/02 n</w:t>
      </w:r>
      <w:r>
        <w:rPr>
          <w:rFonts w:cs="Georgia" w:ascii="Californian FB" w:hAnsi="Californian FB"/>
          <w:spacing w:val="2"/>
        </w:rPr>
        <w:t>ã</w:t>
      </w:r>
      <w:r>
        <w:rPr>
          <w:rFonts w:cs="Californian FB" w:ascii="Californian FB" w:hAnsi="Californian FB"/>
          <w:spacing w:val="2"/>
        </w:rPr>
        <w:t>o revogou os benef</w:t>
      </w:r>
      <w:r>
        <w:rPr>
          <w:rFonts w:cs="Georgia" w:ascii="Californian FB" w:hAnsi="Californian FB"/>
          <w:spacing w:val="2"/>
        </w:rPr>
        <w:t>í</w:t>
      </w:r>
      <w:r>
        <w:rPr>
          <w:rFonts w:cs="Californian FB" w:ascii="Californian FB" w:hAnsi="Californian FB"/>
          <w:spacing w:val="2"/>
        </w:rPr>
        <w:t>cios de fornecimento de alimenta</w:t>
      </w:r>
      <w:r>
        <w:rPr>
          <w:rFonts w:cs="Georgia" w:ascii="Californian FB" w:hAnsi="Californian FB"/>
          <w:spacing w:val="2"/>
        </w:rPr>
        <w:t>çã</w:t>
      </w:r>
      <w:r>
        <w:rPr>
          <w:rFonts w:cs="Californian FB" w:ascii="Californian FB" w:hAnsi="Californian FB"/>
          <w:spacing w:val="2"/>
        </w:rPr>
        <w:t>o e alojamento/moradia aos m</w:t>
      </w:r>
      <w:r>
        <w:rPr>
          <w:rFonts w:cs="Georgia" w:ascii="Californian FB" w:hAnsi="Californian FB"/>
          <w:spacing w:val="2"/>
        </w:rPr>
        <w:t>é</w:t>
      </w:r>
      <w:r>
        <w:rPr>
          <w:rFonts w:cs="Californian FB" w:ascii="Californian FB" w:hAnsi="Californian FB"/>
          <w:spacing w:val="2"/>
        </w:rPr>
        <w:t>dicos-residentes, e que, uma vez descumprida tal obrigação de fazer, deverá a mesma ser convertida em pecúnia em valor razoável que garanta um resultado prático equivalente”, anular o ac</w:t>
      </w:r>
      <w:r>
        <w:rPr>
          <w:rFonts w:cs="Georgia" w:ascii="Californian FB" w:hAnsi="Californian FB"/>
          <w:spacing w:val="2"/>
        </w:rPr>
        <w:t>ó</w:t>
      </w:r>
      <w:r>
        <w:rPr>
          <w:rFonts w:cs="Californian FB" w:ascii="Californian FB" w:hAnsi="Californian FB"/>
          <w:spacing w:val="2"/>
        </w:rPr>
        <w:t>rd</w:t>
      </w:r>
      <w:r>
        <w:rPr>
          <w:rFonts w:cs="Georgia" w:ascii="Californian FB" w:hAnsi="Californian FB"/>
          <w:spacing w:val="2"/>
        </w:rPr>
        <w:t>ã</w:t>
      </w:r>
      <w:r>
        <w:rPr>
          <w:rFonts w:cs="Californian FB" w:ascii="Californian FB" w:hAnsi="Californian FB"/>
          <w:spacing w:val="2"/>
        </w:rPr>
        <w:t>o recorrido e determinara apura</w:t>
      </w:r>
      <w:r>
        <w:rPr>
          <w:rFonts w:cs="Georgia" w:ascii="Californian FB" w:hAnsi="Californian FB"/>
          <w:spacing w:val="2"/>
        </w:rPr>
        <w:t>çã</w:t>
      </w:r>
      <w:r>
        <w:rPr>
          <w:rFonts w:cs="Californian FB" w:ascii="Californian FB" w:hAnsi="Californian FB"/>
          <w:spacing w:val="2"/>
        </w:rPr>
        <w:t>o da convers</w:t>
      </w:r>
      <w:r>
        <w:rPr>
          <w:rFonts w:cs="Georgia" w:ascii="Californian FB" w:hAnsi="Californian FB"/>
          <w:spacing w:val="2"/>
        </w:rPr>
        <w:t>ã</w:t>
      </w:r>
      <w:r>
        <w:rPr>
          <w:rFonts w:cs="Californian FB" w:ascii="Californian FB" w:hAnsi="Californian FB"/>
          <w:spacing w:val="2"/>
        </w:rPr>
        <w:t>o da obriga</w:t>
      </w:r>
      <w:r>
        <w:rPr>
          <w:rFonts w:cs="Georgia" w:ascii="Californian FB" w:hAnsi="Californian FB"/>
          <w:spacing w:val="2"/>
        </w:rPr>
        <w:t>çã</w:t>
      </w:r>
      <w:r>
        <w:rPr>
          <w:rFonts w:cs="Californian FB" w:ascii="Californian FB" w:hAnsi="Californian FB"/>
          <w:spacing w:val="2"/>
        </w:rPr>
        <w:t>o de fazer em pec</w:t>
      </w:r>
      <w:r>
        <w:rPr>
          <w:rFonts w:cs="Georgia" w:ascii="Californian FB" w:hAnsi="Californian FB"/>
          <w:spacing w:val="2"/>
        </w:rPr>
        <w:t>ú</w:t>
      </w:r>
      <w:r>
        <w:rPr>
          <w:rFonts w:cs="Californian FB" w:ascii="Californian FB" w:hAnsi="Californian FB"/>
          <w:spacing w:val="2"/>
        </w:rPr>
        <w:t>nia, garantindo aos beneficiários resultado prático equivalente. (TNU - PEDILEF: 201071500280550 RS, Relator: JUIZ FEDERAL ANDRÉ CARVALHO MONTEIRO, Data de Julgamento: 20/02/2013, Data de Publicação: DOU 08/03/2013) (Grifou-se)</w:t>
      </w:r>
    </w:p>
    <w:p>
      <w:pPr>
        <w:pStyle w:val="Normal"/>
        <w:spacing w:lineRule="auto" w:line="360" w:before="120" w:after="120"/>
        <w:ind w:left="2268" w:right="0"/>
        <w:jc w:val="both"/>
        <w:rPr>
          <w:rFonts w:ascii="Californian FB" w:hAnsi="Californian FB" w:cs="Arial"/>
          <w:spacing w:val="2"/>
          <w:sz w:val="24"/>
          <w:szCs w:val="24"/>
        </w:rPr>
      </w:pPr>
      <w:r>
        <w:rPr>
          <w:rFonts w:cs="Arial" w:ascii="Californian FB" w:hAnsi="Californian FB"/>
          <w:spacing w:val="2"/>
          <w:sz w:val="24"/>
          <w:szCs w:val="24"/>
        </w:rPr>
      </w:r>
    </w:p>
    <w:p>
      <w:pPr>
        <w:pStyle w:val="Normal"/>
        <w:spacing w:lineRule="auto" w:line="360" w:before="120" w:after="120"/>
        <w:ind w:firstLine="1418" w:right="0"/>
        <w:jc w:val="both"/>
        <w:rPr/>
      </w:pPr>
      <w:r>
        <w:rPr>
          <w:rFonts w:cs="Arial" w:ascii="Californian FB" w:hAnsi="Californian FB"/>
          <w:sz w:val="24"/>
          <w:szCs w:val="24"/>
        </w:rPr>
        <w:t xml:space="preserve">Vale salientar que com a vigência da lei nº 12.514/2011, que alterou o §5° do art. 4° da lei nº 6.932/1981, encerrou com o objeto da discussão se a lei nº 10.405/2002 haveria ou não cessado o direito do médico residente no auxílio moradia e alimentação, </w:t>
      </w:r>
      <w:r>
        <w:rPr>
          <w:rFonts w:cs="Arial" w:ascii="Californian FB" w:hAnsi="Californian FB"/>
          <w:b/>
          <w:sz w:val="24"/>
          <w:szCs w:val="24"/>
          <w:u w:val="single"/>
        </w:rPr>
        <w:t>vez que, após 2011, o §5° é expresso no sentido do dever de moradia, permanecendo o entendimento do STJ e do TNU de que a ausência de alojamento gera o dever de pagamento em pecúnia em auxílio moradia.</w:t>
      </w:r>
    </w:p>
    <w:p>
      <w:pPr>
        <w:pStyle w:val="Normal"/>
        <w:spacing w:lineRule="auto" w:line="360" w:before="120" w:after="120"/>
        <w:ind w:firstLine="1418" w:right="0"/>
        <w:jc w:val="both"/>
        <w:rPr>
          <w:rFonts w:ascii="Californian FB" w:hAnsi="Californian FB" w:cs="Arial"/>
          <w:sz w:val="24"/>
          <w:szCs w:val="24"/>
        </w:rPr>
      </w:pPr>
      <w:r>
        <w:rPr>
          <w:rFonts w:cs="Arial" w:ascii="Californian FB" w:hAnsi="Californian FB"/>
          <w:sz w:val="24"/>
          <w:szCs w:val="24"/>
        </w:rPr>
        <w:t>Nesse sentido, vejamos o que diz o STJ:</w:t>
      </w:r>
    </w:p>
    <w:p>
      <w:pPr>
        <w:pStyle w:val="Normal"/>
        <w:spacing w:lineRule="auto" w:line="240" w:before="120" w:after="120"/>
        <w:ind w:left="2268" w:right="0"/>
        <w:jc w:val="both"/>
        <w:rPr>
          <w:rFonts w:ascii="Californian FB" w:hAnsi="Californian FB" w:cs="Arial"/>
          <w:sz w:val="24"/>
          <w:szCs w:val="24"/>
        </w:rPr>
      </w:pPr>
      <w:r>
        <w:rPr>
          <w:rFonts w:cs="Arial" w:ascii="Californian FB" w:hAnsi="Californian FB"/>
          <w:sz w:val="24"/>
          <w:szCs w:val="24"/>
        </w:rPr>
        <w:t>ADMINISTRATIVO. VANTAGENS, MÉDICO RESIDENTE. REEMBOLSO PREVIDENCIÁRIO. AUSÊNCIA DE PREVISÃO LEGAL. PAGAMENTO DE AUXÍLIO-MORADIA. CONVERSÃO EM PECÚNIA. IMPOSSIBILIDADE.</w:t>
      </w:r>
    </w:p>
    <w:p>
      <w:pPr>
        <w:pStyle w:val="Normal"/>
        <w:spacing w:lineRule="auto" w:line="240" w:before="120" w:after="120"/>
        <w:ind w:left="2268" w:right="0"/>
        <w:jc w:val="both"/>
        <w:rPr/>
      </w:pPr>
      <w:r>
        <w:rPr>
          <w:rFonts w:cs="Arial" w:ascii="Californian FB" w:hAnsi="Californian FB"/>
          <w:sz w:val="24"/>
          <w:szCs w:val="24"/>
        </w:rPr>
        <w:t>I - A Lei n. 10.405/2002 revogou os dispositivos da Lei n. 8.138/1990 em sua integralidade. Os parágrafos do art. 4º da Lei n. 6.932/1981, com a redação dada pela Lei 8.138/1990, asseguravam o direito dos médicos residentes ao reembolso parcial da contribuição previdenciária e à disponibilização de alimentação e moradia, contudo, os preceitos foram revogados pelo art. 10 da Lei n. 10.405/2002. II - Tais benefícios somente foram restabelecidos posteriormente com a Medida Provisória n. 536/2011, convertida na Lei n. 12.514/2011.</w:t>
      </w:r>
    </w:p>
    <w:p>
      <w:pPr>
        <w:pStyle w:val="Normal"/>
        <w:spacing w:lineRule="auto" w:line="240" w:before="120" w:after="120"/>
        <w:ind w:left="2268" w:right="0"/>
        <w:jc w:val="both"/>
        <w:rPr/>
      </w:pPr>
      <w:r>
        <w:rPr>
          <w:rFonts w:cs="Arial" w:ascii="Californian FB" w:hAnsi="Californian FB"/>
          <w:sz w:val="24"/>
          <w:szCs w:val="24"/>
        </w:rPr>
        <w:t>III - No período de 10/1/2002 a 31/10/2011 (período abrangido pelas residências médicas da parte recorrente) não há que se falar em direito dos médicos residentes às referidas vantagens, já que o art. 4º, § 2º, da Lei n. 6.932/1981 com a redação dada pela Lei n. 8.138/1990, juntamente com todos os demais artigos, foi revogado pela Lei n. 10.405/2002, não se limitando os efeitos da referida revogação ao caput referido dispositivo. Nesse sentido: AgInt no AgRg nos EDcl no AgRg no REsp 1389990/RS, Rel. Ministro HERMAN BENJAMIN, SEGUNDA TURMA, julgado em 13/12/2016, DJe 19/12/2016; REsp 1318276/RS, Rel. Ministro MAURO CAMPBELL MARQUES, SEGUNDA TURMA, julgado em 15/09/2015, DJe 25/09/2015;REsp 1.415.616/RS, Rel. Ministro HERMAN BENJAMIN, SEGUNDA TURMA, DJe 18/06/2014; REsp 1.457.081/RS, Rel. Ministro HERMAN BENJAMIN, SEGUNDA TURMA, DJe 18/08/2014). IV - Agravo interno improvido.</w:t>
      </w:r>
    </w:p>
    <w:p>
      <w:pPr>
        <w:pStyle w:val="Normal"/>
        <w:spacing w:lineRule="auto" w:line="240" w:before="120" w:after="120"/>
        <w:ind w:left="2268" w:right="0"/>
        <w:jc w:val="both"/>
        <w:rPr>
          <w:rFonts w:ascii="Californian FB" w:hAnsi="Californian FB" w:cs="Arial"/>
          <w:sz w:val="24"/>
          <w:szCs w:val="24"/>
        </w:rPr>
      </w:pPr>
      <w:r>
        <w:rPr>
          <w:rFonts w:cs="Arial" w:ascii="Californian FB" w:hAnsi="Californian FB"/>
          <w:sz w:val="24"/>
          <w:szCs w:val="24"/>
        </w:rPr>
        <w:t>(STJ - AgInt no REsp: 1486652 RS 2014/0259151-2, Relator: Ministro FRANCISCO FALCÃO, Data de Julgamento: 07/11/2017, T2 - SEGUNDA TURMA, Data de Publicação: DJe 10/11/2017)</w:t>
      </w:r>
    </w:p>
    <w:p>
      <w:pPr>
        <w:pStyle w:val="NormalWeb"/>
        <w:shd w:fill="FFFFFF" w:val="clear"/>
        <w:spacing w:lineRule="auto" w:line="360" w:before="120" w:after="120"/>
        <w:ind w:firstLine="1418" w:right="0"/>
        <w:jc w:val="both"/>
        <w:rPr/>
      </w:pPr>
      <w:r>
        <w:rPr>
          <w:rFonts w:cs="Californian FB" w:ascii="Californian FB" w:hAnsi="Californian FB"/>
          <w:bCs/>
          <w:spacing w:val="2"/>
        </w:rPr>
        <w:t>O caso ora em análise é posterior a 2011, sendo que a residência d{{A_O}} Requerente ocorreu entre os anos de 2018 a 2021.</w:t>
      </w:r>
    </w:p>
    <w:p>
      <w:pPr>
        <w:pStyle w:val="NormalWeb"/>
        <w:shd w:fill="FFFFFF" w:val="clear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b/>
          <w:bCs/>
          <w:spacing w:val="2"/>
          <w:u w:val="single"/>
        </w:rPr>
      </w:pPr>
      <w:r>
        <w:rPr>
          <w:rFonts w:cs="Californian FB" w:ascii="Californian FB" w:hAnsi="Californian FB"/>
          <w:bCs/>
          <w:spacing w:val="2"/>
        </w:rPr>
        <w:t xml:space="preserve">Por fim, salienta-se que o TNU, em incidente de Uniformização de Jurisprudência, no ano de 2016, analisando um caso semelhante ao presente, entendeu que </w:t>
      </w:r>
      <w:r>
        <w:rPr>
          <w:rFonts w:cs="Californian FB" w:ascii="Californian FB" w:hAnsi="Californian FB"/>
          <w:b/>
          <w:bCs/>
          <w:spacing w:val="2"/>
          <w:u w:val="single"/>
        </w:rPr>
        <w:t xml:space="preserve">a obrigação </w:t>
      </w:r>
      <w:r>
        <w:rPr>
          <w:rFonts w:cs="Californian FB" w:ascii="Californian FB" w:hAnsi="Californian FB"/>
          <w:b/>
          <w:bCs/>
          <w:i/>
          <w:spacing w:val="2"/>
          <w:u w:val="single"/>
        </w:rPr>
        <w:t>in natura</w:t>
      </w:r>
      <w:r>
        <w:rPr>
          <w:rFonts w:cs="Californian FB" w:ascii="Californian FB" w:hAnsi="Californian FB"/>
          <w:b/>
          <w:bCs/>
          <w:spacing w:val="2"/>
          <w:u w:val="single"/>
        </w:rPr>
        <w:t xml:space="preserve"> descumprida deverá ser "convertida em pecúnia mediante fixação de indenização, por arbitramento”, ou seja, independe de o residente comprovar os gastos com a moradia e, também, o valor a ser indenizado independe do quantum foi gasto com moradia.</w:t>
      </w:r>
    </w:p>
    <w:p>
      <w:pPr>
        <w:pStyle w:val="NormalWeb"/>
        <w:shd w:fill="FFFFFF" w:val="clear"/>
        <w:spacing w:before="120" w:after="120"/>
        <w:ind w:left="2268" w:right="0"/>
        <w:jc w:val="both"/>
        <w:rPr/>
      </w:pPr>
      <w:r>
        <w:rPr>
          <w:rFonts w:cs="Californian FB" w:ascii="Californian FB" w:hAnsi="Californian FB"/>
          <w:bCs/>
          <w:spacing w:val="2"/>
        </w:rPr>
        <w:t>INCIDENTE DE UNIFORMIZAÇÃO DE JURISPRUDÊNCIA. ADMINISTRATIVO. PROGRAMA DE RESIDÊNCIA MÉDICA. AUXÍLIO-MORADIA E ALIMENTAÇÃO. INADIMPLEMENTO DA OBRIGAÇÃO DE FAZER. INDENIZAÇÃO. JUÍZO DE ADEQUAÇÃO. COMPROVAÇÃO DE DESPESAS. DESNECESSIDADE. (...) 4. Recurso Especial provido, determinando o retorno dos autos à origem a fim de que estabeleça valor razoável que garanta resultado prático equivalente ao que dispõe o art. 4º, § 4º, da Lei 6.932/81. (REsp 1339798/RS, Rel. Ministro HERMAN BENJAMIN, SEGUNDA TURMA, julgado em 21/02/2013, DJe 07/03/2013) Assim, examinando as provas dos autos, verifico que a parte autora não trouxe aos autos quaisquer provas que permitam aferir os valores eventualmente tenham sido despendidas a título de moradia e alimentação no período em que cursou a residência médica ou outros elementos que levem a esta conclusão, de modo que não se desincumbiu do ônus de comprovar o fato constitutivo do seu direito. Na mesma linha, o seguinte precedente: ADMINISTRATIVO. RESIDÊNCIA MÉDICA. AUXÍLIO-MORADIA. AUXÍLIO-ALIMENTAÇÃO. Não comprovada a realização de despesas com moradia durante o período em que participou do programa de residência, o autor não tem direito ao ressarcimento postulado. (TRF4, AC 0008313-60.2008.404.7100, Quarta Turma, Relatora Marga Inge Barth Tessler, D.E. 25/02/2011) Como se vê, a decisão da Turma Recursal de origem, ao exigir a comprovação de despesas, está evidentemente contrariando o que restou assentado por esta Turma Nacional cujo julgamento é claro ao determinar que a obrigação in natura descumprida deverá ser "convertida em pecúnia mediante fixação de indenização, por arbitramento." (grifei) Por conseguinte, deverá a Turma Recursal de origem arbitrar o valor da indenização, utilizando-se para isso dos elementos que dispuser e entender mais adequados a esse fim, todavia, não poderá deixar de fazê-lo somente porque não foram apresentados documentos comprobatórios das despesas correspondentes à moradia e alimentação, até porque, se apresentados os documentos seria desnecessário o arbitramento, bastando fixar o valor da indenização no montante exato das despesas comprovadas. Logo, é justamente na falta desses elementos concretos que surge a oportunidade do arbitramento estabelecido na decisão uniformizadora. Ante o exposto, voto por DAR PROVIMENTO ao incidente de uniformização, determinado o retorno dos autos à origem, a fim de que fixe a indenização em valor razoável, por arbitramento". (TNU, 50014681420144047100, JUIZ FEDERAL GERSON LUIZ ROCHA, DOU 04/10/2016.). Grifou-se.</w:t>
      </w:r>
    </w:p>
    <w:p>
      <w:pPr>
        <w:pStyle w:val="NormalWeb"/>
        <w:shd w:fill="FFFFFF" w:val="clear"/>
        <w:spacing w:lineRule="auto" w:line="360" w:before="120" w:after="120"/>
        <w:ind w:firstLine="1418" w:right="0"/>
        <w:jc w:val="both"/>
        <w:rPr/>
      </w:pPr>
      <w:r>
        <w:rPr>
          <w:rFonts w:cs="Californian FB" w:ascii="Californian FB" w:hAnsi="Californian FB"/>
          <w:spacing w:val="2"/>
        </w:rPr>
        <w:t xml:space="preserve">Assim, haja vista que o STJ diz que no período de 10/01/2002 a 31/10/2011 não há direito ao auxílio moradia, </w:t>
      </w:r>
      <w:r>
        <w:rPr>
          <w:rFonts w:cs="Californian FB" w:ascii="Californian FB" w:hAnsi="Californian FB"/>
          <w:i/>
          <w:spacing w:val="2"/>
        </w:rPr>
        <w:t>a contrario sensu</w:t>
      </w:r>
      <w:r>
        <w:rPr>
          <w:rFonts w:cs="Californian FB" w:ascii="Californian FB" w:hAnsi="Californian FB"/>
          <w:spacing w:val="2"/>
        </w:rPr>
        <w:t xml:space="preserve">, </w:t>
      </w:r>
      <w:r>
        <w:rPr>
          <w:rFonts w:cs="Californian FB" w:ascii="Californian FB" w:hAnsi="Californian FB"/>
          <w:b/>
          <w:spacing w:val="2"/>
          <w:u w:val="single"/>
        </w:rPr>
        <w:t>fica claro que após 31/10/2011, ou seja, data da vigência da Medida Provisória n. 536/2011, convertida na Lei n. 12.514/2011, todos os médicos residentes ingressos a partir da data 31/10/2011, têm direito à vantagem de auxílio moradia, convertendo em perdas e danos caso não haja o oferecimento do serviço de habitação.</w:t>
      </w:r>
    </w:p>
    <w:p>
      <w:pPr>
        <w:pStyle w:val="NormalWeb"/>
        <w:shd w:fill="FFFFFF" w:val="clear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spacing w:val="2"/>
        </w:rPr>
      </w:pPr>
      <w:r>
        <w:rPr>
          <w:rFonts w:cs="Californian FB" w:ascii="Californian FB" w:hAnsi="Californian FB"/>
          <w:spacing w:val="2"/>
        </w:rPr>
        <w:t>Nesse sentido, os Tribunais têm decidido, em respeito à segurança jurídica, isonomia e vinculação dos precedentes, o entendimento do STJ e do TNU.</w:t>
      </w:r>
    </w:p>
    <w:p>
      <w:pPr>
        <w:pStyle w:val="NormalWeb"/>
        <w:shd w:fill="FFFFFF" w:val="clear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spacing w:val="2"/>
        </w:rPr>
      </w:pPr>
      <w:r>
        <w:rPr>
          <w:rFonts w:cs="Californian FB" w:ascii="Californian FB" w:hAnsi="Californian FB"/>
          <w:spacing w:val="2"/>
        </w:rPr>
        <w:t>Por fim, salienta-se que, conforme entende o STJ, não há qualquer impedimento de pagar o auxílio-moradia mesmo que não haja regulamentação pelo ente federativo da lei federal nº 12.514/2011, haja vista que é a própria omissão legislativa do Estado que gera o dever da conversão em pecúnia dos valores pelos Poder Judiciário. Portanto, não cabe qualquer argumento que a lei federal nº 12.514/2011 seria uma norma de eficácia contida, o que impediria o pagamento do auxílio. Vejamos:</w:t>
      </w:r>
    </w:p>
    <w:p>
      <w:pPr>
        <w:pStyle w:val="NormalWeb"/>
        <w:shd w:fill="FFFFFF" w:val="clear"/>
        <w:spacing w:before="120" w:after="120"/>
        <w:ind w:left="2268" w:right="0"/>
        <w:jc w:val="both"/>
        <w:rPr>
          <w:rFonts w:ascii="Californian FB" w:hAnsi="Californian FB" w:cs="Californian FB"/>
          <w:spacing w:val="2"/>
        </w:rPr>
      </w:pPr>
      <w:r>
        <w:rPr>
          <w:rFonts w:cs="Californian FB" w:ascii="Californian FB" w:hAnsi="Californian FB"/>
          <w:spacing w:val="2"/>
        </w:rPr>
        <w:t xml:space="preserve">ADMINISTRATIVO. AGRAVO REGIMENTAL NOS EMBARGOS DE DECLARAÇÃO NOS EMBARGOS DE DIVERGÊNCIA EM RECURSO ESPECIAL. MÉDICOS-RESIDENTES. DIREITO A ALIMENTAÇÃO E ALOJAMENTO/MORADIA. INÉRCIA ADMINISTRATIVA. POSSIBILIDADE DE CONVERSÃO EM PECÚNIA. DIVERGÊNCIA QUE NÃO SUBSISTE. AUSÊNCIA DE CABIMENTO DOS EMBARGOS DE DIVERGÊNCIA. SÚMULA 168 DO STJ. AGRAVO REGIMENTAL DESPROVIDO. </w:t>
      </w:r>
    </w:p>
    <w:p>
      <w:pPr>
        <w:pStyle w:val="NormalWeb"/>
        <w:shd w:fill="FFFFFF" w:val="clear"/>
        <w:spacing w:before="120" w:after="120"/>
        <w:ind w:left="2268" w:right="0"/>
        <w:jc w:val="both"/>
        <w:rPr>
          <w:rFonts w:ascii="Californian FB" w:hAnsi="Californian FB" w:cs="Californian FB"/>
          <w:spacing w:val="2"/>
        </w:rPr>
      </w:pPr>
      <w:r>
        <w:rPr>
          <w:rFonts w:cs="Californian FB" w:ascii="Californian FB" w:hAnsi="Californian FB"/>
          <w:spacing w:val="2"/>
        </w:rPr>
        <w:t xml:space="preserve">1. O art. 4o. da Lei 6.932/81 assegura que as instituição de saúde responsáveis por programas de residência médica tem o dever legal de oferecer aos residentes alimentação e moradia no decorrer do período de residência. Assim existindo dispositivo legal peremptório acerca da obrigatoriedade no fornecimento de alojamento e alimentação, não pode tal vantagem submeter-se exclusivamente à discricionariedade administrativa, permitindo a intervenção do Poder Judiciário a partir do momento em que a Administração opta pela inércia não autorizada legalmente. </w:t>
      </w:r>
    </w:p>
    <w:p>
      <w:pPr>
        <w:pStyle w:val="NormalWeb"/>
        <w:shd w:fill="FFFFFF" w:val="clear"/>
        <w:spacing w:before="120" w:after="120"/>
        <w:ind w:left="2268" w:right="0"/>
        <w:jc w:val="both"/>
        <w:rPr/>
      </w:pPr>
      <w:r>
        <w:rPr>
          <w:rFonts w:cs="Californian FB" w:ascii="Californian FB" w:hAnsi="Californian FB"/>
          <w:spacing w:val="2"/>
        </w:rPr>
        <w:t xml:space="preserve">2. Ancorada nesses princípios, esta Corte reformou sua orientação jurisprudencial consolidando a orientação de que a simples inexistência de previsão legal para conversão de auxílios, que deveriam ser fornecidos in natura, em pecúnia não é suficiente para obstaculizar o pleito recursal. Precedente: REsp. 1339798/RS, Rel. Min. HERMAN BENJAMIN, 2T, DJe 07.03.2013. </w:t>
      </w:r>
    </w:p>
    <w:p>
      <w:pPr>
        <w:pStyle w:val="NormalWeb"/>
        <w:shd w:fill="FFFFFF" w:val="clear"/>
        <w:spacing w:lineRule="auto" w:line="360" w:before="120" w:after="120"/>
        <w:ind w:firstLine="1418" w:right="0"/>
        <w:jc w:val="both"/>
        <w:rPr/>
      </w:pPr>
      <w:r>
        <w:rPr>
          <w:rFonts w:cs="Californian FB" w:ascii="Californian FB" w:hAnsi="Californian FB"/>
          <w:spacing w:val="2"/>
        </w:rPr>
        <w:t>Destarte, conforme visto pelos precedentes, não há mais qualquer discussão nos Tribunais se os residentes ingressos posteriormente à vigência da lei (12.10.2011), como no caso do Requerente que ingressou em 2018, têm ou não direito ao auxílio, pois têm por expressa previsão legal.</w:t>
      </w:r>
    </w:p>
    <w:p>
      <w:pPr>
        <w:pStyle w:val="NormalWeb"/>
        <w:shd w:fill="FFFFFF" w:val="clear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spacing w:val="2"/>
        </w:rPr>
      </w:pPr>
      <w:r>
        <w:rPr>
          <w:rFonts w:cs="Californian FB" w:ascii="Californian FB" w:hAnsi="Californian FB"/>
          <w:spacing w:val="2"/>
        </w:rPr>
        <w:t xml:space="preserve">Quanto ao valor, </w:t>
      </w:r>
      <w:r>
        <w:rPr>
          <w:rFonts w:cs="Californian FB" w:ascii="Californian FB" w:hAnsi="Californian FB"/>
          <w:b/>
          <w:spacing w:val="2"/>
          <w:u w:val="single"/>
        </w:rPr>
        <w:t>a jurisprudência tem entendido a aplicação de 30% do valor da bolsa como sendo razoável a assegurar o resultado prático equivalente ao auxílio-moradia</w:t>
      </w:r>
      <w:r>
        <w:rPr>
          <w:rFonts w:cs="Californian FB" w:ascii="Californian FB" w:hAnsi="Californian FB"/>
          <w:spacing w:val="2"/>
        </w:rPr>
        <w:t xml:space="preserve"> em questão, vejamos:</w:t>
      </w:r>
    </w:p>
    <w:p>
      <w:pPr>
        <w:pStyle w:val="NormalWeb"/>
        <w:shd w:fill="FFFFFF" w:val="clear"/>
        <w:spacing w:before="120" w:after="120"/>
        <w:ind w:left="2268" w:right="0"/>
        <w:jc w:val="both"/>
        <w:rPr/>
      </w:pPr>
      <w:r>
        <w:rPr>
          <w:rFonts w:cs="Californian FB" w:ascii="Californian FB" w:hAnsi="Californian FB"/>
          <w:spacing w:val="2"/>
        </w:rPr>
        <w:t xml:space="preserve">EMENTA ADMINISTRATIVO. AUXÍLIO-MORADIA PARA MÉDICO RESIDENTE. POSSIBILIDADE. ARBITRAMENTO DE VALOR MENSAL. 1. Esta Turma já teve oportunidade de apreciar a matéria no julgamento do RECURSO CÍVEL Nº 5051077-63.2014.4.04.7100/RS, no qual, em juízo de retratação, proveu-se o recurso da parte autora, para arbitrar o valor mensal de 30% sobre o valor da bolsa-auxílio paga ao então médico-residente, devido em todos os meses de duração do programa, ainda que sem comprovação nos autos dos valores eventualmente despendidos a título de moradia e alimentação. 2. A controvérsia foi pacificada pela TNU no julgamento do PEDILEF 2010.71.50.027434-2, DJ 28/09/2012. 3. A jurisprudência do STJ, seguida por este Colegiado, é no sentido de que a fixação do valor da indenização em casos como este demanda a análise de elementos fático-probatórios a fim de garantir 'resultado prático equivalente' ao auxílio devido ((REsp 1339798/RS, Rel. Ministro HERMAN BENJAMIN, SEGUNDA TURMA, julgado em 21/02/2013, DJe 07/03/2013) 4. Embora a parte autora não tenha apresentado nos autos quaisquer provas que permitam aferir os valores que eventualmente tenham sido despendidos a título de moradia e alimentação no período em que cursou a residência médica ou outros elementos que levem a esta conclusão, a TNU determinou que houvesse o arbitramento de tais valores. 5. </w:t>
      </w:r>
      <w:r>
        <w:rPr>
          <w:rFonts w:cs="Californian FB" w:ascii="Californian FB" w:hAnsi="Californian FB"/>
          <w:b/>
          <w:bCs/>
          <w:spacing w:val="2"/>
          <w:u w:val="single"/>
        </w:rPr>
        <w:t>Considerando a dificuldade de se encontrar um parâmetro factível para ser utilizado, fixa-se o valor mensal no percentual de 30% sobre o valor da bolsa-auxílio paga ao então médico-residente, devido em todos os meses de duração do programa. Este percentual é o que esta Turma Recursal considerou razoável a assegurar o resultado prático equivalente ao auxílio-alimentação e moradia em questão</w:t>
      </w:r>
      <w:r>
        <w:rPr>
          <w:rFonts w:cs="Californian FB" w:ascii="Californian FB" w:hAnsi="Californian FB"/>
          <w:spacing w:val="2"/>
        </w:rPr>
        <w:t>, quando do julgamento dos Recursos Cíveis nº 50510759320144047100 de Relatoria do Juiz Federal Giovani Bigolin e 50041991220164047100, de Relatoria do Juiz Federal Oscar Valente Cardoso (em juízo de retratação), na sessão de 31/08/2017. 6. Destarte, a sentença merece reforma, para se julgar procedente o pedido de pagamento de auxílio-moradia no período em que participou do programa de residência médica, fixando-se o valor mensal no percentual de 30% sobre o valor da bolsa-auxílio paga ao então médico-residente.</w:t>
      </w:r>
    </w:p>
    <w:p>
      <w:pPr>
        <w:pStyle w:val="NormalWeb"/>
        <w:shd w:fill="FFFFFF" w:val="clear"/>
        <w:spacing w:before="120" w:after="120"/>
        <w:ind w:left="2268" w:right="0"/>
        <w:jc w:val="both"/>
        <w:rPr>
          <w:rFonts w:ascii="Californian FB" w:hAnsi="Californian FB" w:cs="Californian FB"/>
          <w:spacing w:val="2"/>
        </w:rPr>
      </w:pPr>
      <w:r>
        <w:rPr>
          <w:rFonts w:cs="Californian FB" w:ascii="Californian FB" w:hAnsi="Californian FB"/>
          <w:spacing w:val="2"/>
        </w:rPr>
        <w:t>(TRF-4 - RECURSO CÍVEL: 50361891620194047100 RS 5036189-16.2019.4.04.7100, Relator: ANDREI PITTEN VELLOSO, Data de Julgamento: 06/05/2020, QUINTA TURMA RECURSAL DO RS) (Grifou-se)</w:t>
      </w:r>
    </w:p>
    <w:p>
      <w:pPr>
        <w:pStyle w:val="NormalWeb"/>
        <w:shd w:fill="FFFFFF" w:val="clear"/>
        <w:spacing w:before="120" w:after="120"/>
        <w:ind w:left="2268" w:right="0"/>
        <w:jc w:val="both"/>
        <w:rPr>
          <w:rFonts w:ascii="Californian FB" w:hAnsi="Californian FB" w:cs="Californian FB"/>
          <w:spacing w:val="2"/>
        </w:rPr>
      </w:pPr>
      <w:r>
        <w:rPr>
          <w:rFonts w:cs="Californian FB" w:ascii="Californian FB" w:hAnsi="Californian FB"/>
          <w:spacing w:val="2"/>
        </w:rPr>
      </w:r>
    </w:p>
    <w:p>
      <w:pPr>
        <w:pStyle w:val="Normal"/>
        <w:spacing w:lineRule="auto" w:line="360" w:before="120" w:after="120"/>
        <w:ind w:firstLine="1418" w:right="0"/>
        <w:jc w:val="both"/>
        <w:rPr/>
      </w:pPr>
      <w:r>
        <w:rPr>
          <w:rFonts w:cs="Californian FB" w:ascii="Californian FB" w:hAnsi="Californian FB"/>
          <w:spacing w:val="2"/>
          <w:sz w:val="24"/>
          <w:szCs w:val="24"/>
        </w:rPr>
        <w:t>Considerando que durante o período de residência, {{A_O}} Requerente auferiu a bolsa no valor mensal de {{VALOR_BOLSA_MENSAL}}, entre junho/2019</w:t>
      </w: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 xml:space="preserve"> a fevereiro/2021, o valor total recebido foi no montante de {{VALOR_TOTAL_BOLSAS}}. </w:t>
      </w:r>
    </w:p>
    <w:p>
      <w:pPr>
        <w:pStyle w:val="Normal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spacing w:val="2"/>
          <w:sz w:val="24"/>
          <w:szCs w:val="24"/>
          <w:shd w:fill="FFFFFF" w:val="clear"/>
        </w:rPr>
      </w:pP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 xml:space="preserve">Assim, considerando o valor de 30% do auxílio moradia, o valor que o requerente deveria ter recebido é de </w:t>
      </w:r>
      <w:bookmarkStart w:id="0" w:name="_Hlk163842951"/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>{{VALOR_AUXILIO_MORADIA}} ({{VALOR_AUXILIO_MORADIA_EXTENSO}}).</w:t>
      </w:r>
    </w:p>
    <w:p>
      <w:pPr>
        <w:pStyle w:val="NormalWeb"/>
        <w:shd w:fill="FFFFFF" w:val="clear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b/>
          <w:bCs/>
          <w:spacing w:val="2"/>
          <w:u w:val="single"/>
        </w:rPr>
      </w:pPr>
      <w:bookmarkEnd w:id="0"/>
      <w:r>
        <w:rPr>
          <w:rFonts w:cs="Californian FB" w:ascii="Californian FB" w:hAnsi="Californian FB"/>
          <w:spacing w:val="2"/>
        </w:rPr>
        <w:t xml:space="preserve">Frente ao exposto, deve ser deferida a indenização do auxílio moradia a{{A_O}} Requerente, desde o início de sua transferência até o término de sua residência, qual seja, 30% (trinta por cento) sobre o valor bruto da bolsa estudantil, </w:t>
      </w:r>
      <w:r>
        <w:rPr>
          <w:rFonts w:cs="Californian FB" w:ascii="Californian FB" w:hAnsi="Californian FB"/>
          <w:b/>
          <w:spacing w:val="2"/>
          <w:u w:val="single"/>
        </w:rPr>
        <w:t xml:space="preserve">que compreende </w:t>
      </w:r>
      <w:r>
        <w:rPr>
          <w:rFonts w:cs="Californian FB" w:ascii="Californian FB" w:hAnsi="Californian FB"/>
          <w:b/>
          <w:bCs/>
          <w:spacing w:val="2"/>
          <w:u w:val="single"/>
        </w:rPr>
        <w:t>{{VALOR_AUXILIO_MORADIA}} ({{VALOR_AUXILIO_MORADIA_EXTENSO}}).</w:t>
      </w:r>
    </w:p>
    <w:p>
      <w:pPr>
        <w:pStyle w:val="NormalWeb"/>
        <w:shd w:fill="FFFFFF" w:val="clear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b/>
          <w:bCs/>
          <w:spacing w:val="2"/>
          <w:u w:val="single"/>
        </w:rPr>
      </w:pPr>
      <w:r>
        <w:rPr>
          <w:rFonts w:cs="Californian FB" w:ascii="Californian FB" w:hAnsi="Californian FB"/>
          <w:b/>
          <w:bCs/>
          <w:spacing w:val="2"/>
          <w:u w:val="single"/>
        </w:rPr>
      </w:r>
    </w:p>
    <w:p>
      <w:pPr>
        <w:pStyle w:val="NormalWeb"/>
        <w:shd w:fill="FFFFFF" w:val="clear"/>
        <w:spacing w:lineRule="auto" w:line="360" w:before="120" w:after="120"/>
        <w:jc w:val="both"/>
        <w:rPr>
          <w:rFonts w:ascii="Californian FB" w:hAnsi="Californian FB" w:cs="Californian FB"/>
          <w:b/>
          <w:bCs/>
          <w:spacing w:val="2"/>
        </w:rPr>
      </w:pPr>
      <w:r>
        <w:rPr>
          <w:rFonts w:cs="Californian FB" w:ascii="Californian FB" w:hAnsi="Californian FB"/>
          <w:b/>
          <w:bCs/>
          <w:spacing w:val="2"/>
        </w:rPr>
        <w:t>3 – DA VEDAÇÃO DO ENRIQUECIMENTO SEM CAUSA DA REQUERIDA</w:t>
      </w:r>
    </w:p>
    <w:p>
      <w:pPr>
        <w:pStyle w:val="NormalWeb"/>
        <w:shd w:fill="FFFFFF" w:val="clear"/>
        <w:spacing w:lineRule="auto" w:line="360" w:before="120" w:after="120"/>
        <w:ind w:firstLine="1418" w:right="0"/>
        <w:jc w:val="both"/>
        <w:rPr/>
      </w:pPr>
      <w:r>
        <w:rPr>
          <w:rFonts w:cs="Californian FB" w:ascii="Californian FB" w:hAnsi="Californian FB"/>
          <w:spacing w:val="2"/>
        </w:rPr>
        <w:t>A vedação do enriquecimento sem causa da Requerida deve ser observada, sendo que esta emana do Princípio que vem desde os tempos do direito romano “</w:t>
      </w:r>
      <w:r>
        <w:rPr>
          <w:rFonts w:cs="Californian FB" w:ascii="Californian FB" w:hAnsi="Californian FB"/>
          <w:i/>
          <w:iCs/>
          <w:spacing w:val="2"/>
        </w:rPr>
        <w:t>nemo locupletari postest cum aliena jactura”,</w:t>
      </w:r>
      <w:r>
        <w:rPr>
          <w:rFonts w:cs="Californian FB" w:ascii="Californian FB" w:hAnsi="Californian FB"/>
          <w:spacing w:val="2"/>
        </w:rPr>
        <w:t xml:space="preserve"> ou seja, numa tradução livre, “ninguém pode ficar rico à custa dos outros”.</w:t>
      </w:r>
    </w:p>
    <w:p>
      <w:pPr>
        <w:pStyle w:val="NormalWeb"/>
        <w:shd w:fill="FFFFFF" w:val="clear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i/>
          <w:i/>
          <w:iCs/>
          <w:spacing w:val="2"/>
        </w:rPr>
      </w:pPr>
      <w:r>
        <w:rPr>
          <w:rFonts w:cs="Californian FB" w:ascii="Californian FB" w:hAnsi="Californian FB"/>
          <w:spacing w:val="2"/>
        </w:rPr>
        <w:t xml:space="preserve">O enriquecimento sem causa também é vedado pelo Código Civil (Lei 10.406/2002) no seu art. 884: </w:t>
      </w:r>
      <w:r>
        <w:rPr>
          <w:rFonts w:cs="Californian FB" w:ascii="Californian FB" w:hAnsi="Californian FB"/>
          <w:i/>
          <w:iCs/>
          <w:spacing w:val="2"/>
        </w:rPr>
        <w:t>“Aquele que, sem justa causa, se enriquecer à custa de outrem, será obrigado a restituir o indevidamente auferido, feita a atualização dos valores monetários”.</w:t>
      </w:r>
    </w:p>
    <w:p>
      <w:pPr>
        <w:pStyle w:val="NormalWeb"/>
        <w:shd w:fill="FFFFFF" w:val="clear"/>
        <w:spacing w:lineRule="auto" w:line="360" w:before="120" w:after="120"/>
        <w:ind w:firstLine="1418" w:right="0"/>
        <w:jc w:val="both"/>
        <w:rPr/>
      </w:pPr>
      <w:r>
        <w:rPr>
          <w:rFonts w:cs="Californian FB" w:ascii="Californian FB" w:hAnsi="Californian FB"/>
          <w:spacing w:val="2"/>
        </w:rPr>
        <w:t>Orlando Gomes, leciona com clareza sobre o tema, vejamos:</w:t>
      </w:r>
    </w:p>
    <w:p>
      <w:pPr>
        <w:pStyle w:val="NormalWeb"/>
        <w:shd w:fill="FFFFFF" w:val="clear"/>
        <w:spacing w:before="120" w:after="120"/>
        <w:ind w:left="2268" w:right="0"/>
        <w:jc w:val="both"/>
        <w:rPr/>
      </w:pPr>
      <w:r>
        <w:rPr>
          <w:rFonts w:cs="Californian FB" w:ascii="Californian FB" w:hAnsi="Californian FB"/>
          <w:spacing w:val="2"/>
        </w:rPr>
        <w:t xml:space="preserve">Há enriquecimento ilícito quando alguém, a expensas de outrem, obtém vantagem patrimonial sem causa, isto é, sem que tal vantagem se funde em dispositivo de lei ou em negócio jurídico anterior. São necessários os seguintes elementos: a) enriquecimento de alguém; b) empobrecimento de outro; c) nexo de causalidade entre o enriquecimento e o empobrecimento; d) a falta de causa ou causa injusta. </w:t>
      </w:r>
    </w:p>
    <w:p>
      <w:pPr>
        <w:pStyle w:val="NormalWeb"/>
        <w:shd w:fill="FFFFFF" w:val="clear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spacing w:val="2"/>
        </w:rPr>
      </w:pPr>
      <w:r>
        <w:rPr>
          <w:rFonts w:cs="Californian FB" w:ascii="Californian FB" w:hAnsi="Californian FB"/>
          <w:spacing w:val="2"/>
        </w:rPr>
        <w:t>Pelos requisitos apresentados pelo célebre jurista, podemos afirmar que, no caso em tela, fica caracterizado o enriquecimento ilícito da Requerida, vez que a demanda enriquece ilicitamente no momento em que tem seus gastos diminuídos com a não concessão ou pagamento em pecúnia, das despesas, com moradia d{{A_O}} autor{{A_VAZIO}}.</w:t>
      </w:r>
    </w:p>
    <w:p>
      <w:pPr>
        <w:pStyle w:val="NormalWeb"/>
        <w:shd w:fill="FFFFFF" w:val="clear"/>
        <w:spacing w:lineRule="auto" w:line="360" w:before="120" w:after="120"/>
        <w:ind w:firstLine="1418" w:right="0"/>
        <w:jc w:val="both"/>
        <w:rPr/>
      </w:pPr>
      <w:r>
        <w:rPr>
          <w:rFonts w:cs="Californian FB" w:ascii="Californian FB" w:hAnsi="Californian FB"/>
          <w:spacing w:val="2"/>
        </w:rPr>
        <w:t>O nexo causal é estabelecido por ser a causa do empobrecimento d{{A_O}} Requerente o não pagamento das despesas com moradia, que é dever legalmente cabido à ré. O prejuízo, registra-se, não possui causa que o justifique, vez que a vantagem aspirada possui embasamento legal.</w:t>
      </w:r>
    </w:p>
    <w:p>
      <w:pPr>
        <w:pStyle w:val="NormalWeb"/>
        <w:shd w:fill="FFFFFF" w:val="clear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spacing w:val="2"/>
        </w:rPr>
      </w:pPr>
      <w:r>
        <w:rPr>
          <w:rFonts w:cs="Californian FB" w:ascii="Californian FB" w:hAnsi="Californian FB"/>
          <w:spacing w:val="2"/>
        </w:rPr>
        <w:t>Portanto, fica claro que {{A_O}} Requerente tem o direito de auxílio-moradia, sob pena de enriquecimento sem causa da Requerida, uma vez que recebem orçamento para pagar o auxílio-moradia, mas não estão repassando para {{A_O}} Requerente, o que configura, flagrantemente, o enriquecimento ilícito aqui narrado.</w:t>
      </w:r>
    </w:p>
    <w:p>
      <w:pPr>
        <w:pStyle w:val="NormalWeb"/>
        <w:shd w:fill="FFFFFF" w:val="clear"/>
        <w:spacing w:lineRule="auto" w:line="360" w:before="120" w:after="120"/>
        <w:jc w:val="both"/>
        <w:rPr>
          <w:rFonts w:ascii="Californian FB" w:hAnsi="Californian FB" w:cs="Californian FB"/>
          <w:b/>
          <w:spacing w:val="2"/>
        </w:rPr>
      </w:pPr>
      <w:r>
        <w:rPr>
          <w:rFonts w:cs="Californian FB" w:ascii="Californian FB" w:hAnsi="Californian FB"/>
          <w:b/>
          <w:spacing w:val="2"/>
        </w:rPr>
        <w:t>4 – DA EXIBIÇÃO DE DOCUMENTO</w:t>
      </w:r>
    </w:p>
    <w:p>
      <w:pPr>
        <w:pStyle w:val="NormalWeb"/>
        <w:shd w:fill="FFFFFF" w:val="clear"/>
        <w:spacing w:lineRule="auto" w:line="360" w:before="120" w:after="120"/>
        <w:ind w:firstLine="1418" w:right="0"/>
        <w:jc w:val="both"/>
        <w:rPr/>
      </w:pPr>
      <w:r>
        <w:rPr>
          <w:rFonts w:cs="Californian FB" w:ascii="Californian FB" w:hAnsi="Californian FB"/>
          <w:spacing w:val="2"/>
        </w:rPr>
        <w:t>Embora esteja insofismavelmente demonstrado o direito d{{A_O}} Requerente, certamente que o juízo pode entender necessário que haja mais elementos de prova para formar sua convicção.</w:t>
      </w:r>
    </w:p>
    <w:p>
      <w:pPr>
        <w:pStyle w:val="NormalWeb"/>
        <w:shd w:fill="FFFFFF" w:val="clear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spacing w:val="2"/>
        </w:rPr>
      </w:pPr>
      <w:r>
        <w:rPr>
          <w:rFonts w:cs="Californian FB" w:ascii="Californian FB" w:hAnsi="Californian FB"/>
          <w:spacing w:val="2"/>
        </w:rPr>
        <w:t>No caso, foram apresentados os comprovantes de rendimentos que comprovam que o valor recebido pelo Requerente diz respeito tão somente à bolsa residência, sem o acréscimo do auxílio-moradia.</w:t>
      </w:r>
    </w:p>
    <w:p>
      <w:pPr>
        <w:pStyle w:val="NormalWeb"/>
        <w:shd w:fill="FFFFFF" w:val="clear"/>
        <w:spacing w:lineRule="auto" w:line="360" w:before="120" w:after="120"/>
        <w:ind w:firstLine="1418" w:right="0"/>
        <w:jc w:val="both"/>
        <w:rPr/>
      </w:pPr>
      <w:r>
        <w:rPr>
          <w:rFonts w:cs="Californian FB" w:ascii="Californian FB" w:hAnsi="Californian FB"/>
          <w:spacing w:val="2"/>
        </w:rPr>
        <w:t>Entretanto, as fichas financeiras d{{A_O}} Requerente estão em poder da Requerida, de modo que se requer que seja determinada a sua exibição nos termos do art. 398 do Código de Processo Civil.</w:t>
      </w:r>
    </w:p>
    <w:p>
      <w:pPr>
        <w:pStyle w:val="NormalWeb"/>
        <w:shd w:fill="FFFFFF" w:val="clear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spacing w:val="2"/>
        </w:rPr>
      </w:pPr>
      <w:r>
        <w:rPr>
          <w:rFonts w:cs="Californian FB" w:ascii="Californian FB" w:hAnsi="Californian FB"/>
          <w:spacing w:val="2"/>
        </w:rPr>
        <w:t>Apenas a título de argumentação, a Requerida não pode se recusar a fornecer o referido documento, tendo em vista que estão em seu poder, e ainda que alegue ser comum às partes, a recusa não pode ser admitida por força do art. 399, inciso III do mesmo diploma processual.</w:t>
      </w:r>
    </w:p>
    <w:p>
      <w:pPr>
        <w:pStyle w:val="NormalWeb"/>
        <w:shd w:fill="FFFFFF" w:val="clear"/>
        <w:spacing w:lineRule="auto" w:line="360" w:before="120" w:after="120"/>
        <w:ind w:firstLine="1418" w:right="0"/>
        <w:jc w:val="both"/>
        <w:rPr/>
      </w:pPr>
      <w:r>
        <w:rPr>
          <w:rFonts w:cs="Californian FB" w:ascii="Californian FB" w:hAnsi="Californian FB"/>
          <w:spacing w:val="2"/>
        </w:rPr>
        <w:t>Assim, requer-se que sejam fornecidas pela Requerida as fichas financeiras referentes a todo o período de residência do Requerente.</w:t>
      </w:r>
    </w:p>
    <w:p>
      <w:pPr>
        <w:pStyle w:val="Normal"/>
        <w:tabs>
          <w:tab w:val="clear" w:pos="708"/>
          <w:tab w:val="left" w:pos="1701" w:leader="none"/>
        </w:tabs>
        <w:spacing w:lineRule="auto" w:line="360" w:before="120" w:after="120"/>
        <w:rPr/>
      </w:pPr>
      <w:r>
        <w:rPr>
          <w:rFonts w:cs="Californian FB" w:ascii="Californian FB" w:hAnsi="Californian FB"/>
          <w:b/>
          <w:bCs/>
          <w:sz w:val="24"/>
          <w:szCs w:val="24"/>
        </w:rPr>
        <w:t>5 - DOS PEDIDOS</w:t>
      </w:r>
    </w:p>
    <w:p>
      <w:pPr>
        <w:pStyle w:val="Normal"/>
        <w:spacing w:lineRule="auto" w:line="360" w:before="120" w:after="120"/>
        <w:ind w:left="1418" w:right="0"/>
        <w:jc w:val="both"/>
        <w:rPr>
          <w:rFonts w:ascii="Californian FB" w:hAnsi="Californian FB" w:cs="Californian FB"/>
          <w:sz w:val="24"/>
          <w:szCs w:val="24"/>
        </w:rPr>
      </w:pPr>
      <w:r>
        <w:rPr>
          <w:rFonts w:cs="Californian FB" w:ascii="Californian FB" w:hAnsi="Californian FB"/>
          <w:sz w:val="24"/>
          <w:szCs w:val="24"/>
        </w:rPr>
        <w:t>Diante do exposto, requer que se digne Vossa Excelência a:</w:t>
      </w:r>
    </w:p>
    <w:p>
      <w:pPr>
        <w:pStyle w:val="Normal"/>
        <w:spacing w:lineRule="auto" w:line="360" w:before="120" w:after="120"/>
        <w:ind w:left="1418" w:right="0"/>
        <w:jc w:val="both"/>
        <w:rPr>
          <w:rFonts w:ascii="Californian FB" w:hAnsi="Californian FB" w:cs="Californian FB"/>
          <w:bCs/>
          <w:sz w:val="24"/>
          <w:szCs w:val="24"/>
        </w:rPr>
      </w:pPr>
      <w:r>
        <w:rPr>
          <w:rFonts w:cs="Californian FB" w:ascii="Californian FB" w:hAnsi="Californian FB"/>
          <w:bCs/>
          <w:sz w:val="24"/>
          <w:szCs w:val="24"/>
        </w:rPr>
        <w:t>a) o reconhecimento da preliminar de interrupção da prescrição, conforme despacho de intimação anexo;</w:t>
      </w:r>
    </w:p>
    <w:p>
      <w:pPr>
        <w:pStyle w:val="Normal"/>
        <w:spacing w:lineRule="auto" w:line="360" w:before="120" w:after="120"/>
        <w:ind w:left="1418" w:right="0"/>
        <w:jc w:val="both"/>
        <w:rPr>
          <w:rFonts w:ascii="Californian FB" w:hAnsi="Californian FB" w:cs="Californian FB"/>
          <w:bCs/>
          <w:sz w:val="24"/>
          <w:szCs w:val="24"/>
        </w:rPr>
      </w:pPr>
      <w:r>
        <w:rPr>
          <w:rFonts w:cs="Californian FB" w:ascii="Californian FB" w:hAnsi="Californian FB"/>
          <w:bCs/>
          <w:sz w:val="24"/>
          <w:szCs w:val="24"/>
        </w:rPr>
        <w:t>b) a citação da Requerida para contestar a ação, requerendo-se, desde já, a dispensa da audiência de conciliação, em razão da natureza indisponível do direito pleiteado, e, na remota hipótese de não ser dispensada, requer-se que seja realizada na modalidade virtual;</w:t>
      </w:r>
    </w:p>
    <w:p>
      <w:pPr>
        <w:pStyle w:val="Normal"/>
        <w:spacing w:lineRule="auto" w:line="360" w:before="120" w:after="120"/>
        <w:ind w:left="1418" w:right="0"/>
        <w:jc w:val="both"/>
        <w:rPr>
          <w:rFonts w:ascii="Californian FB" w:hAnsi="Californian FB" w:cs="Californian FB"/>
          <w:bCs/>
          <w:sz w:val="24"/>
          <w:szCs w:val="24"/>
        </w:rPr>
      </w:pPr>
      <w:r>
        <w:rPr>
          <w:rFonts w:cs="Californian FB" w:ascii="Californian FB" w:hAnsi="Californian FB"/>
          <w:bCs/>
          <w:sz w:val="24"/>
          <w:szCs w:val="24"/>
        </w:rPr>
        <w:t xml:space="preserve">c) a determinação para exibição de documento, consistente nas fichas financeiras d{{A_O}} Requerente, referentes ao seu período de residência médica, nos termos do art. 398 e seguintes do Código de Processo Civil. </w:t>
      </w:r>
    </w:p>
    <w:p>
      <w:pPr>
        <w:pStyle w:val="Normal"/>
        <w:spacing w:lineRule="auto" w:line="360" w:before="120" w:after="120"/>
        <w:ind w:left="1418" w:right="0"/>
        <w:jc w:val="both"/>
        <w:rPr>
          <w:rFonts w:ascii="Californian FB" w:hAnsi="Californian FB" w:cs="Californian FB"/>
          <w:bCs/>
          <w:sz w:val="24"/>
          <w:szCs w:val="24"/>
        </w:rPr>
      </w:pPr>
      <w:r>
        <w:rPr>
          <w:rFonts w:cs="Californian FB" w:ascii="Californian FB" w:hAnsi="Californian FB"/>
          <w:bCs/>
          <w:sz w:val="24"/>
          <w:szCs w:val="24"/>
        </w:rPr>
        <w:t xml:space="preserve">d) posteriormente ao trâmite processual nos termos legais, o julgamento procedente dos pedidos desta ação, com a condenação da parte Requerida ao pagamento de 30% do valor da bolsa de residência, a título de auxílio moradia do período entre {{PERIODO_AUXILIO}} no valor de </w:t>
      </w: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>{{VALOR_AUXILIO_MORADIA}} ({{VALOR_AUXILIO_MORADIA_EXTENSO}})</w:t>
      </w:r>
      <w:r>
        <w:rPr>
          <w:rFonts w:cs="Californian FB" w:ascii="Californian FB" w:hAnsi="Californian FB"/>
          <w:spacing w:val="2"/>
          <w:sz w:val="24"/>
          <w:szCs w:val="24"/>
        </w:rPr>
        <w:t xml:space="preserve">, na qual deve ser aplicado correção monetária e juros;  </w:t>
      </w:r>
    </w:p>
    <w:p>
      <w:pPr>
        <w:pStyle w:val="NormalWeb"/>
        <w:shd w:fill="FFFFFF" w:val="clear"/>
        <w:spacing w:lineRule="auto" w:line="360" w:before="120" w:after="120"/>
        <w:ind w:left="1418" w:right="0"/>
        <w:jc w:val="both"/>
        <w:rPr>
          <w:rFonts w:ascii="Californian FB" w:hAnsi="Californian FB" w:cs="Californian FB"/>
          <w:color w:val="000000"/>
        </w:rPr>
      </w:pPr>
      <w:r>
        <w:rPr>
          <w:rFonts w:cs="Californian FB" w:ascii="Californian FB" w:hAnsi="Californian FB"/>
          <w:bCs/>
        </w:rPr>
        <w:t xml:space="preserve">e) </w:t>
      </w:r>
      <w:r>
        <w:rPr>
          <w:rFonts w:cs="Californian FB" w:ascii="Californian FB" w:hAnsi="Californian FB"/>
          <w:color w:val="000000"/>
        </w:rPr>
        <w:t>A condenação da Requerida ao pagamento de honorários advocatícios em caso de eventual recurso;</w:t>
      </w:r>
    </w:p>
    <w:p>
      <w:pPr>
        <w:pStyle w:val="NormalWeb"/>
        <w:shd w:fill="FFFFFF" w:val="clear"/>
        <w:spacing w:lineRule="auto" w:line="360" w:before="120" w:after="120"/>
        <w:ind w:left="1418" w:right="0"/>
        <w:jc w:val="both"/>
        <w:rPr>
          <w:rFonts w:ascii="Californian FB" w:hAnsi="Californian FB" w:cs="Californian FB"/>
          <w:color w:val="000000"/>
        </w:rPr>
      </w:pPr>
      <w:r>
        <w:rPr>
          <w:rFonts w:cs="Californian FB" w:ascii="Californian FB" w:hAnsi="Californian FB"/>
          <w:bCs/>
        </w:rPr>
        <w:t xml:space="preserve">f) </w:t>
      </w:r>
      <w:r>
        <w:rPr>
          <w:rFonts w:cs="Californian FB" w:ascii="Californian FB" w:hAnsi="Californian FB"/>
        </w:rPr>
        <w:t>Por derradeiro, requer provar o alegado por todos os meios em direito admitidos, primordialmente pela juntada dos documentos anexo, sem a exclusão de quaisquer outros.</w:t>
      </w:r>
    </w:p>
    <w:p>
      <w:pPr>
        <w:pStyle w:val="Normal"/>
        <w:spacing w:lineRule="auto" w:line="360" w:before="120" w:after="120"/>
        <w:ind w:firstLine="1418" w:right="0"/>
        <w:jc w:val="both"/>
        <w:rPr>
          <w:rFonts w:ascii="Californian FB" w:hAnsi="Californian FB" w:cs="Californian FB"/>
          <w:spacing w:val="2"/>
          <w:sz w:val="24"/>
          <w:szCs w:val="24"/>
        </w:rPr>
      </w:pPr>
      <w:r>
        <w:rPr>
          <w:rFonts w:cs="Californian FB" w:ascii="Californian FB" w:hAnsi="Californian FB"/>
          <w:sz w:val="24"/>
          <w:szCs w:val="24"/>
        </w:rPr>
        <w:t xml:space="preserve">Dá-se à causa o valor de </w:t>
      </w:r>
      <w:r>
        <w:rPr>
          <w:rFonts w:cs="Californian FB" w:ascii="Californian FB" w:hAnsi="Californian FB"/>
          <w:spacing w:val="2"/>
          <w:sz w:val="24"/>
          <w:szCs w:val="24"/>
          <w:shd w:fill="FFFFFF" w:val="clear"/>
        </w:rPr>
        <w:t>{{VALOR_AUXILIO_MORADIA}} ({{VALOR_AUXILIO_MORADIA_EXTENSO}}).</w:t>
      </w:r>
    </w:p>
    <w:p>
      <w:pPr>
        <w:pStyle w:val="Normal"/>
        <w:tabs>
          <w:tab w:val="clear" w:pos="708"/>
          <w:tab w:val="left" w:pos="1701" w:leader="none"/>
        </w:tabs>
        <w:spacing w:lineRule="auto" w:line="360" w:before="120" w:after="120"/>
        <w:ind w:firstLine="1418" w:right="0"/>
        <w:jc w:val="both"/>
        <w:rPr/>
      </w:pPr>
      <w:r>
        <w:rPr>
          <w:rFonts w:cs="Californian FB" w:ascii="Californian FB" w:hAnsi="Californian FB"/>
          <w:sz w:val="24"/>
          <w:szCs w:val="24"/>
        </w:rPr>
        <w:t xml:space="preserve">Nestes termos, pede deferimento. </w:t>
      </w:r>
    </w:p>
    <w:p>
      <w:pPr>
        <w:pStyle w:val="NormalWeb"/>
        <w:shd w:fill="FFFFFF" w:val="clear"/>
        <w:spacing w:lineRule="auto" w:line="360" w:before="120" w:after="120"/>
        <w:ind w:firstLine="1418" w:right="0"/>
        <w:rPr>
          <w:rFonts w:ascii="Californian FB" w:hAnsi="Californian FB" w:cs="Californian FB"/>
        </w:rPr>
      </w:pPr>
      <w:r>
        <w:rPr>
          <w:rFonts w:cs="Californian FB" w:ascii="Californian FB" w:hAnsi="Californian FB"/>
        </w:rPr>
        <w:t xml:space="preserve">Cuiabá, </w:t>
        <w:fldChar w:fldCharType="begin"/>
        <w:instrText xml:space="preserve"> DATE \@"d' de 'MMMM' de 'yyyy" </w:instrText>
        <w:fldChar w:fldCharType="separate"/>
        <w:t>18 de janeiro de 2026</w:t>
        <w:fldChar w:fldCharType="end"/>
        <w:t>.</w:t>
      </w:r>
    </w:p>
    <w:p>
      <w:pPr>
        <w:pStyle w:val="NormalWeb"/>
        <w:shd w:fill="FFFFFF" w:val="clear"/>
        <w:spacing w:lineRule="auto" w:line="360" w:before="120" w:after="120"/>
        <w:ind w:firstLine="1418" w:right="0"/>
        <w:rPr>
          <w:rFonts w:ascii="Californian FB" w:hAnsi="Californian FB" w:cs="Californian FB"/>
        </w:rPr>
      </w:pPr>
      <w:r>
        <w:rPr>
          <w:rFonts w:cs="Californian FB" w:ascii="Californian FB" w:hAnsi="Californian FB"/>
        </w:rPr>
      </w:r>
    </w:p>
    <w:p>
      <w:pPr>
        <w:pStyle w:val="Normal"/>
        <w:tabs>
          <w:tab w:val="clear" w:pos="708"/>
          <w:tab w:val="left" w:pos="142" w:leader="none"/>
        </w:tabs>
        <w:spacing w:lineRule="auto" w:line="240" w:before="120" w:after="120"/>
        <w:jc w:val="center"/>
        <w:rPr>
          <w:rFonts w:ascii="Californian FB" w:hAnsi="Californian FB" w:cs="Arial"/>
          <w:b/>
          <w:sz w:val="24"/>
          <w:szCs w:val="24"/>
          <w:shd w:fill="FFFFFF" w:val="clear"/>
        </w:rPr>
      </w:pPr>
      <w:r>
        <w:rPr>
          <w:rFonts w:cs="Arial" w:ascii="Californian FB" w:hAnsi="Californian FB"/>
          <w:b/>
          <w:sz w:val="24"/>
          <w:szCs w:val="24"/>
          <w:shd w:fill="FFFFFF" w:val="clear"/>
        </w:rPr>
        <w:t xml:space="preserve">FERNANDA VAUCHER DE OLIVEIRA </w:t>
      </w:r>
    </w:p>
    <w:p>
      <w:pPr>
        <w:pStyle w:val="Normal"/>
        <w:tabs>
          <w:tab w:val="clear" w:pos="708"/>
          <w:tab w:val="left" w:pos="142" w:leader="none"/>
        </w:tabs>
        <w:spacing w:lineRule="auto" w:line="240" w:before="120" w:after="120"/>
        <w:jc w:val="center"/>
        <w:rPr>
          <w:rFonts w:ascii="Californian FB" w:hAnsi="Californian FB" w:cs="Arial"/>
          <w:b/>
          <w:sz w:val="24"/>
          <w:szCs w:val="24"/>
          <w:shd w:fill="FFFFFF" w:val="clear"/>
        </w:rPr>
      </w:pPr>
      <w:r>
        <w:rPr>
          <w:rFonts w:cs="Arial" w:ascii="Californian FB" w:hAnsi="Californian FB"/>
          <w:b/>
          <w:sz w:val="24"/>
          <w:szCs w:val="24"/>
          <w:shd w:fill="FFFFFF" w:val="clear"/>
        </w:rPr>
        <w:t>OAB/MT 12.066</w:t>
      </w:r>
    </w:p>
    <w:p>
      <w:pPr>
        <w:pStyle w:val="NormalWeb"/>
        <w:shd w:fill="FFFFFF" w:val="clear"/>
        <w:spacing w:lineRule="auto" w:line="360" w:before="120" w:after="120"/>
        <w:ind w:firstLine="1418" w:right="0"/>
        <w:rPr>
          <w:rFonts w:ascii="Californian FB" w:hAnsi="Californian FB" w:cs="Californian FB"/>
          <w:b/>
          <w:sz w:val="24"/>
          <w:szCs w:val="24"/>
          <w:shd w:fill="FFFFFF" w:val="clear"/>
        </w:rPr>
      </w:pPr>
      <w:r>
        <w:rPr>
          <w:rFonts w:cs="Californian FB" w:ascii="Californian FB" w:hAnsi="Californian FB"/>
          <w:b/>
          <w:sz w:val="24"/>
          <w:szCs w:val="24"/>
          <w:shd w:fill="FFFFFF" w:val="clear"/>
        </w:rPr>
      </w:r>
    </w:p>
    <w:p>
      <w:pPr>
        <w:pStyle w:val="Normal"/>
        <w:spacing w:lineRule="auto" w:line="240" w:before="120" w:after="120"/>
        <w:jc w:val="center"/>
        <w:rPr>
          <w:rFonts w:ascii="Californian FB" w:hAnsi="Californian FB" w:cs="Californian FB"/>
          <w:b/>
          <w:sz w:val="24"/>
          <w:szCs w:val="24"/>
        </w:rPr>
      </w:pPr>
      <w:r>
        <w:rPr>
          <w:rFonts w:cs="Californian FB" w:ascii="Californian FB" w:hAnsi="Californian FB"/>
          <w:b/>
          <w:sz w:val="24"/>
          <w:szCs w:val="24"/>
        </w:rPr>
        <w:t>JOÃO RICARDO VAUCHER DE OLIVEIRA</w:t>
      </w:r>
    </w:p>
    <w:p>
      <w:pPr>
        <w:pStyle w:val="Normal"/>
        <w:spacing w:lineRule="auto" w:line="240" w:before="120" w:after="120"/>
        <w:jc w:val="center"/>
        <w:rPr>
          <w:rFonts w:ascii="Californian FB" w:hAnsi="Californian FB" w:cs="Californian FB"/>
          <w:b/>
          <w:sz w:val="24"/>
          <w:szCs w:val="24"/>
        </w:rPr>
      </w:pPr>
      <w:r>
        <w:rPr>
          <w:rFonts w:cs="Californian FB" w:ascii="Californian FB" w:hAnsi="Californian FB"/>
          <w:b/>
          <w:sz w:val="24"/>
          <w:szCs w:val="24"/>
        </w:rPr>
        <w:t>OAB/MT 14.490</w:t>
      </w:r>
    </w:p>
    <w:p>
      <w:pPr>
        <w:pStyle w:val="NormalWeb"/>
        <w:shd w:fill="FFFFFF" w:val="clear"/>
        <w:spacing w:before="120" w:after="120"/>
        <w:ind w:firstLine="1418" w:right="0"/>
        <w:rPr>
          <w:rFonts w:ascii="Californian FB" w:hAnsi="Californian FB" w:cs="Californian FB"/>
          <w:b/>
          <w:sz w:val="24"/>
          <w:szCs w:val="24"/>
        </w:rPr>
      </w:pPr>
      <w:r>
        <w:rPr>
          <w:rFonts w:cs="Californian FB" w:ascii="Californian FB" w:hAnsi="Californian FB"/>
          <w:b/>
          <w:sz w:val="24"/>
          <w:szCs w:val="24"/>
        </w:rPr>
      </w:r>
    </w:p>
    <w:p>
      <w:pPr>
        <w:pStyle w:val="Normal"/>
        <w:tabs>
          <w:tab w:val="clear" w:pos="708"/>
          <w:tab w:val="left" w:pos="142" w:leader="none"/>
        </w:tabs>
        <w:spacing w:lineRule="auto" w:line="240" w:before="120" w:after="120"/>
        <w:jc w:val="center"/>
        <w:rPr>
          <w:rFonts w:ascii="Californian FB" w:hAnsi="Californian FB" w:cs="Arial"/>
          <w:b/>
          <w:sz w:val="24"/>
          <w:szCs w:val="24"/>
          <w:shd w:fill="FFFFFF" w:val="clear"/>
        </w:rPr>
      </w:pPr>
      <w:r>
        <w:rPr>
          <w:rFonts w:cs="Arial" w:ascii="Californian FB" w:hAnsi="Californian FB"/>
          <w:b/>
          <w:sz w:val="24"/>
          <w:szCs w:val="24"/>
          <w:shd w:fill="FFFFFF" w:val="clear"/>
        </w:rPr>
        <w:t>BRUNO COSTA ÁLVARES SILVA</w:t>
      </w:r>
    </w:p>
    <w:p>
      <w:pPr>
        <w:pStyle w:val="Normal"/>
        <w:tabs>
          <w:tab w:val="clear" w:pos="708"/>
          <w:tab w:val="left" w:pos="142" w:leader="none"/>
        </w:tabs>
        <w:spacing w:lineRule="auto" w:line="240" w:before="120" w:after="120"/>
        <w:jc w:val="center"/>
        <w:rPr>
          <w:rFonts w:ascii="Californian FB" w:hAnsi="Californian FB" w:cs="Arial"/>
          <w:b/>
          <w:sz w:val="24"/>
          <w:szCs w:val="24"/>
          <w:shd w:fill="FFFFFF" w:val="clear"/>
        </w:rPr>
      </w:pPr>
      <w:r>
        <w:rPr>
          <w:rFonts w:cs="Arial" w:ascii="Californian FB" w:hAnsi="Californian FB"/>
          <w:b/>
          <w:sz w:val="24"/>
          <w:szCs w:val="24"/>
          <w:shd w:fill="FFFFFF" w:val="clear"/>
        </w:rPr>
        <w:t>OAB/MT 15.127</w:t>
      </w:r>
    </w:p>
    <w:p>
      <w:pPr>
        <w:pStyle w:val="Normal"/>
        <w:tabs>
          <w:tab w:val="clear" w:pos="708"/>
          <w:tab w:val="left" w:pos="142" w:leader="none"/>
        </w:tabs>
        <w:spacing w:lineRule="auto" w:line="240" w:before="120" w:after="120"/>
        <w:jc w:val="center"/>
        <w:rPr>
          <w:rFonts w:ascii="Californian FB" w:hAnsi="Californian FB" w:cs="Arial"/>
          <w:b/>
          <w:sz w:val="24"/>
          <w:szCs w:val="24"/>
          <w:shd w:fill="FFFFFF" w:val="clear"/>
        </w:rPr>
      </w:pPr>
      <w:r>
        <w:rPr>
          <w:rFonts w:cs="Arial" w:ascii="Californian FB" w:hAnsi="Californian FB"/>
          <w:b/>
          <w:sz w:val="24"/>
          <w:szCs w:val="24"/>
          <w:shd w:fill="FFFFFF" w:val="clear"/>
        </w:rPr>
      </w:r>
    </w:p>
    <w:p>
      <w:pPr>
        <w:pStyle w:val="Normal"/>
        <w:tabs>
          <w:tab w:val="clear" w:pos="708"/>
          <w:tab w:val="left" w:pos="142" w:leader="none"/>
        </w:tabs>
        <w:spacing w:lineRule="auto" w:line="240" w:before="120" w:after="120"/>
        <w:jc w:val="center"/>
        <w:rPr>
          <w:rFonts w:ascii="Californian FB" w:hAnsi="Californian FB" w:cs="Arial"/>
          <w:b/>
          <w:sz w:val="24"/>
          <w:szCs w:val="24"/>
          <w:shd w:fill="FFFFFF" w:val="clear"/>
        </w:rPr>
      </w:pPr>
      <w:r>
        <w:rPr>
          <w:rFonts w:cs="Arial" w:ascii="Californian FB" w:hAnsi="Californian FB"/>
          <w:b/>
          <w:sz w:val="24"/>
          <w:szCs w:val="24"/>
          <w:shd w:fill="FFFFFF" w:val="clear"/>
        </w:rPr>
        <w:t>KARINA MACIEL COSTA SALES</w:t>
      </w:r>
    </w:p>
    <w:p>
      <w:pPr>
        <w:pStyle w:val="Normal"/>
        <w:tabs>
          <w:tab w:val="clear" w:pos="708"/>
          <w:tab w:val="left" w:pos="142" w:leader="none"/>
        </w:tabs>
        <w:spacing w:lineRule="auto" w:line="240" w:before="120" w:after="120"/>
        <w:jc w:val="center"/>
        <w:rPr>
          <w:rFonts w:ascii="Californian FB" w:hAnsi="Californian FB" w:cs="Arial"/>
          <w:b/>
          <w:sz w:val="24"/>
          <w:szCs w:val="24"/>
          <w:shd w:fill="FFFFFF" w:val="clear"/>
        </w:rPr>
      </w:pPr>
      <w:r>
        <w:rPr>
          <w:rFonts w:cs="Arial" w:ascii="Californian FB" w:hAnsi="Californian FB"/>
          <w:b/>
          <w:sz w:val="24"/>
          <w:szCs w:val="24"/>
          <w:shd w:fill="FFFFFF" w:val="clear"/>
        </w:rPr>
        <w:t>OAB/MT 27.360</w:t>
      </w:r>
    </w:p>
    <w:p>
      <w:pPr>
        <w:pStyle w:val="Normal"/>
        <w:tabs>
          <w:tab w:val="clear" w:pos="708"/>
          <w:tab w:val="left" w:pos="142" w:leader="none"/>
        </w:tabs>
        <w:spacing w:lineRule="auto" w:line="360" w:before="120" w:after="120"/>
        <w:jc w:val="center"/>
        <w:rPr>
          <w:rFonts w:ascii="Californian FB" w:hAnsi="Californian FB" w:cs="Arial"/>
          <w:b/>
          <w:sz w:val="24"/>
          <w:szCs w:val="24"/>
          <w:shd w:fill="FFFFFF" w:val="clear"/>
        </w:rPr>
      </w:pPr>
      <w:r>
        <w:rPr>
          <w:rFonts w:cs="Arial" w:ascii="Californian FB" w:hAnsi="Californian FB"/>
          <w:b/>
          <w:sz w:val="24"/>
          <w:szCs w:val="24"/>
          <w:shd w:fill="FFFFFF" w:val="clear"/>
        </w:rPr>
      </w:r>
    </w:p>
    <w:sectPr>
      <w:headerReference w:type="default" r:id="rId2"/>
      <w:footerReference w:type="default" r:id="rId3"/>
      <w:type w:val="nextPage"/>
      <w:pgSz w:w="11906" w:h="16838"/>
      <w:pgMar w:left="1701" w:right="1701" w:gutter="0" w:header="426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alifornian FB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auto" w:line="240" w:before="0" w:after="0"/>
      <w:jc w:val="center"/>
      <w:rPr>
        <w:rFonts w:ascii="Californian FB" w:hAnsi="Californian FB" w:eastAsia="Times New Roman" w:cs="Californian FB"/>
      </w:rPr>
    </w:pPr>
    <w:r>
      <w:rPr>
        <w:rFonts w:eastAsia="Times New Roman" w:cs="Californian FB" w:ascii="Californian FB" w:hAnsi="Californian FB"/>
      </w:rPr>
      <w:t>__________________________________________________________________________</w:t>
    </w:r>
  </w:p>
  <w:p>
    <w:pPr>
      <w:pStyle w:val="Normal"/>
      <w:spacing w:lineRule="auto" w:line="240" w:before="0" w:after="0"/>
      <w:jc w:val="center"/>
      <w:rPr>
        <w:rFonts w:ascii="Californian FB" w:hAnsi="Californian FB" w:eastAsia="Times New Roman" w:cs="Andalus"/>
      </w:rPr>
    </w:pPr>
    <w:r>
      <w:rPr>
        <w:rFonts w:eastAsia="Times New Roman" w:cs="Andalus" w:ascii="Californian FB" w:hAnsi="Californian FB"/>
      </w:rPr>
      <w:t xml:space="preserve">Rua Lima, nº 106, Bairro Jardim das Américas, Cuiabá-MT </w:t>
    </w:r>
  </w:p>
  <w:p>
    <w:pPr>
      <w:pStyle w:val="Normal"/>
      <w:spacing w:lineRule="auto" w:line="240" w:before="0" w:after="0"/>
      <w:jc w:val="center"/>
      <w:rPr>
        <w:rFonts w:ascii="Californian FB" w:hAnsi="Californian FB" w:eastAsia="Times New Roman" w:cs="Andalus"/>
      </w:rPr>
    </w:pPr>
    <w:r>
      <w:drawing>
        <wp:anchor behindDoc="1" distT="0" distB="0" distL="114935" distR="114935" simplePos="0" locked="0" layoutInCell="1" allowOverlap="1" relativeHeight="21">
          <wp:simplePos x="0" y="0"/>
          <wp:positionH relativeFrom="column">
            <wp:posOffset>5320665</wp:posOffset>
          </wp:positionH>
          <wp:positionV relativeFrom="paragraph">
            <wp:posOffset>24130</wp:posOffset>
          </wp:positionV>
          <wp:extent cx="359410" cy="367030"/>
          <wp:effectExtent l="0" t="0" r="0" b="0"/>
          <wp:wrapNone/>
          <wp:docPr id="3" name="Imagem 20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m 20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50" t="-49" r="-50" b="-49"/>
                  <a:stretch>
                    <a:fillRect/>
                  </a:stretch>
                </pic:blipFill>
                <pic:spPr bwMode="auto">
                  <a:xfrm>
                    <a:off x="0" y="0"/>
                    <a:ext cx="359410" cy="3670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rFonts w:eastAsia="Times New Roman" w:cs="Andalus" w:ascii="Californian FB" w:hAnsi="Californian FB"/>
      </w:rPr>
      <w:t xml:space="preserve">(65) 3025-1223 – e-mail: </w:t>
    </w:r>
    <w:hyperlink r:id="rId2">
      <w:r>
        <w:rPr>
          <w:rStyle w:val="Hyperlink"/>
          <w:rFonts w:eastAsia="Times New Roman" w:cs="Andalus" w:ascii="Californian FB" w:hAnsi="Californian FB"/>
        </w:rPr>
        <w:t>vaucheradv@gmail.com</w:t>
      </w:r>
    </w:hyperlink>
  </w:p>
  <w:p>
    <w:pPr>
      <w:pStyle w:val="Normal"/>
      <w:spacing w:lineRule="auto" w:line="240" w:before="0" w:after="0"/>
      <w:jc w:val="center"/>
      <w:rPr>
        <w:rFonts w:ascii="Californian FB" w:hAnsi="Californian FB" w:eastAsia="Times New Roman" w:cs="Andalus"/>
      </w:rPr>
    </w:pPr>
    <w:r>
      <w:rPr>
        <w:rFonts w:eastAsia="Times New Roman" w:cs="Andalus" w:ascii="Californian FB" w:hAnsi="Californian FB"/>
      </w:rPr>
      <w:t xml:space="preserve">Página </w:t>
    </w:r>
    <w:r>
      <w:rPr>
        <w:rFonts w:eastAsia="Times New Roman" w:cs="Andalus" w:ascii="Californian FB" w:hAnsi="Californian FB"/>
      </w:rPr>
      <w:fldChar w:fldCharType="begin"/>
    </w:r>
    <w:r>
      <w:rPr>
        <w:rFonts w:eastAsia="Times New Roman" w:cs="Andalus" w:ascii="Californian FB" w:hAnsi="Californian FB"/>
      </w:rPr>
      <w:instrText xml:space="preserve"> PAGE </w:instrText>
    </w:r>
    <w:r>
      <w:rPr>
        <w:rFonts w:eastAsia="Times New Roman" w:cs="Andalus" w:ascii="Californian FB" w:hAnsi="Californian FB"/>
      </w:rPr>
      <w:fldChar w:fldCharType="separate"/>
    </w:r>
    <w:r>
      <w:rPr>
        <w:rFonts w:eastAsia="Times New Roman" w:cs="Andalus" w:ascii="Californian FB" w:hAnsi="Californian FB"/>
      </w:rPr>
      <w:t>20</w:t>
    </w:r>
    <w:r>
      <w:rPr>
        <w:rFonts w:eastAsia="Times New Roman" w:cs="Andalus" w:ascii="Californian FB" w:hAnsi="Californian FB"/>
      </w:rPr>
      <w:fldChar w:fldCharType="end"/>
    </w:r>
    <w:r>
      <w:rPr>
        <w:rFonts w:eastAsia="Times New Roman" w:cs="Andalus" w:ascii="Californian FB" w:hAnsi="Californian FB"/>
      </w:rPr>
      <w:t xml:space="preserve"> de </w:t>
    </w:r>
    <w:r>
      <w:rPr>
        <w:rFonts w:eastAsia="Times New Roman" w:cs="Andalus" w:ascii="Californian FB" w:hAnsi="Californian FB"/>
      </w:rPr>
      <w:fldChar w:fldCharType="begin"/>
    </w:r>
    <w:r>
      <w:rPr>
        <w:rFonts w:eastAsia="Times New Roman" w:cs="Andalus" w:ascii="Californian FB" w:hAnsi="Californian FB"/>
      </w:rPr>
      <w:instrText xml:space="preserve"> NUMPAGES \* ARABIC </w:instrText>
    </w:r>
    <w:r>
      <w:rPr>
        <w:rFonts w:eastAsia="Times New Roman" w:cs="Andalus" w:ascii="Californian FB" w:hAnsi="Californian FB"/>
      </w:rPr>
      <w:fldChar w:fldCharType="separate"/>
    </w:r>
    <w:r>
      <w:rPr>
        <w:rFonts w:eastAsia="Times New Roman" w:cs="Andalus" w:ascii="Californian FB" w:hAnsi="Californian FB"/>
      </w:rPr>
      <w:t>20</w:t>
    </w:r>
    <w:r>
      <w:rPr>
        <w:rFonts w:eastAsia="Times New Roman" w:cs="Andalus" w:ascii="Californian FB" w:hAnsi="Californian FB"/>
      </w:rPr>
      <w:fldChar w:fldCharType="end"/>
    </w:r>
  </w:p>
  <w:p>
    <w:pPr>
      <w:pStyle w:val="Footer"/>
      <w:rPr>
        <w:rFonts w:ascii="Californian FB" w:hAnsi="Californian FB" w:eastAsia="Times New Roman" w:cs="Andalus"/>
      </w:rPr>
    </w:pPr>
    <w:r>
      <w:rPr>
        <w:rFonts w:eastAsia="Times New Roman" w:cs="Andalus" w:ascii="Californian FB" w:hAnsi="Californian FB"/>
      </w:rPr>
    </w:r>
  </w:p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08"/>
        <w:tab w:val="center" w:pos="4252" w:leader="none"/>
        <w:tab w:val="right" w:pos="8504" w:leader="none"/>
      </w:tabs>
      <w:spacing w:lineRule="auto" w:line="240" w:before="0" w:after="0"/>
      <w:jc w:val="center"/>
      <w:rPr>
        <w:rFonts w:ascii="Californian FB" w:hAnsi="Californian FB" w:eastAsia="Times New Roman" w:cs="Californian FB"/>
        <w:i/>
        <w:i/>
        <w:sz w:val="24"/>
        <w:szCs w:val="24"/>
        <w:lang w:val="en-US" w:eastAsia="en-US"/>
      </w:rPr>
    </w:pPr>
    <w:r>
      <w:rPr>
        <w:rFonts w:eastAsia="Times New Roman" w:cs="Californian FB" w:ascii="Californian FB" w:hAnsi="Californian FB"/>
        <w:i/>
        <w:sz w:val="24"/>
        <w:szCs w:val="24"/>
        <w:lang w:val="en-US" w:eastAsia="en-US"/>
      </w:rPr>
      <w:drawing>
        <wp:anchor behindDoc="1" distT="0" distB="0" distL="114935" distR="114935" simplePos="0" locked="0" layoutInCell="1" allowOverlap="1" relativeHeight="41">
          <wp:simplePos x="0" y="0"/>
          <wp:positionH relativeFrom="column">
            <wp:posOffset>1240155</wp:posOffset>
          </wp:positionH>
          <wp:positionV relativeFrom="paragraph">
            <wp:posOffset>-93345</wp:posOffset>
          </wp:positionV>
          <wp:extent cx="2868930" cy="658495"/>
          <wp:effectExtent l="0" t="0" r="0" b="0"/>
          <wp:wrapNone/>
          <wp:docPr id="2" name="Imagem 2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2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8" t="-35" r="-8" b="-35"/>
                  <a:stretch>
                    <a:fillRect/>
                  </a:stretch>
                </pic:blipFill>
                <pic:spPr bwMode="auto">
                  <a:xfrm>
                    <a:off x="0" y="0"/>
                    <a:ext cx="2868930" cy="6584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>
    <w:pPr>
      <w:pStyle w:val="Normal"/>
      <w:tabs>
        <w:tab w:val="clear" w:pos="708"/>
        <w:tab w:val="center" w:pos="4252" w:leader="none"/>
        <w:tab w:val="right" w:pos="8504" w:leader="none"/>
      </w:tabs>
      <w:spacing w:lineRule="auto" w:line="240" w:before="0" w:after="0"/>
      <w:jc w:val="right"/>
      <w:rPr>
        <w:rFonts w:ascii="Californian FB" w:hAnsi="Californian FB" w:eastAsia="Times New Roman" w:cs="Californian FB"/>
        <w:i/>
        <w:i/>
        <w:sz w:val="24"/>
        <w:szCs w:val="24"/>
        <w:lang w:val="en-US"/>
      </w:rPr>
    </w:pPr>
    <w:r>
      <w:rPr>
        <w:rFonts w:eastAsia="Times New Roman" w:cs="Californian FB" w:ascii="Californian FB" w:hAnsi="Californian FB"/>
        <w:i/>
        <w:sz w:val="24"/>
        <w:szCs w:val="24"/>
        <w:lang w:val="en-US"/>
      </w:rPr>
    </w:r>
  </w:p>
  <w:p>
    <w:pPr>
      <w:pStyle w:val="Normal"/>
      <w:tabs>
        <w:tab w:val="clear" w:pos="708"/>
        <w:tab w:val="center" w:pos="4252" w:leader="none"/>
        <w:tab w:val="right" w:pos="8504" w:leader="none"/>
      </w:tabs>
      <w:spacing w:lineRule="auto" w:line="240" w:before="0" w:after="0"/>
      <w:jc w:val="right"/>
      <w:rPr>
        <w:rFonts w:ascii="Californian FB" w:hAnsi="Californian FB" w:eastAsia="Times New Roman" w:cs="Californian FB"/>
        <w:i/>
        <w:i/>
        <w:sz w:val="24"/>
        <w:szCs w:val="24"/>
        <w:lang w:val="en-US"/>
      </w:rPr>
    </w:pPr>
    <w:r>
      <w:rPr>
        <w:rFonts w:eastAsia="Times New Roman" w:cs="Californian FB" w:ascii="Californian FB" w:hAnsi="Californian FB"/>
        <w:i/>
        <w:sz w:val="24"/>
        <w:szCs w:val="24"/>
        <w:lang w:val="en-US"/>
      </w:rPr>
    </w:r>
  </w:p>
  <w:p>
    <w:pPr>
      <w:pStyle w:val="Normal"/>
      <w:tabs>
        <w:tab w:val="clear" w:pos="708"/>
        <w:tab w:val="center" w:pos="4252" w:leader="none"/>
        <w:tab w:val="right" w:pos="8504" w:leader="none"/>
      </w:tabs>
      <w:spacing w:lineRule="auto" w:line="240" w:before="0" w:after="0"/>
      <w:jc w:val="right"/>
      <w:rPr>
        <w:rFonts w:ascii="Californian FB" w:hAnsi="Californian FB" w:eastAsia="Times New Roman" w:cs="Californian FB"/>
        <w:i/>
        <w:i/>
        <w:sz w:val="24"/>
        <w:szCs w:val="24"/>
        <w:lang w:val="en-US"/>
      </w:rPr>
    </w:pPr>
    <w:r>
      <w:rPr>
        <w:rFonts w:eastAsia="Times New Roman" w:cs="Californian FB" w:ascii="Californian FB" w:hAnsi="Californian FB"/>
        <w:i/>
        <w:sz w:val="24"/>
        <w:szCs w:val="24"/>
        <w:lang w:val="en-US"/>
      </w:rPr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56" w:before="0" w:after="160"/>
    </w:pPr>
    <w:rPr>
      <w:rFonts w:ascii="Calibri" w:hAnsi="Calibri" w:eastAsia="Calibri" w:cs="Times New Roman"/>
      <w:color w:val="auto"/>
      <w:sz w:val="22"/>
      <w:szCs w:val="22"/>
      <w:lang w:val="pt-BR" w:bidi="ar-SA" w:eastAsia="zh-CN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color w:val="000000"/>
      <w:sz w:val="24"/>
    </w:rPr>
  </w:style>
  <w:style w:type="character" w:styleId="Fontepargpadro">
    <w:name w:val="Fonte parág. padrão"/>
    <w:qFormat/>
    <w:rPr/>
  </w:style>
  <w:style w:type="character" w:styleId="CabealhoChar">
    <w:name w:val="Cabeçalho Char"/>
    <w:basedOn w:val="Fontepargpadro"/>
    <w:qFormat/>
    <w:rPr/>
  </w:style>
  <w:style w:type="character" w:styleId="RodapChar">
    <w:name w:val="Rodapé Char"/>
    <w:basedOn w:val="Fontepargpadro"/>
    <w:qFormat/>
    <w:rPr/>
  </w:style>
  <w:style w:type="character" w:styleId="apple-converted-space">
    <w:name w:val="apple-converted-space"/>
    <w:basedOn w:val="Fontepargpadro"/>
    <w:qFormat/>
    <w:rPr/>
  </w:style>
  <w:style w:type="character" w:styleId="Hyperlink">
    <w:name w:val="Hyperlink"/>
    <w:rPr>
      <w:color w:val="0000FF"/>
      <w:u w:val="single"/>
    </w:rPr>
  </w:style>
  <w:style w:type="character" w:styleId="TextodenotaderodapChar">
    <w:name w:val="Texto de nota de rodapé Char"/>
    <w:qFormat/>
    <w:rPr>
      <w:sz w:val="20"/>
      <w:szCs w:val="20"/>
    </w:rPr>
  </w:style>
  <w:style w:type="character" w:styleId="FootnoteCharacters">
    <w:name w:val="Footnote Characters"/>
    <w:qFormat/>
    <w:rPr>
      <w:vertAlign w:val="superscript"/>
    </w:rPr>
  </w:style>
  <w:style w:type="character" w:styleId="MenoPendente">
    <w:name w:val="Menção Pendente"/>
    <w:qFormat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</w:rPr>
  </w:style>
  <w:style w:type="paragraph" w:styleId="PargrafodaLista">
    <w:name w:val="Parágrafo da Lista"/>
    <w:basedOn w:val="Normal"/>
    <w:qFormat/>
    <w:pPr>
      <w:spacing w:before="0" w:after="160"/>
      <w:ind w:hanging="0" w:left="720" w:right="0"/>
      <w:contextualSpacing/>
    </w:pPr>
    <w:rPr/>
  </w:style>
  <w:style w:type="paragraph" w:styleId="FootnoteText">
    <w:name w:val="Footnote Text"/>
    <w:basedOn w:val="Normal"/>
    <w:pPr>
      <w:spacing w:lineRule="auto" w:line="240" w:before="0" w:after="0"/>
    </w:pPr>
    <w:rPr>
      <w:sz w:val="20"/>
      <w:szCs w:val="20"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hyperlink" Target="mailto:vaucheradv@gmail.com" TargetMode="Externa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276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2022-02-25T12:54:00Z</dcterms:created>
  <dc:creator>sinara alvares</dc:creator>
  <dc:description/>
  <cp:keywords/>
  <dc:language>en-US</dc:language>
  <cp:lastModifiedBy>User</cp:lastModifiedBy>
  <cp:lastPrinted>2025-07-11T15:11:00Z</cp:lastPrinted>
  <dcterms:modified xsi:type="dcterms:W3CDTF">2025-07-11T19:11:00Z</dcterms:modified>
  <cp:revision>47</cp:revision>
  <dc:subject/>
  <dc:title/>
</cp:coreProperties>
</file>