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20E6" w14:textId="4F9526CE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  <w:r w:rsidRPr="00073D04">
        <w:rPr>
          <w:rFonts w:ascii="Lexend" w:hAnsi="Lexend"/>
          <w:b/>
          <w:bCs/>
        </w:rPr>
        <w:t>EXCELENTÍSSIMO(A) SENHOR(A) JUIZ(ÍZA) FEDERAL DA {{VARA_COMPETENTE}} DA SEÇÃO JUDICIÁRIA DE {{SECAO_JUDICIARIA}}</w:t>
      </w:r>
      <w:r w:rsidRPr="00AC2829">
        <w:rPr>
          <w:rFonts w:ascii="Lexend" w:hAnsi="Lexend"/>
          <w:b/>
          <w:bCs/>
        </w:rPr>
        <w:t>:</w:t>
      </w:r>
    </w:p>
    <w:p w14:paraId="6B226546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77FAB7D5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786E34C7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0835C0F5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35158796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7F8C01F9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32D7B6A9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1761455D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0E491FE3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3DF0691D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716A4DF0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367550FA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7FFDC1A5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394FB4B5" w14:textId="77777777" w:rsidR="00506562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</w:p>
    <w:p w14:paraId="532707B9" w14:textId="6BF414C8" w:rsidR="00073D04" w:rsidRPr="00073D04" w:rsidRDefault="00073D04" w:rsidP="00073D04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  <w:b/>
          <w:bCs/>
        </w:rPr>
        <w:t>{{NOME_COMPLETO_AUTOR}}, brasileiro(a), {{ESTADO_CIVIL}}, médico(a), portador(a) do RG nº {{RG_AUTOR}}, inscrito(a) no CPF sob o nº {{CPF_AUTOR}}, CRM nº {{CRM_AUTOR}}, residente e domiciliado(a) na {{ENDERECO_COMPLETO_AUTOR}}, CEP {{CEP_AUTOR}}, e-mail: {{EMAIL_AUTOR}}, telefone: {{TELEFONE_AUTOR}},</w:t>
      </w:r>
      <w:r w:rsidRPr="00073D04">
        <w:rPr>
          <w:rFonts w:ascii="Lexend" w:hAnsi="Lexend"/>
        </w:rPr>
        <w:t xml:space="preserve"> por seu(sua) advogado(a) que </w:t>
      </w:r>
      <w:proofErr w:type="spellStart"/>
      <w:r w:rsidRPr="00073D04">
        <w:rPr>
          <w:rFonts w:ascii="Lexend" w:hAnsi="Lexend"/>
        </w:rPr>
        <w:t>esta</w:t>
      </w:r>
      <w:proofErr w:type="spellEnd"/>
      <w:r w:rsidRPr="00073D04">
        <w:rPr>
          <w:rFonts w:ascii="Lexend" w:hAnsi="Lexend"/>
        </w:rPr>
        <w:t xml:space="preserve"> subscreve, vem, respeitosamente, perante Vossa Excelência, com fundamento nos artigos 165 a 168 do Código Tributário Nacional (CTN), artigo 28, §5º, e 89 da Lei nº 8.212/91, e artigos 319 e seguintes do Código de Processo Civil (CPC), propor a presente</w:t>
      </w:r>
    </w:p>
    <w:p w14:paraId="1B601AE7" w14:textId="77777777" w:rsidR="00073D04" w:rsidRPr="00073D04" w:rsidRDefault="00073D04" w:rsidP="00073D04">
      <w:pPr>
        <w:spacing w:before="120" w:after="120" w:line="360" w:lineRule="auto"/>
        <w:jc w:val="center"/>
        <w:rPr>
          <w:rFonts w:ascii="Lexend" w:hAnsi="Lexend"/>
        </w:rPr>
      </w:pPr>
      <w:r w:rsidRPr="00073D04">
        <w:rPr>
          <w:rFonts w:ascii="Lexend" w:hAnsi="Lexend"/>
          <w:b/>
          <w:bCs/>
        </w:rPr>
        <w:t>AÇÃO DE REPETIÇÃO DE INDÉBITO TRIBUTÁRIO</w:t>
      </w:r>
      <w:r w:rsidRPr="00073D04">
        <w:rPr>
          <w:rFonts w:ascii="Lexend" w:hAnsi="Lexend"/>
        </w:rPr>
        <w:t xml:space="preserve"> </w:t>
      </w:r>
      <w:r w:rsidRPr="00073D04">
        <w:rPr>
          <w:rFonts w:ascii="Lexend" w:hAnsi="Lexend"/>
          <w:b/>
          <w:bCs/>
        </w:rPr>
        <w:t>(Restituição de Contribuições Previdenciárias Recolhidas Acima do Teto do RGPS)</w:t>
      </w:r>
    </w:p>
    <w:p w14:paraId="50F4C976" w14:textId="77777777" w:rsidR="00073D04" w:rsidRPr="00073D04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  <w:r w:rsidRPr="00073D04">
        <w:rPr>
          <w:rFonts w:ascii="Lexend" w:hAnsi="Lexend"/>
        </w:rPr>
        <w:lastRenderedPageBreak/>
        <w:t xml:space="preserve">em face da </w:t>
      </w:r>
      <w:r w:rsidRPr="00073D04">
        <w:rPr>
          <w:rFonts w:ascii="Lexend" w:hAnsi="Lexend"/>
          <w:b/>
          <w:bCs/>
        </w:rPr>
        <w:t>UNIÃO (FAZENDA NACIONAL)</w:t>
      </w:r>
      <w:r w:rsidRPr="00073D04">
        <w:rPr>
          <w:rFonts w:ascii="Lexend" w:hAnsi="Lexend"/>
        </w:rPr>
        <w:t>, pessoa jurídica de direito público interno, representada pela Procuradoria-Geral da Fazenda Nacional, com endereço na Seção Judiciária competente, pelos fatos e fundamentos a seguir expostos.</w:t>
      </w:r>
    </w:p>
    <w:p w14:paraId="63BDD416" w14:textId="77777777" w:rsidR="00073D04" w:rsidRPr="00AC2829" w:rsidRDefault="00073D04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</w:p>
    <w:p w14:paraId="59E1A0E3" w14:textId="0ACF8521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1</w:t>
      </w:r>
      <w:r w:rsidR="00073D04" w:rsidRPr="00073D04">
        <w:rPr>
          <w:rFonts w:ascii="Lexend" w:hAnsi="Lexend"/>
          <w:b/>
          <w:bCs/>
        </w:rPr>
        <w:t xml:space="preserve"> – DOS FATOS</w:t>
      </w:r>
    </w:p>
    <w:p w14:paraId="58234FEF" w14:textId="77777777" w:rsidR="00073D04" w:rsidRPr="00AC2829" w:rsidRDefault="00073D04" w:rsidP="00073D04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O(A) Autor(a) é médico(a), inscrito(a) no CRM/{{UF_CRM}} sob o nº {{</w:t>
      </w:r>
      <w:proofErr w:type="gramStart"/>
      <w:r w:rsidRPr="00073D04">
        <w:rPr>
          <w:rFonts w:ascii="Lexend" w:hAnsi="Lexend"/>
        </w:rPr>
        <w:t>NUMERO</w:t>
      </w:r>
      <w:proofErr w:type="gramEnd"/>
      <w:r w:rsidRPr="00073D04">
        <w:rPr>
          <w:rFonts w:ascii="Lexend" w:hAnsi="Lexend"/>
        </w:rPr>
        <w:t>_CRM}}, e exerce suas atividades profissionais simultaneamente em múltiplos vínculos, o que resulta em recolhimentos de contribuições previdenciárias que, somados, ultrapassam o teto do Regime Geral de Previdência Social (RGPS).</w:t>
      </w:r>
    </w:p>
    <w:p w14:paraId="770054FE" w14:textId="5281C9B0" w:rsidR="00073D04" w:rsidRPr="00073D04" w:rsidRDefault="00073D04" w:rsidP="00073D04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Conforme se demonstra pelos documentos anexos (contracheques, informes de rendimentos e extrato do CNIS), o(a) Autor(a) mantém os seguintes vínculos:</w:t>
      </w:r>
    </w:p>
    <w:p w14:paraId="62C99C0B" w14:textId="77777777" w:rsidR="00073D04" w:rsidRPr="00073D04" w:rsidRDefault="00073D04" w:rsidP="00073D04">
      <w:pPr>
        <w:numPr>
          <w:ilvl w:val="0"/>
          <w:numId w:val="5"/>
        </w:numPr>
        <w:spacing w:before="120" w:after="120" w:line="360" w:lineRule="auto"/>
        <w:jc w:val="both"/>
        <w:rPr>
          <w:rFonts w:ascii="Lexend" w:hAnsi="Lexend"/>
        </w:rPr>
      </w:pPr>
      <w:r w:rsidRPr="00073D04">
        <w:rPr>
          <w:rFonts w:ascii="Lexend" w:hAnsi="Lexend"/>
          <w:b/>
          <w:bCs/>
        </w:rPr>
        <w:t>Vínculo 1 – Contrato temporário com ente público:</w:t>
      </w:r>
      <w:r w:rsidRPr="00073D04">
        <w:rPr>
          <w:rFonts w:ascii="Lexend" w:hAnsi="Lexend"/>
        </w:rPr>
        <w:t xml:space="preserve"> O(A) Autor(a) mantém vínculo com {{ENTE_PUBLICO_1}}, exercendo a função de {{FUNCAO_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_1}} desde {{DATA_</w:t>
      </w:r>
      <w:proofErr w:type="gramStart"/>
      <w:r w:rsidRPr="00073D04">
        <w:rPr>
          <w:rFonts w:ascii="Lexend" w:hAnsi="Lexend"/>
        </w:rPr>
        <w:t>INICIO</w:t>
      </w:r>
      <w:proofErr w:type="gramEnd"/>
      <w:r w:rsidRPr="00073D04">
        <w:rPr>
          <w:rFonts w:ascii="Lexend" w:hAnsi="Lexend"/>
        </w:rPr>
        <w:t>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_1}}, com remuneração mensal aproximada de R$ {{REMUNERACAO_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_1}}. A contribuição previdenciária é descontada integralmente em folha, aplicando-se as alíquotas progressivas da EC 103/2019.</w:t>
      </w:r>
    </w:p>
    <w:p w14:paraId="6B7430EE" w14:textId="77777777" w:rsidR="00073D04" w:rsidRPr="00073D04" w:rsidRDefault="00073D04" w:rsidP="00073D04">
      <w:pPr>
        <w:numPr>
          <w:ilvl w:val="0"/>
          <w:numId w:val="5"/>
        </w:numPr>
        <w:spacing w:before="120" w:after="120" w:line="360" w:lineRule="auto"/>
        <w:jc w:val="both"/>
        <w:rPr>
          <w:rFonts w:ascii="Lexend" w:hAnsi="Lexend"/>
        </w:rPr>
      </w:pPr>
      <w:r w:rsidRPr="00073D04">
        <w:rPr>
          <w:rFonts w:ascii="Lexend" w:hAnsi="Lexend"/>
          <w:b/>
          <w:bCs/>
        </w:rPr>
        <w:t>Vínculo 2 – Contrato temporário com ente público:</w:t>
      </w:r>
      <w:r w:rsidRPr="00073D04">
        <w:rPr>
          <w:rFonts w:ascii="Lexend" w:hAnsi="Lexend"/>
        </w:rPr>
        <w:t xml:space="preserve"> Concomitantemente, o(a) Autor(a) possui vínculo com {{ENTE_PUBLICO_2}}, na função de {{FUNCAO_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_2}} desde {{DATA_</w:t>
      </w:r>
      <w:proofErr w:type="gramStart"/>
      <w:r w:rsidRPr="00073D04">
        <w:rPr>
          <w:rFonts w:ascii="Lexend" w:hAnsi="Lexend"/>
        </w:rPr>
        <w:t>INICIO</w:t>
      </w:r>
      <w:proofErr w:type="gramEnd"/>
      <w:r w:rsidRPr="00073D04">
        <w:rPr>
          <w:rFonts w:ascii="Lexend" w:hAnsi="Lexend"/>
        </w:rPr>
        <w:t>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_2}}, com remuneração mensal de R$ {{REMUNERACAO_</w:t>
      </w:r>
      <w:proofErr w:type="gramStart"/>
      <w:r w:rsidRPr="00073D04">
        <w:rPr>
          <w:rFonts w:ascii="Lexend" w:hAnsi="Lexend"/>
        </w:rPr>
        <w:t>VINCULO</w:t>
      </w:r>
      <w:proofErr w:type="gramEnd"/>
      <w:r w:rsidRPr="00073D04">
        <w:rPr>
          <w:rFonts w:ascii="Lexend" w:hAnsi="Lexend"/>
        </w:rPr>
        <w:t>_2}}. Neste vínculo, também ocorre o desconto integral da contribuição, sem considerar a remuneração do primeiro.</w:t>
      </w:r>
    </w:p>
    <w:p w14:paraId="6385F99E" w14:textId="77777777" w:rsidR="00073D04" w:rsidRPr="00073D04" w:rsidRDefault="00073D04" w:rsidP="00073D04">
      <w:pPr>
        <w:numPr>
          <w:ilvl w:val="0"/>
          <w:numId w:val="5"/>
        </w:numPr>
        <w:spacing w:before="120" w:after="120" w:line="360" w:lineRule="auto"/>
        <w:jc w:val="both"/>
        <w:rPr>
          <w:rFonts w:ascii="Lexend" w:hAnsi="Lexend"/>
        </w:rPr>
      </w:pPr>
      <w:r w:rsidRPr="00073D04">
        <w:rPr>
          <w:rFonts w:ascii="Lexend" w:hAnsi="Lexend"/>
          <w:b/>
          <w:bCs/>
        </w:rPr>
        <w:t>Vínculo 3 – Cooperativa médica:</w:t>
      </w:r>
      <w:r w:rsidRPr="00073D04">
        <w:rPr>
          <w:rFonts w:ascii="Lexend" w:hAnsi="Lexend"/>
        </w:rPr>
        <w:t xml:space="preserve"> O(A) Autor(a) é cooperado(a) da {{NOME_COOPERATIVA}} (CNPJ nº {{CNPJ_COOPERATIVA}}), auferindo uma distribuição mensal média de R$ </w:t>
      </w:r>
      <w:r w:rsidRPr="00073D04">
        <w:rPr>
          <w:rFonts w:ascii="Lexend" w:hAnsi="Lexend"/>
        </w:rPr>
        <w:lastRenderedPageBreak/>
        <w:t>{{DISTRIBUICAO_COOPERATIVA}}. A cooperativa retém e recolhe 20% a título de contribuição previdenciária, na condição de responsável tributária, sem observar os demais vínculos do(a) Autor(a).</w:t>
      </w:r>
    </w:p>
    <w:p w14:paraId="25C6169D" w14:textId="77777777" w:rsidR="00073D04" w:rsidRPr="00073D04" w:rsidRDefault="00073D04" w:rsidP="00073D04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Em razão da ausência de comunicação entre as fontes pagadoras, cada uma realiza o desconto da contribuição previdenciária de forma isolada, desrespeitando o limite máximo do salário de contribuição. A soma dos valores recolhidos mensalmente excede, portanto, o montante legalmente devido.</w:t>
      </w:r>
    </w:p>
    <w:p w14:paraId="69160E02" w14:textId="77777777" w:rsidR="00926443" w:rsidRPr="00AC2829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A planilha de cálculos anexa (doc. {{NUM_DOC_PLANILHA}}) detalha, mês a mês, no período de {{COMPETENCIA_INICIAL}} a {{COMPETENCIA_FINAL}}, os valores descontados, o valor correto (calculado sobre a remuneração global limitada ao teto) e o excesso a ser restituído.</w:t>
      </w:r>
    </w:p>
    <w:p w14:paraId="2CD53B49" w14:textId="20B20928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O valor total do indébito, em valores históricos, é de </w:t>
      </w:r>
      <w:r w:rsidRPr="00073D04">
        <w:rPr>
          <w:rFonts w:ascii="Lexend" w:hAnsi="Lexend"/>
          <w:b/>
          <w:bCs/>
        </w:rPr>
        <w:t>R$ {{VALOR_TOTAL_HISTORICO}}</w:t>
      </w:r>
      <w:r w:rsidRPr="00073D04">
        <w:rPr>
          <w:rFonts w:ascii="Lexend" w:hAnsi="Lexend"/>
        </w:rPr>
        <w:t xml:space="preserve">. Atualizado pela taxa SELIC até {{DATA_ATUALIZACAO}}, o montante alcança </w:t>
      </w:r>
      <w:r w:rsidRPr="00073D04">
        <w:rPr>
          <w:rFonts w:ascii="Lexend" w:hAnsi="Lexend"/>
          <w:b/>
          <w:bCs/>
        </w:rPr>
        <w:t>R$ {{VALOR_TOTAL_ATUALIZADO}}</w:t>
      </w:r>
      <w:r w:rsidRPr="00073D04">
        <w:rPr>
          <w:rFonts w:ascii="Lexend" w:hAnsi="Lexend"/>
        </w:rPr>
        <w:t>.</w:t>
      </w:r>
    </w:p>
    <w:p w14:paraId="225EF3E1" w14:textId="77777777" w:rsidR="00926443" w:rsidRPr="00AC2829" w:rsidRDefault="00926443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</w:p>
    <w:p w14:paraId="0B50182B" w14:textId="02C5A078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2</w:t>
      </w:r>
      <w:r w:rsidR="00073D04" w:rsidRPr="00073D04">
        <w:rPr>
          <w:rFonts w:ascii="Lexend" w:hAnsi="Lexend"/>
          <w:b/>
          <w:bCs/>
        </w:rPr>
        <w:t xml:space="preserve"> – DO DIREITO</w:t>
      </w:r>
    </w:p>
    <w:p w14:paraId="1ABBE963" w14:textId="192B2F47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2</w:t>
      </w:r>
      <w:r w:rsidR="00073D04" w:rsidRPr="00073D04">
        <w:rPr>
          <w:rFonts w:ascii="Lexend" w:hAnsi="Lexend"/>
          <w:b/>
          <w:bCs/>
        </w:rPr>
        <w:t>.1. Do Limite Máximo do Salário de Contribuição</w:t>
      </w:r>
    </w:p>
    <w:p w14:paraId="35F5448C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A legislação previdenciária é clara ao estabelecer um teto para a base de cálculo das contribuições. O </w:t>
      </w:r>
      <w:r w:rsidRPr="00073D04">
        <w:rPr>
          <w:rFonts w:ascii="Lexend" w:hAnsi="Lexend"/>
          <w:b/>
          <w:bCs/>
        </w:rPr>
        <w:t>artigo 28, §5º, da Lei nº 8.212/91</w:t>
      </w:r>
      <w:r w:rsidRPr="00073D04">
        <w:rPr>
          <w:rFonts w:ascii="Lexend" w:hAnsi="Lexend"/>
        </w:rPr>
        <w:t xml:space="preserve"> determina que, no caso de atividades concomitantes, o salário de contribuição do segurado corresponde à soma das remunerações, </w:t>
      </w:r>
      <w:r w:rsidRPr="00073D04">
        <w:rPr>
          <w:rFonts w:ascii="Lexend" w:hAnsi="Lexend"/>
          <w:b/>
          <w:bCs/>
        </w:rPr>
        <w:t>observado o limite máximo</w:t>
      </w:r>
      <w:r w:rsidRPr="00073D04">
        <w:rPr>
          <w:rFonts w:ascii="Lexend" w:hAnsi="Lexend"/>
        </w:rPr>
        <w:t>.</w:t>
      </w:r>
    </w:p>
    <w:p w14:paraId="1D537093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Qualquer valor recolhido que exceda a contribuição calculada sobre o teto do RGPS constitui pagamento indevido e, portanto, um indébito tributário que deve ser restituído, sob pena de enriquecimento ilícito da União.</w:t>
      </w:r>
    </w:p>
    <w:p w14:paraId="25127658" w14:textId="7A1902E7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2</w:t>
      </w:r>
      <w:r w:rsidR="00073D04" w:rsidRPr="00073D04">
        <w:rPr>
          <w:rFonts w:ascii="Lexend" w:hAnsi="Lexend"/>
          <w:b/>
          <w:bCs/>
        </w:rPr>
        <w:t>.2. Do Direito à Repetição do Indébito e da Desnecessidade de Requerimento Administrativo</w:t>
      </w:r>
    </w:p>
    <w:p w14:paraId="5052D79F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O direito à restituição está amparado no </w:t>
      </w:r>
      <w:r w:rsidRPr="00073D04">
        <w:rPr>
          <w:rFonts w:ascii="Lexend" w:hAnsi="Lexend"/>
          <w:b/>
          <w:bCs/>
        </w:rPr>
        <w:t>artigo 165, I, do CTN</w:t>
      </w:r>
      <w:r w:rsidRPr="00073D04">
        <w:rPr>
          <w:rFonts w:ascii="Lexend" w:hAnsi="Lexend"/>
        </w:rPr>
        <w:t xml:space="preserve">, que assegura ao sujeito passivo a devolução de tributo pago indevidamente. A Lei </w:t>
      </w:r>
      <w:r w:rsidRPr="00073D04">
        <w:rPr>
          <w:rFonts w:ascii="Lexend" w:hAnsi="Lexend"/>
        </w:rPr>
        <w:lastRenderedPageBreak/>
        <w:t>nº 8.212/91, em seu artigo 89, reforça essa garantia para as contribuições sociais.</w:t>
      </w:r>
    </w:p>
    <w:p w14:paraId="1526DDCF" w14:textId="77777777" w:rsidR="00073D04" w:rsidRPr="00073D04" w:rsidRDefault="00073D04" w:rsidP="00073D04">
      <w:pPr>
        <w:spacing w:before="120" w:after="120" w:line="360" w:lineRule="auto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Ademais, a jurisprudência é pacífica quanto à desnecessidade de prévio requerimento administrativo para ajuizar a ação de repetição de indébito, conforme entendimento do </w:t>
      </w:r>
      <w:r w:rsidRPr="00073D04">
        <w:rPr>
          <w:rFonts w:ascii="Lexend" w:hAnsi="Lexend"/>
          <w:b/>
          <w:bCs/>
        </w:rPr>
        <w:t>TRF-3 (</w:t>
      </w:r>
      <w:proofErr w:type="spellStart"/>
      <w:r w:rsidRPr="00073D04">
        <w:rPr>
          <w:rFonts w:ascii="Lexend" w:hAnsi="Lexend"/>
          <w:b/>
          <w:bCs/>
        </w:rPr>
        <w:t>RecInoCiv</w:t>
      </w:r>
      <w:proofErr w:type="spellEnd"/>
      <w:r w:rsidRPr="00073D04">
        <w:rPr>
          <w:rFonts w:ascii="Lexend" w:hAnsi="Lexend"/>
          <w:b/>
          <w:bCs/>
        </w:rPr>
        <w:t xml:space="preserve"> 5011819-49.2023.4.03.6327)</w:t>
      </w:r>
      <w:r w:rsidRPr="00073D04">
        <w:rPr>
          <w:rFonts w:ascii="Lexend" w:hAnsi="Lexend"/>
        </w:rPr>
        <w:t>, o que garante o pleno acesso à justiça.</w:t>
      </w:r>
    </w:p>
    <w:p w14:paraId="0F180905" w14:textId="21635322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2</w:t>
      </w:r>
      <w:r w:rsidR="00073D04" w:rsidRPr="00073D04">
        <w:rPr>
          <w:rFonts w:ascii="Lexend" w:hAnsi="Lexend"/>
          <w:b/>
          <w:bCs/>
        </w:rPr>
        <w:t>.3. Da Legitimidade Ativa do Segurado e Passiva da União</w:t>
      </w:r>
    </w:p>
    <w:p w14:paraId="281ECED9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A legitimidade para pleitear a restituição é </w:t>
      </w:r>
      <w:r w:rsidRPr="00073D04">
        <w:rPr>
          <w:rFonts w:ascii="Lexend" w:hAnsi="Lexend"/>
          <w:b/>
          <w:bCs/>
        </w:rPr>
        <w:t>exclusiva do segurado</w:t>
      </w:r>
      <w:r w:rsidRPr="00073D04">
        <w:rPr>
          <w:rFonts w:ascii="Lexend" w:hAnsi="Lexend"/>
        </w:rPr>
        <w:t xml:space="preserve">, pois é ele quem suporta o ônus financeiro do desconto em sua remuneração. As fontes pagadoras atuam apenas como responsáveis tributárias pela retenção e repasse. O </w:t>
      </w:r>
      <w:r w:rsidRPr="00073D04">
        <w:rPr>
          <w:rFonts w:ascii="Lexend" w:hAnsi="Lexend"/>
          <w:b/>
          <w:bCs/>
        </w:rPr>
        <w:t>TRF-3</w:t>
      </w:r>
      <w:r w:rsidRPr="00073D04">
        <w:rPr>
          <w:rFonts w:ascii="Lexend" w:hAnsi="Lexend"/>
        </w:rPr>
        <w:t xml:space="preserve">, na </w:t>
      </w:r>
      <w:r w:rsidRPr="00073D04">
        <w:rPr>
          <w:rFonts w:ascii="Lexend" w:hAnsi="Lexend"/>
          <w:b/>
          <w:bCs/>
        </w:rPr>
        <w:t>Apelação Cível 0002174-35.2010.4.03.6103</w:t>
      </w:r>
      <w:r w:rsidRPr="00073D04">
        <w:rPr>
          <w:rFonts w:ascii="Lexend" w:hAnsi="Lexend"/>
        </w:rPr>
        <w:t>, já reconheceu expressamente a legitimidade ativa do segurado.</w:t>
      </w:r>
    </w:p>
    <w:p w14:paraId="40F21FFE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Desde a edição da Lei nº 11.457/2007, a administração das contribuições previdenciárias foi unificada na Receita Federal do Brasil, cabendo à </w:t>
      </w:r>
      <w:r w:rsidRPr="00073D04">
        <w:rPr>
          <w:rFonts w:ascii="Lexend" w:hAnsi="Lexend"/>
          <w:b/>
          <w:bCs/>
        </w:rPr>
        <w:t>União (Fazenda Nacional)</w:t>
      </w:r>
      <w:r w:rsidRPr="00073D04">
        <w:rPr>
          <w:rFonts w:ascii="Lexend" w:hAnsi="Lexend"/>
        </w:rPr>
        <w:t xml:space="preserve"> figurar no polo passivo da demanda, sendo o INSS parte ilegítima para a causa.</w:t>
      </w:r>
    </w:p>
    <w:p w14:paraId="23C21FDA" w14:textId="2D80DC2E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2</w:t>
      </w:r>
      <w:r w:rsidR="00073D04" w:rsidRPr="00073D04">
        <w:rPr>
          <w:rFonts w:ascii="Lexend" w:hAnsi="Lexend"/>
          <w:b/>
          <w:bCs/>
        </w:rPr>
        <w:t>.4. Da Atualização Monetária pela Taxa SELIC</w:t>
      </w:r>
    </w:p>
    <w:p w14:paraId="694CBA18" w14:textId="77777777" w:rsidR="00073D04" w:rsidRPr="00073D04" w:rsidRDefault="00073D04" w:rsidP="00926443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Os valores a serem restituídos devem ser corrigidos pela </w:t>
      </w:r>
      <w:r w:rsidRPr="00073D04">
        <w:rPr>
          <w:rFonts w:ascii="Lexend" w:hAnsi="Lexend"/>
          <w:b/>
          <w:bCs/>
        </w:rPr>
        <w:t>taxa SELIC</w:t>
      </w:r>
      <w:r w:rsidRPr="00073D04">
        <w:rPr>
          <w:rFonts w:ascii="Lexend" w:hAnsi="Lexend"/>
        </w:rPr>
        <w:t xml:space="preserve">, acumulada mensalmente, a partir do mês seguinte ao do pagamento indevido, conforme o </w:t>
      </w:r>
      <w:r w:rsidRPr="00073D04">
        <w:rPr>
          <w:rFonts w:ascii="Lexend" w:hAnsi="Lexend"/>
          <w:b/>
          <w:bCs/>
        </w:rPr>
        <w:t>artigo 39, §4º, da Lei nº 9.250/95</w:t>
      </w:r>
      <w:r w:rsidRPr="00073D04">
        <w:rPr>
          <w:rFonts w:ascii="Lexend" w:hAnsi="Lexend"/>
        </w:rPr>
        <w:t xml:space="preserve"> e a jurisprudência consolidada do Superior Tribunal de Justiça (STJ).</w:t>
      </w:r>
    </w:p>
    <w:p w14:paraId="15036D76" w14:textId="77777777" w:rsidR="00926443" w:rsidRPr="00AC2829" w:rsidRDefault="00926443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</w:p>
    <w:p w14:paraId="3F8C2AFF" w14:textId="5FC758A5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3</w:t>
      </w:r>
      <w:r w:rsidR="00073D04" w:rsidRPr="00073D04">
        <w:rPr>
          <w:rFonts w:ascii="Lexend" w:hAnsi="Lexend"/>
          <w:b/>
          <w:bCs/>
        </w:rPr>
        <w:t xml:space="preserve"> – DA JURISPRUDÊNCIA CONSOLIDADA</w:t>
      </w:r>
    </w:p>
    <w:p w14:paraId="4B160364" w14:textId="77777777" w:rsidR="008B0C72" w:rsidRPr="008B0C72" w:rsidRDefault="008B0C72" w:rsidP="008B0C7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8B0C72">
        <w:rPr>
          <w:rFonts w:ascii="Lexend" w:hAnsi="Lexend"/>
        </w:rPr>
        <w:t>O direito à restituição das contribuições previdenciárias recolhidas acima do teto é matéria pacificada nos tribunais pátrios. A jurisprudência reconhece de forma unânime o direito do segurado à devolução do excedente. Passa-se a transcrever os precedentes mais relevantes.</w:t>
      </w:r>
    </w:p>
    <w:p w14:paraId="0A395C5A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 xml:space="preserve">TRF-3 — </w:t>
      </w:r>
      <w:proofErr w:type="spellStart"/>
      <w:r w:rsidRPr="008B0C72">
        <w:rPr>
          <w:rFonts w:ascii="Lexend" w:hAnsi="Lexend"/>
          <w:b/>
          <w:bCs/>
        </w:rPr>
        <w:t>RecInoCiv</w:t>
      </w:r>
      <w:proofErr w:type="spellEnd"/>
      <w:r w:rsidRPr="008B0C72">
        <w:rPr>
          <w:rFonts w:ascii="Lexend" w:hAnsi="Lexend"/>
          <w:b/>
          <w:bCs/>
        </w:rPr>
        <w:t xml:space="preserve"> 5011819-49.2023.4.03.6327 — Publicado em 02/10/2025</w:t>
      </w:r>
    </w:p>
    <w:p w14:paraId="5598ADA1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lastRenderedPageBreak/>
        <w:t>TRIBUTÁRIO. RECURSO INOMINADO. CONTRIBUIÇÕES PREVIDENCIÁRIAS. EXERCÍCIO CONCOMITANTE DE ATIVIDADES REMUNERADAS. RECOLHIMENTO SUPERIOR AO TETO DO SALÁRIO-DE-CONTRIBUIÇÃO. ART. 28, § 5º, DA LEI Nº 8.212/1991. DIREITO À REPETIÇÃO DE INDÉBITO. DESNECESSIDADE DE PRÉVIO REQUERIMENTO ADMINISTRATIVO (TEMA 1.373/STF). PRESCRIÇÃO QUINQUENAL. HONORÁRIOS. RECURSO DA FAZENDA NACIONAL DESPROVIDO.</w:t>
      </w:r>
    </w:p>
    <w:p w14:paraId="5D49D786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I. CASO CONCRETO</w:t>
      </w:r>
    </w:p>
    <w:p w14:paraId="74DE07F1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Recurso inominado interposto pela Fazenda Nacional contra sentença que reconheceu o direito da parte autora à restituição das contribuições previdenciárias recolhidas acima do teto do salário-de-contribuição, em razão do exercício de atividades concomitantes.</w:t>
      </w:r>
    </w:p>
    <w:p w14:paraId="04E3A7B5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II. QUESTÕES JURÍDICAS</w:t>
      </w:r>
    </w:p>
    <w:p w14:paraId="2CA587A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Prescrição quinquenal (art. 168, I, do CTN). Necessidade (ou não) de prévio requerimento administrativo para pleitear a repetição. Direito à restituição de valores recolhidos a maior, em virtude da soma de remunerações que ultrapassam o limite máximo de contribuição. Cabimento (ou não) de restituição em dobro.</w:t>
      </w:r>
    </w:p>
    <w:p w14:paraId="65529ECF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III. FUNDAMENTAÇÃO</w:t>
      </w:r>
    </w:p>
    <w:p w14:paraId="2DA3566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 xml:space="preserve">Conforme art. 165, I, do CTN, o sujeito passivo tem direito à restituição de tributo pago indevidamente. As contribuições previdenciárias incidem até o limite máximo do salário-de-contribuição (art. 28, § 5º, da Lei nº 8.212/1991). Havendo recolhimento acima desse teto, é devido o ressarcimento. O STF, no Tema 1.373, firmou que não há exigência de prévio requerimento administrativo para ajuizamento da demanda, especialmente quando os dados estão em sistemas públicos sob gestão da própria ré. A TNU, no Tema 167, alinhada ao STJ (Tema 1070), consolidou entendimento de que o salário-de-contribuição abrange a totalidade das remunerações do </w:t>
      </w:r>
      <w:r w:rsidRPr="008B0C72">
        <w:rPr>
          <w:rFonts w:ascii="Lexend" w:hAnsi="Lexend"/>
        </w:rPr>
        <w:lastRenderedPageBreak/>
        <w:t>segurado, sendo vedado ultrapassar o teto, com restituição do excedente. Correta a sentença ao reconhecer o direito à restituição, limitada ao quinquênio anterior ao ajuizamento da ação (art. 168 do CTN c/c LC nº 118/2005). Inviável a restituição em dobro, ausente comprovação de má-fé da Fazenda Nacional, nos termos da jurisprudência consolidada.</w:t>
      </w:r>
    </w:p>
    <w:p w14:paraId="6E37444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IV. DISPOSITIVO E TESE</w:t>
      </w:r>
    </w:p>
    <w:p w14:paraId="59441A5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Recurso da Fazenda Nacional desprovido. Sentença mantida. Tese de julgamento: O segurado que exerce atividades concomitantes, recolhendo contribuições previdenciárias acima do teto do salário-de-contribuição, tem direito à restituição do excedente, nos termos do art. 28, § 5º, da Lei nº 8.212/1991, art. 165 do CTN e da jurisprudência consolidada (Tema 1070/STJ; Tema 167/TNU). É desnecessário prévio requerimento administrativo (Tema 1.373/STF). A restituição limita-se ao quinquênio anterior ao ajuizamento da ação, com atualização pela taxa SELIC, afastada a devolução em dobro por ausência de má-fé.</w:t>
      </w:r>
    </w:p>
    <w:p w14:paraId="24B413EA" w14:textId="77777777" w:rsidR="008B0C72" w:rsidRPr="008B0C72" w:rsidRDefault="008B0C72" w:rsidP="008B0C72">
      <w:pPr>
        <w:spacing w:before="120" w:after="120" w:line="360" w:lineRule="auto"/>
        <w:jc w:val="both"/>
        <w:rPr>
          <w:rFonts w:ascii="Lexend" w:hAnsi="Lexend"/>
        </w:rPr>
      </w:pPr>
    </w:p>
    <w:p w14:paraId="2B6CBF57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TRF-5 — Remessa Necessária Cível 0816441-12.2019.4.05.8300 — Publicado em 01/12/2021</w:t>
      </w:r>
    </w:p>
    <w:p w14:paraId="05F54374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TRIBUTÁRIO. CONTRIBUIÇÃO PREVIDENCIÁRIA. CONTRIBUINTE INDIVIDUAL. PLURALIDADE DE VÍNCULOS EMPREGATÍCIOS. LIMITE MÁXIMO. RECOLHIMENTO A MAIOR. REPETIÇÃO DO INDÉBITO. CABIMENTO.</w:t>
      </w:r>
    </w:p>
    <w:p w14:paraId="2D295A43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 xml:space="preserve">1. Trata-se de remessa necessária contra sentença proferida pelo Juízo da 12ª Vara Federal da SJ/PE, que julgou procedente o pedido condenando a União (Fazenda Nacional) a restituir à autora os valores das contribuições previdenciárias recolhidas a maior, tendo em vista o teto máximo do salário de contribuição vigente à época, respeitada a prescrição quinquenal, nos termos do artigo 168, I, do CTN, devendo ser deduzido de tal montante os valores devidos pela </w:t>
      </w:r>
      <w:r w:rsidRPr="008B0C72">
        <w:rPr>
          <w:rFonts w:ascii="Lexend" w:hAnsi="Lexend"/>
        </w:rPr>
        <w:lastRenderedPageBreak/>
        <w:t>contribuinte a título de imposto de renda em decorrência das alterações das informações lançadas na DIRPF, com a incidência da taxa Selic, a partir do pagamento indevido.</w:t>
      </w:r>
    </w:p>
    <w:p w14:paraId="26787AC2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2. O fato de a parte autora não ter requerido a repetição do indébito administrativamente não deve configurar carência de ação por falta de interesse de agir, em observância ao princípio da inafastabilidade da jurisdição.</w:t>
      </w:r>
    </w:p>
    <w:p w14:paraId="770A23B7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3. Mérito. A incidência da contribuição previdenciária sobre o total das remunerações recebidas, em decorrência de exercício simultâneo de diversas atividades remuneradas com vínculo empregatício, deve se limitar ao teto do salário-de-contribuição, cabendo a restituição do valor que foi descontado acima desse parâmetro.</w:t>
      </w:r>
    </w:p>
    <w:p w14:paraId="5B090902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4. No caso, a parte autora exercia, simultaneamente, diversas atividades médicas, auferindo remuneração em cada uma delas, em valores acima do teto máximo do salário-de-contribuição vigente à época, com incidência da contribuição previdenciária, separadamente, sobre cada uma das remunerações.</w:t>
      </w:r>
    </w:p>
    <w:p w14:paraId="04AB705D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5. Desse modo, constatada que a arrecadação total ultrapassou o teto máximo do salário-de-contribuição da Previdência Social, impõe-se o reconhecimento do direito à restituição dos valores descontados acima desse parâmetro, nos termos do art. 28, III, da Lei nº 8.212/91.</w:t>
      </w:r>
    </w:p>
    <w:p w14:paraId="40026312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6. Não há qualquer reparo a fazer na sentença, que está em consonância com entendimento firmado por esta Corte. 7. Remessa necessária improvida.</w:t>
      </w:r>
    </w:p>
    <w:p w14:paraId="369F87BA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</w:p>
    <w:p w14:paraId="2126AA69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TRF-4 — Apelação Cível 5006447-33.2021.4.04.7016/PR — Publicado em 07/11/2025</w:t>
      </w:r>
    </w:p>
    <w:p w14:paraId="63644EB1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 xml:space="preserve">DIREITO PREVIDENCIÁRIO E TRIBUTÁRIO. APELAÇÃO CÍVEL. CONTRIBUIÇÕES PREVIDENCIÁRIAS ACIMA DO TETO. </w:t>
      </w:r>
      <w:r w:rsidRPr="008B0C72">
        <w:rPr>
          <w:rFonts w:ascii="Lexend" w:hAnsi="Lexend"/>
          <w:b/>
          <w:bCs/>
        </w:rPr>
        <w:lastRenderedPageBreak/>
        <w:t>REPETIÇÃO DE INDÉBITO. INTERESSE PROCESSUAL. PROVIMENTO DO RECURSO.</w:t>
      </w:r>
    </w:p>
    <w:p w14:paraId="1A2BC042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1. O interesse processual é reconhecido, mesmo sem prévio pedido administrativo, pois, em casos de repetição de indébito de contribuições previdenciárias recolhidas acima do teto por segurado com múltiplos vínculos, há evidente pagamento indevido.</w:t>
      </w:r>
    </w:p>
    <w:p w14:paraId="1B7B634B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2. O pedido de repetição do indébito é julgado procedente, pois a Lei nº 8.212/1991, art. 28, § 5º, estabelece um teto para o salário de contribuição, e o recolhimento de valores acima desse limite, mesmo com múltiplos vínculos, impõe a restituição do excedente, conforme o art. 165, inc. I, do CTN, respeitada a prescrição quinquenal do art. 168, inc. I, do CTN.</w:t>
      </w:r>
    </w:p>
    <w:p w14:paraId="679CFA60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3. A atualização monetária e os juros de mora deverão ser calculados pela Taxa Selic, conforme o art. 89, § 4º, da Lei nº 8.212/1991.</w:t>
      </w:r>
    </w:p>
    <w:p w14:paraId="0C3E35AE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4. A União não é condenada nos encargos de sucumbência, em observância ao princípio da causalidade, uma vez que o ônus de comunicar aos empregadores a remuneração até o limite máximo do salário de contribuição, para evitar o recolhimento em excesso, é do segurado com múltiplos vínculos, e não há prova de que o autor tenha cumprido essa obrigação.</w:t>
      </w:r>
    </w:p>
    <w:p w14:paraId="499E10E7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</w:p>
    <w:p w14:paraId="4FFB4CB4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TRF-4 — Recurso Cível 5001496-26.2021.4.04.7200/SC — Publicado em 24/02/2022</w:t>
      </w:r>
    </w:p>
    <w:p w14:paraId="76BA669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DIREITO PROCESSUAL CIVIL. INTERESSE DE AGIR. REPETIÇÃO DE INDÉBITO TRIBUTÁRIO. PRESUNÇÃO. CONTRIBUIÇÃO PREVIDENCIÁRIA. ATIVIDADE CONCOMITANTE. RECOLHIMENTO ACIMA DO TETO DO RGPS. REPETIÇÃO. PRECEDENTE DO TRIBUNAL REGIONAL FEDERAL DA 4ª REGIÃO.</w:t>
      </w:r>
    </w:p>
    <w:p w14:paraId="67FF6AFA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lastRenderedPageBreak/>
        <w:t>1. É presumida a existência de pretensão resistida na repetição de indébito tributário, frente à notória dificuldade encontrada pelos contribuintes no atendimento administrativo de suas demandas.</w:t>
      </w:r>
    </w:p>
    <w:p w14:paraId="4CB7DFD9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2. "TRIBUTÁRIO. AÇÃO ORDINÁRIA. RESTITUIÇÃO DE VALORES RECOLHIDOS ACIMA DO TETO. CONTRIBUIÇÃO PREVIDENCIÁRIA. PRESCRIÇÃO QUINQUENAL. (...). 2. Segundo entendimento do TRF da 4ª Região, 'comprovado o recolhimento acima do teto estabelecido, devem os valores excedentes ser devolvidos ao segurado, devidamente corrigidos monetariamente, sob pena de enriquecimento ilícito do ente previdenciário'." (TRF4, APELREEX 5003205-44.2013.404.7211, PRIMEIRA TURMA, Relatora MARIA DE FÁTIMA FREITAS LABARRÈRE, juntado aos autos em 22/05/2015).</w:t>
      </w:r>
    </w:p>
    <w:p w14:paraId="4513584E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3. Parcial provimento do recurso da parte autora para condenar a União a repetir o indébito tributário, referente às contribuições previdenciárias recolhidas acima do teto do Regime Geral da Previdência Social, atualizado pela Selic, desde o pagamento indevido, respeitada a prescrição quinquenal.</w:t>
      </w:r>
    </w:p>
    <w:p w14:paraId="122F8553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</w:p>
    <w:p w14:paraId="441A8496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TRF-3 — Apelação Cível 0002174-35.2010.4.03.6103 — Publicado em 29/09/2020</w:t>
      </w:r>
    </w:p>
    <w:p w14:paraId="485D5A9D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TRIBUTÁRIO. CONTRIBUIÇÃO PREVIDENCIÁRIA. SALÁRIO-DE-CONTRIBUIÇÃO. RECOLHIMENTO ACIMA DO TETO. RESTITUIÇÃO. RECURSOS NÃO PROVIDOS.</w:t>
      </w:r>
    </w:p>
    <w:p w14:paraId="406A16FF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1. Comprovado o recolhimento de contribuição previdenciária acima do teto do salário-de-contribuição, devem os valores excedentes ser restituídos ao segurado, devidamente corrigidos monetariamente pela Taxa SELIC.</w:t>
      </w:r>
    </w:p>
    <w:p w14:paraId="410105EF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 xml:space="preserve">2. No caso, autor comprovou (mediante extratos do CNIS) que, na condição de segurado obrigatório possuía diversos vínculos empregatícios simultâneos, sendo efetuado recolhimento de contribuição previdenciária sobre valores superiores ao limite legal </w:t>
      </w:r>
      <w:r w:rsidRPr="008B0C72">
        <w:rPr>
          <w:rFonts w:ascii="Lexend" w:hAnsi="Lexend"/>
        </w:rPr>
        <w:lastRenderedPageBreak/>
        <w:t>do salário de contribuição, situação confirmada em declarações emitidas pelos empregadores.</w:t>
      </w:r>
    </w:p>
    <w:p w14:paraId="5F4D7EB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3. Apelação e Remessa Necessária não providas.</w:t>
      </w:r>
    </w:p>
    <w:p w14:paraId="3B03D521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</w:p>
    <w:p w14:paraId="1D141CDF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TRF-4 — Remessa Necessária Cível 5005025-68.2021.4.04.7001/PR — Publicado em 20/06/2023</w:t>
      </w:r>
    </w:p>
    <w:p w14:paraId="27A44E3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TRIBUTÁRIO. AÇÃO DE PROCEDIMENTO COMUM. CONTRIBUIÇÕES PREVIDENCIÁRIAS. ATIVIDADES CONCOMITANTES. RECOLHIMENTOS ACIMA DO TETO DO RGPS. RESTITUIÇÃO.</w:t>
      </w:r>
    </w:p>
    <w:p w14:paraId="655A289D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A Lei n.º 8.212/91 estabelece teto de contribuição, face às limitações do sistema previdenciário, o qual prevê um valor máximo para pagamento dos benefícios por ele mantidos. Havendo recolhimento de contribuição previdenciária acima do teto estabelecido nos termos do art. 28, § 5º da Lei nº 8.212/91, impõe-se a restituição do excedente.</w:t>
      </w:r>
    </w:p>
    <w:p w14:paraId="4ED5008D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</w:p>
    <w:p w14:paraId="5C83022E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STJ — Recurso Especial 1870891/PR (Tema 1.070) — Publicado em 23/05/2022</w:t>
      </w:r>
    </w:p>
    <w:p w14:paraId="28F77A33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  <w:b/>
          <w:bCs/>
        </w:rPr>
        <w:t>PREVIDENCIÁRIO. RECURSO ESPECIAL REPRESENTATIVO DA CONTROVÉRSIA. TEMA 1.070. APOSENTADORIA NO RGPS. EXERCÍCIO DE ATIVIDADES CONCOMITANTES. CÁLCULO DO SALÁRIO-DE-BENEFÍCIO. SOMA DE TODOS OS SALÁRIOS-DE-CONTRIBUIÇÃO VERTIDOS PELO SEGURADO EM SUAS SIMULTÂNEAS ATIVIDADES. POSSIBILIDADE. EXEGESE DA LEI N. 9.876/99. INAPLICABILIDADE DOS INCISOS DO ART. 32 DA LEI 8.213/91 EM SUA REDAÇÃO ORIGINAL.</w:t>
      </w:r>
    </w:p>
    <w:p w14:paraId="3917C80D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 xml:space="preserve">1. Segundo a redação original dos incisos I, II e III do art. 32 da Lei 8.213/91, que tratavam do cálculo dos benefícios previdenciários devidos no caso de atividades concomitantes, a soma integral dos </w:t>
      </w:r>
      <w:r w:rsidRPr="008B0C72">
        <w:rPr>
          <w:rFonts w:ascii="Lexend" w:hAnsi="Lexend"/>
        </w:rPr>
        <w:lastRenderedPageBreak/>
        <w:t>salários-de-contribuição, para fins de apuração do salário-de-benefício, somente seria possível nas hipóteses em que o segurado reunisse todas as condições para a individual concessão do benefício em cada uma das atividades por ele exercida.</w:t>
      </w:r>
    </w:p>
    <w:p w14:paraId="6062662C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2. O espírito do referido art. 32 da Lei 8.213/91, mormente no que tocava ao disposto em seus incisos II e III, era o de impedir que, às vésperas de implementar os requisitos necessários à obtenção do benefício, viesse o segurado a exercer uma segunda e simultânea atividade laborativa para fins de obter uma renda mensal inicial mais vantajosa, já que seriam considerados os últimos salários-de-contribuição no cômputo de seu salário-de-benefício.</w:t>
      </w:r>
    </w:p>
    <w:p w14:paraId="39F6A2D1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3. No entanto, a subsequente Lei 9.876/99 alterou a metodologia do cálculo dos benefícios e passou a considerar todo o histórico contributivo do segurado, com a ampliação do período básico de cálculo; a renda mensal inicial, com isso, veio a refletir, de forma mais fiel, a contrapartida financeira por ele suportada ao longo de sua vida produtiva, além de melhor atender ao caráter retributivo do Regime Geral da Previdência Social.</w:t>
      </w:r>
    </w:p>
    <w:p w14:paraId="45D0F6EE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4. A substancial ampliação do período básico de cálculo - PBC, como promovida pela Lei 9.876/99, possibilitou a compreensão de que, respeitado o teto previdenciário, as contribuições vertidas no exercício de atividades concomitantes podem, sim, ser somadas para se estabelecer o efetivo e correto salário-de-benefício, não mais existindo espaço para aplicação dos incisos do art. 32 da Lei 8.213/91, garantindo-se, com isso, o pagamento de benefício que melhor retrate o histórico contributivo do segurado.</w:t>
      </w:r>
    </w:p>
    <w:p w14:paraId="7C9DDB7A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 xml:space="preserve">5. Acórdão submetido ao regime dos arts. 1.036 e seguintes do CPC/2015 e art. 256-I do RISTJ, com a fixação da seguinte TESE: "Após o advento da Lei 9.876/99, e para fins de cálculo do benefício de aposentadoria, no caso do exercício de atividades concomitantes pelo segurado, o salário-de-contribuição deverá ser composto da </w:t>
      </w:r>
      <w:r w:rsidRPr="008B0C72">
        <w:rPr>
          <w:rFonts w:ascii="Lexend" w:hAnsi="Lexend"/>
        </w:rPr>
        <w:lastRenderedPageBreak/>
        <w:t>soma de todas as contribuições previdenciárias por ele vertidas ao sistema, respeitado o teto previdenciário".</w:t>
      </w:r>
    </w:p>
    <w:p w14:paraId="4EF9E16A" w14:textId="77777777" w:rsidR="008B0C72" w:rsidRPr="008B0C72" w:rsidRDefault="008B0C72" w:rsidP="008B0C72">
      <w:pPr>
        <w:spacing w:before="120" w:after="120" w:line="360" w:lineRule="auto"/>
        <w:ind w:left="1134"/>
        <w:jc w:val="both"/>
        <w:rPr>
          <w:rFonts w:ascii="Lexend" w:hAnsi="Lexend"/>
        </w:rPr>
      </w:pPr>
      <w:r w:rsidRPr="008B0C72">
        <w:rPr>
          <w:rFonts w:ascii="Lexend" w:hAnsi="Lexend"/>
        </w:rPr>
        <w:t>6. SOLUÇÃO DO CASO CONCRETO: hipótese em que a pretensão do INSS vai na contramão do enunciado acima, por isso que seu recurso especial resulta desprovido.</w:t>
      </w:r>
    </w:p>
    <w:p w14:paraId="7CC8B101" w14:textId="77777777" w:rsidR="00860D9A" w:rsidRPr="00AC2829" w:rsidRDefault="00860D9A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</w:p>
    <w:p w14:paraId="67575C3A" w14:textId="06E0E130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 xml:space="preserve">4 </w:t>
      </w:r>
      <w:r w:rsidR="00073D04" w:rsidRPr="00073D04">
        <w:rPr>
          <w:rFonts w:ascii="Lexend" w:hAnsi="Lexend"/>
          <w:b/>
          <w:bCs/>
        </w:rPr>
        <w:t>– DO VALOR DA CAUSA E DA COMPETÊNCIA</w:t>
      </w:r>
    </w:p>
    <w:p w14:paraId="1D79FC28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Atribui-se à causa o valor de </w:t>
      </w:r>
      <w:r w:rsidRPr="00073D04">
        <w:rPr>
          <w:rFonts w:ascii="Lexend" w:hAnsi="Lexend"/>
          <w:b/>
          <w:bCs/>
        </w:rPr>
        <w:t>R$ {{VALOR_DA_CAUSA}} ({{VALOR_DA_CAUSA_EXTENSO}})</w:t>
      </w:r>
      <w:r w:rsidRPr="00073D04">
        <w:rPr>
          <w:rFonts w:ascii="Lexend" w:hAnsi="Lexend"/>
        </w:rPr>
        <w:t>, correspondente ao total do indébito atualizado pela taxa SELIC até a data do ajuizamento.</w:t>
      </w:r>
    </w:p>
    <w:p w14:paraId="6BCB5143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Considerando que o valor da causa {{COMPETENCIA_JEF_OU_FEDERAL}}, a ação deve tramitar perante {{ORGAO_JURISDICIONAL_COMPETENTE}}.</w:t>
      </w:r>
    </w:p>
    <w:p w14:paraId="516A0950" w14:textId="77777777" w:rsidR="00506562" w:rsidRPr="00AC2829" w:rsidRDefault="00506562" w:rsidP="00073D04">
      <w:pPr>
        <w:spacing w:before="120" w:after="120" w:line="360" w:lineRule="auto"/>
        <w:jc w:val="both"/>
        <w:rPr>
          <w:rFonts w:ascii="Lexend" w:hAnsi="Lexend"/>
          <w:b/>
          <w:bCs/>
        </w:rPr>
      </w:pPr>
    </w:p>
    <w:p w14:paraId="71F96329" w14:textId="3336E56D" w:rsidR="00073D04" w:rsidRPr="00073D04" w:rsidRDefault="00506562" w:rsidP="00073D04">
      <w:pPr>
        <w:spacing w:before="120" w:after="120" w:line="360" w:lineRule="auto"/>
        <w:jc w:val="both"/>
        <w:rPr>
          <w:rFonts w:ascii="Lexend" w:hAnsi="Lexend"/>
        </w:rPr>
      </w:pPr>
      <w:r w:rsidRPr="00AC2829">
        <w:rPr>
          <w:rFonts w:ascii="Lexend" w:hAnsi="Lexend"/>
          <w:b/>
          <w:bCs/>
        </w:rPr>
        <w:t>5</w:t>
      </w:r>
      <w:r w:rsidR="00073D04" w:rsidRPr="00073D04">
        <w:rPr>
          <w:rFonts w:ascii="Lexend" w:hAnsi="Lexend"/>
          <w:b/>
          <w:bCs/>
        </w:rPr>
        <w:t xml:space="preserve"> – DOS PEDIDOS</w:t>
      </w:r>
    </w:p>
    <w:p w14:paraId="075E046C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>Diante do exposto, requer-se a Vossa Excelência:</w:t>
      </w:r>
    </w:p>
    <w:p w14:paraId="3CDC65B2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a) a </w:t>
      </w:r>
      <w:r w:rsidRPr="00073D04">
        <w:rPr>
          <w:rFonts w:ascii="Lexend" w:hAnsi="Lexend"/>
          <w:b/>
          <w:bCs/>
        </w:rPr>
        <w:t>citação</w:t>
      </w:r>
      <w:r w:rsidRPr="00073D04">
        <w:rPr>
          <w:rFonts w:ascii="Lexend" w:hAnsi="Lexend"/>
        </w:rPr>
        <w:t xml:space="preserve"> da ré, União (Fazenda Nacional), para, querendo, apresentar contestação no prazo legal, sob pena de revelia;</w:t>
      </w:r>
    </w:p>
    <w:p w14:paraId="6E363BEC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b) a </w:t>
      </w:r>
      <w:r w:rsidRPr="00073D04">
        <w:rPr>
          <w:rFonts w:ascii="Lexend" w:hAnsi="Lexend"/>
          <w:b/>
          <w:bCs/>
        </w:rPr>
        <w:t>declaração</w:t>
      </w:r>
      <w:r w:rsidRPr="00073D04">
        <w:rPr>
          <w:rFonts w:ascii="Lexend" w:hAnsi="Lexend"/>
        </w:rPr>
        <w:t xml:space="preserve"> da inexigibilidade das contribuições previdenciárias recolhidas acima do teto máximo do salário de contribuição do RGPS, no período de {{COMPETENCIA_INICIAL}} a {{COMPETENCIA_FINAL}};</w:t>
      </w:r>
    </w:p>
    <w:p w14:paraId="31A5B9E8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c) a </w:t>
      </w:r>
      <w:r w:rsidRPr="00073D04">
        <w:rPr>
          <w:rFonts w:ascii="Lexend" w:hAnsi="Lexend"/>
          <w:b/>
          <w:bCs/>
        </w:rPr>
        <w:t>condenação</w:t>
      </w:r>
      <w:r w:rsidRPr="00073D04">
        <w:rPr>
          <w:rFonts w:ascii="Lexend" w:hAnsi="Lexend"/>
        </w:rPr>
        <w:t xml:space="preserve"> da ré à restituição ao(à) Autor(a) de todas as contribuições previdenciárias descontadas acima do teto legal, no valor histórico de R$ {{VALOR_TOTAL_HISTORICO}}, conforme planilha de cálculos anexa;</w:t>
      </w:r>
    </w:p>
    <w:p w14:paraId="3DD9C5C9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d) a </w:t>
      </w:r>
      <w:r w:rsidRPr="00073D04">
        <w:rPr>
          <w:rFonts w:ascii="Lexend" w:hAnsi="Lexend"/>
          <w:b/>
          <w:bCs/>
        </w:rPr>
        <w:t>atualização</w:t>
      </w:r>
      <w:r w:rsidRPr="00073D04">
        <w:rPr>
          <w:rFonts w:ascii="Lexend" w:hAnsi="Lexend"/>
        </w:rPr>
        <w:t xml:space="preserve"> dos valores a restituir pela taxa SELIC, desde o mês subsequente a cada pagamento indevido até a efetiva restituição;</w:t>
      </w:r>
    </w:p>
    <w:p w14:paraId="668574F4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lastRenderedPageBreak/>
        <w:t xml:space="preserve">e) a </w:t>
      </w:r>
      <w:r w:rsidRPr="00073D04">
        <w:rPr>
          <w:rFonts w:ascii="Lexend" w:hAnsi="Lexend"/>
          <w:b/>
          <w:bCs/>
        </w:rPr>
        <w:t>condenação</w:t>
      </w:r>
      <w:r w:rsidRPr="00073D04">
        <w:rPr>
          <w:rFonts w:ascii="Lexend" w:hAnsi="Lexend"/>
        </w:rPr>
        <w:t xml:space="preserve"> da ré ao pagamento de honorários advocatícios de sucumbência, fixados entre 10% e 20% sobre o valor da condenação, nos termos do artigo 85, §3º, do CPC;</w:t>
      </w:r>
    </w:p>
    <w:p w14:paraId="28E492AD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f) a </w:t>
      </w:r>
      <w:r w:rsidRPr="00073D04">
        <w:rPr>
          <w:rFonts w:ascii="Lexend" w:hAnsi="Lexend"/>
          <w:b/>
          <w:bCs/>
        </w:rPr>
        <w:t>produção</w:t>
      </w:r>
      <w:r w:rsidRPr="00073D04">
        <w:rPr>
          <w:rFonts w:ascii="Lexend" w:hAnsi="Lexend"/>
        </w:rPr>
        <w:t xml:space="preserve"> de todas as provas admitidas em direito, em especial a documental e, se necessário, a pericial contábil.</w:t>
      </w:r>
    </w:p>
    <w:p w14:paraId="63DBCF1C" w14:textId="77777777" w:rsidR="00073D04" w:rsidRPr="00073D04" w:rsidRDefault="00073D04" w:rsidP="00506562">
      <w:pPr>
        <w:spacing w:before="120" w:after="120" w:line="360" w:lineRule="auto"/>
        <w:ind w:firstLine="851"/>
        <w:jc w:val="both"/>
        <w:rPr>
          <w:rFonts w:ascii="Lexend" w:hAnsi="Lexend"/>
        </w:rPr>
      </w:pPr>
      <w:r w:rsidRPr="00073D04">
        <w:rPr>
          <w:rFonts w:ascii="Lexend" w:hAnsi="Lexend"/>
        </w:rPr>
        <w:t xml:space="preserve">Termos em que, </w:t>
      </w:r>
      <w:proofErr w:type="gramStart"/>
      <w:r w:rsidRPr="00073D04">
        <w:rPr>
          <w:rFonts w:ascii="Lexend" w:hAnsi="Lexend"/>
        </w:rPr>
        <w:t>Pede</w:t>
      </w:r>
      <w:proofErr w:type="gramEnd"/>
      <w:r w:rsidRPr="00073D04">
        <w:rPr>
          <w:rFonts w:ascii="Lexend" w:hAnsi="Lexend"/>
        </w:rPr>
        <w:t xml:space="preserve"> deferimento.</w:t>
      </w:r>
    </w:p>
    <w:p w14:paraId="02A56454" w14:textId="77777777" w:rsidR="00073D04" w:rsidRPr="00AC2829" w:rsidRDefault="00073D04" w:rsidP="00506562">
      <w:pPr>
        <w:spacing w:before="120" w:after="120" w:line="360" w:lineRule="auto"/>
        <w:jc w:val="center"/>
        <w:rPr>
          <w:rFonts w:ascii="Lexend" w:hAnsi="Lexend"/>
        </w:rPr>
      </w:pPr>
      <w:r w:rsidRPr="00073D04">
        <w:rPr>
          <w:rFonts w:ascii="Lexend" w:hAnsi="Lexend"/>
        </w:rPr>
        <w:t>{{CIDADE}}, {{DATA_PETICAO}}.</w:t>
      </w:r>
    </w:p>
    <w:p w14:paraId="549DF7AC" w14:textId="134AF3B6" w:rsidR="00BD63CB" w:rsidRPr="00AC2829" w:rsidRDefault="00BD63CB" w:rsidP="0046140B">
      <w:pPr>
        <w:spacing w:before="120" w:after="120" w:line="360" w:lineRule="auto"/>
        <w:jc w:val="both"/>
        <w:rPr>
          <w:rFonts w:ascii="Lexend" w:hAnsi="Lexend"/>
        </w:rPr>
      </w:pPr>
    </w:p>
    <w:p w14:paraId="0EBEA8B1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ind w:firstLine="1418"/>
        <w:jc w:val="both"/>
        <w:rPr>
          <w:rFonts w:ascii="Lexend" w:eastAsia="Calibri" w:hAnsi="Lexend" w:cs="Times New Roman"/>
        </w:rPr>
      </w:pPr>
    </w:p>
    <w:p w14:paraId="435A58C8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  <w:r w:rsidRPr="00AC2829">
        <w:rPr>
          <w:rFonts w:ascii="Lexend" w:eastAsia="Calibri" w:hAnsi="Lexend" w:cs="Times New Roman"/>
          <w:b/>
          <w:color w:val="000000"/>
        </w:rPr>
        <w:t>JOÃO RICARDO VAUCHER DE OLIVEIRA</w:t>
      </w:r>
    </w:p>
    <w:p w14:paraId="7C0CB942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  <w:r w:rsidRPr="00AC2829">
        <w:rPr>
          <w:rFonts w:ascii="Lexend" w:eastAsia="Calibri" w:hAnsi="Lexend" w:cs="Times New Roman"/>
          <w:color w:val="000000"/>
        </w:rPr>
        <w:t>OAB/MT 14.490</w:t>
      </w:r>
    </w:p>
    <w:p w14:paraId="0F2C198F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</w:p>
    <w:p w14:paraId="29DD2ABD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  <w:r w:rsidRPr="00AC2829">
        <w:rPr>
          <w:rFonts w:ascii="Lexend" w:eastAsia="Calibri" w:hAnsi="Lexend" w:cs="Times New Roman"/>
          <w:b/>
          <w:color w:val="000000"/>
        </w:rPr>
        <w:t>FERNANDA VAUCHER DE OLIVEIRA</w:t>
      </w:r>
    </w:p>
    <w:p w14:paraId="24BD5972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ind w:left="1416"/>
        <w:rPr>
          <w:rFonts w:ascii="Lexend" w:eastAsia="Calibri" w:hAnsi="Lexend" w:cs="Times New Roman"/>
          <w:color w:val="000000"/>
        </w:rPr>
      </w:pPr>
      <w:r w:rsidRPr="00AC2829">
        <w:rPr>
          <w:rFonts w:ascii="Lexend" w:eastAsia="Calibri" w:hAnsi="Lexend" w:cs="Times New Roman"/>
          <w:color w:val="000000"/>
        </w:rPr>
        <w:t xml:space="preserve">                                          OAB/MT 12.066</w:t>
      </w:r>
    </w:p>
    <w:p w14:paraId="0F1D3A84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</w:p>
    <w:p w14:paraId="6F5A9418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  <w:b/>
          <w:color w:val="000000"/>
        </w:rPr>
      </w:pPr>
      <w:r w:rsidRPr="00AC2829">
        <w:rPr>
          <w:rFonts w:ascii="Lexend" w:eastAsia="Calibri" w:hAnsi="Lexend" w:cs="Times New Roman"/>
          <w:b/>
          <w:color w:val="000000"/>
        </w:rPr>
        <w:t>BRUNO COSTA ÁLVARES SILVA</w:t>
      </w:r>
    </w:p>
    <w:p w14:paraId="00F05B21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jc w:val="center"/>
        <w:rPr>
          <w:rFonts w:ascii="Lexend" w:eastAsia="Calibri" w:hAnsi="Lexend" w:cs="Times New Roman"/>
        </w:rPr>
      </w:pPr>
      <w:r w:rsidRPr="00AC2829">
        <w:rPr>
          <w:rFonts w:ascii="Lexend" w:eastAsia="Calibri" w:hAnsi="Lexend" w:cs="Times New Roman"/>
          <w:color w:val="000000"/>
        </w:rPr>
        <w:t>OAB/MT 15.127</w:t>
      </w:r>
    </w:p>
    <w:p w14:paraId="1FE49E96" w14:textId="77777777" w:rsidR="00AC2829" w:rsidRPr="00AC2829" w:rsidRDefault="00AC2829" w:rsidP="00AC2829">
      <w:pPr>
        <w:tabs>
          <w:tab w:val="left" w:pos="1560"/>
        </w:tabs>
        <w:spacing w:before="120" w:after="120" w:line="360" w:lineRule="auto"/>
        <w:ind w:firstLine="1418"/>
        <w:rPr>
          <w:rFonts w:ascii="Lexend" w:hAnsi="Lexend" w:cstheme="minorHAnsi"/>
        </w:rPr>
      </w:pPr>
    </w:p>
    <w:p w14:paraId="049CCF05" w14:textId="77777777" w:rsidR="00AC2829" w:rsidRPr="00AC2829" w:rsidRDefault="00AC2829" w:rsidP="0046140B">
      <w:pPr>
        <w:spacing w:before="120" w:after="120" w:line="360" w:lineRule="auto"/>
        <w:jc w:val="both"/>
        <w:rPr>
          <w:rFonts w:ascii="Lexend" w:hAnsi="Lexend"/>
        </w:rPr>
      </w:pPr>
    </w:p>
    <w:sectPr w:rsidR="00AC2829" w:rsidRPr="00AC282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6375" w14:textId="77777777" w:rsidR="00CB2ADA" w:rsidRDefault="00CB2ADA" w:rsidP="00BD63CB">
      <w:pPr>
        <w:spacing w:after="0" w:line="240" w:lineRule="auto"/>
      </w:pPr>
      <w:r>
        <w:separator/>
      </w:r>
    </w:p>
  </w:endnote>
  <w:endnote w:type="continuationSeparator" w:id="0">
    <w:p w14:paraId="3D71B90B" w14:textId="77777777" w:rsidR="00CB2ADA" w:rsidRDefault="00CB2ADA" w:rsidP="00BD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30F3" w14:textId="77777777" w:rsidR="00BD63CB" w:rsidRPr="00BD63CB" w:rsidRDefault="00BD63CB" w:rsidP="00BD63CB">
    <w:pPr>
      <w:spacing w:after="0" w:line="240" w:lineRule="auto"/>
      <w:jc w:val="center"/>
      <w:rPr>
        <w:rFonts w:ascii="Californian FB" w:eastAsia="Times New Roman" w:hAnsi="Californian FB" w:cs="Andalus"/>
        <w:color w:val="000000"/>
        <w:sz w:val="16"/>
        <w:szCs w:val="16"/>
        <w:lang w:eastAsia="pt-BR"/>
      </w:rPr>
    </w:pP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t xml:space="preserve">Rua Lima, nº 106, Bairro Jardim das Américas, Cuiabá-MT </w:t>
    </w:r>
  </w:p>
  <w:p w14:paraId="3F14995E" w14:textId="77777777" w:rsidR="00BD63CB" w:rsidRPr="00BD63CB" w:rsidRDefault="00BD63CB" w:rsidP="00BD63CB">
    <w:pPr>
      <w:spacing w:after="0" w:line="240" w:lineRule="auto"/>
      <w:jc w:val="center"/>
      <w:rPr>
        <w:rFonts w:ascii="Californian FB" w:eastAsia="Times New Roman" w:hAnsi="Californian FB" w:cs="Andalus"/>
        <w:color w:val="000000"/>
        <w:sz w:val="16"/>
        <w:szCs w:val="16"/>
        <w:lang w:eastAsia="pt-BR"/>
      </w:rPr>
    </w:pPr>
    <w:r w:rsidRPr="00BD63CB">
      <w:rPr>
        <w:rFonts w:ascii="Times New Roman" w:eastAsia="Times New Roman" w:hAnsi="Times New Roman" w:cs="Times New Roman"/>
        <w:noProof/>
        <w:sz w:val="16"/>
        <w:szCs w:val="16"/>
        <w:lang w:eastAsia="pt-BR"/>
      </w:rPr>
      <w:drawing>
        <wp:anchor distT="0" distB="0" distL="114300" distR="114300" simplePos="0" relativeHeight="251659264" behindDoc="1" locked="0" layoutInCell="1" allowOverlap="1" wp14:anchorId="7ED71388" wp14:editId="1C154C78">
          <wp:simplePos x="0" y="0"/>
          <wp:positionH relativeFrom="column">
            <wp:posOffset>5320665</wp:posOffset>
          </wp:positionH>
          <wp:positionV relativeFrom="paragraph">
            <wp:posOffset>20476</wp:posOffset>
          </wp:positionV>
          <wp:extent cx="181155" cy="185093"/>
          <wp:effectExtent l="0" t="0" r="0" b="5715"/>
          <wp:wrapNone/>
          <wp:docPr id="48" name="Imagem 48" descr="Descrição: C:\Users\JoãoRicardo\Desktop\fwdvaucherealvares\apenas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Descrição: C:\Users\JoãoRicardo\Desktop\fwdvaucherealvares\apenas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240" cy="19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t xml:space="preserve">(65) 3025-1223 – email: </w:t>
    </w:r>
    <w:hyperlink r:id="rId2" w:history="1">
      <w:r w:rsidRPr="00BD63CB">
        <w:rPr>
          <w:rFonts w:ascii="Californian FB" w:eastAsia="Times New Roman" w:hAnsi="Californian FB" w:cs="Andalus"/>
          <w:color w:val="0000FF"/>
          <w:sz w:val="16"/>
          <w:szCs w:val="16"/>
          <w:u w:val="single"/>
          <w:lang w:eastAsia="pt-BR"/>
        </w:rPr>
        <w:t>vaucheradv@gmail.com</w:t>
      </w:r>
    </w:hyperlink>
  </w:p>
  <w:p w14:paraId="144C82BE" w14:textId="77777777" w:rsidR="00BD63CB" w:rsidRPr="00BD63CB" w:rsidRDefault="00BD63CB" w:rsidP="00BD63CB">
    <w:pPr>
      <w:spacing w:after="0" w:line="240" w:lineRule="auto"/>
      <w:jc w:val="center"/>
      <w:rPr>
        <w:rFonts w:ascii="Californian FB" w:eastAsia="Times New Roman" w:hAnsi="Californian FB" w:cs="Andalus"/>
        <w:color w:val="000000"/>
        <w:sz w:val="16"/>
        <w:szCs w:val="16"/>
        <w:lang w:eastAsia="pt-BR"/>
      </w:rPr>
    </w:pP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t xml:space="preserve">Página </w: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begin"/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instrText>PAGE</w:instrTex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separate"/>
    </w:r>
    <w:r w:rsidR="002B1ADB">
      <w:rPr>
        <w:rFonts w:ascii="Californian FB" w:eastAsia="Times New Roman" w:hAnsi="Californian FB" w:cs="Andalus"/>
        <w:noProof/>
        <w:color w:val="000000"/>
        <w:sz w:val="16"/>
        <w:szCs w:val="16"/>
        <w:lang w:eastAsia="pt-BR"/>
      </w:rPr>
      <w:t>1</w: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end"/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t xml:space="preserve"> e </w: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begin"/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instrText>NUMPAGES</w:instrTex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separate"/>
    </w:r>
    <w:r w:rsidR="002B1ADB">
      <w:rPr>
        <w:rFonts w:ascii="Californian FB" w:eastAsia="Times New Roman" w:hAnsi="Californian FB" w:cs="Andalus"/>
        <w:noProof/>
        <w:color w:val="000000"/>
        <w:sz w:val="16"/>
        <w:szCs w:val="16"/>
        <w:lang w:eastAsia="pt-BR"/>
      </w:rPr>
      <w:t>1</w:t>
    </w:r>
    <w:r w:rsidRPr="00BD63CB">
      <w:rPr>
        <w:rFonts w:ascii="Californian FB" w:eastAsia="Times New Roman" w:hAnsi="Californian FB" w:cs="Andalus"/>
        <w:color w:val="000000"/>
        <w:sz w:val="16"/>
        <w:szCs w:val="16"/>
        <w:lang w:eastAsia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14459" w14:textId="77777777" w:rsidR="00CB2ADA" w:rsidRDefault="00CB2ADA" w:rsidP="00BD63CB">
      <w:pPr>
        <w:spacing w:after="0" w:line="240" w:lineRule="auto"/>
      </w:pPr>
      <w:r>
        <w:separator/>
      </w:r>
    </w:p>
  </w:footnote>
  <w:footnote w:type="continuationSeparator" w:id="0">
    <w:p w14:paraId="5F2679B1" w14:textId="77777777" w:rsidR="00CB2ADA" w:rsidRDefault="00CB2ADA" w:rsidP="00BD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5958" w14:textId="77777777" w:rsidR="00BD63CB" w:rsidRDefault="00BD63CB" w:rsidP="00BD63CB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19271676" wp14:editId="0B956F2F">
          <wp:extent cx="2406770" cy="550803"/>
          <wp:effectExtent l="0" t="0" r="0" b="1905"/>
          <wp:docPr id="47" name="Imagem 47" descr="Descrição: C:\Users\JoãoRicardo\Desktop\fwdvaucherealvares\Vaucher e Alvares-0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JoãoRicardo\Desktop\fwdvaucherealvares\Vaucher e Alvares-0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074" cy="5531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A280BF" w14:textId="77777777" w:rsidR="00BD63CB" w:rsidRDefault="00BD63CB" w:rsidP="00BD63C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65B"/>
    <w:multiLevelType w:val="multilevel"/>
    <w:tmpl w:val="907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486F"/>
    <w:multiLevelType w:val="multilevel"/>
    <w:tmpl w:val="3408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F024B"/>
    <w:multiLevelType w:val="multilevel"/>
    <w:tmpl w:val="572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C169D"/>
    <w:multiLevelType w:val="hybridMultilevel"/>
    <w:tmpl w:val="51102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C68A8"/>
    <w:multiLevelType w:val="multilevel"/>
    <w:tmpl w:val="A64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0895">
    <w:abstractNumId w:val="2"/>
  </w:num>
  <w:num w:numId="2" w16cid:durableId="1374891584">
    <w:abstractNumId w:val="4"/>
  </w:num>
  <w:num w:numId="3" w16cid:durableId="13845320">
    <w:abstractNumId w:val="1"/>
  </w:num>
  <w:num w:numId="4" w16cid:durableId="340280795">
    <w:abstractNumId w:val="3"/>
  </w:num>
  <w:num w:numId="5" w16cid:durableId="212264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3CB"/>
    <w:rsid w:val="00005758"/>
    <w:rsid w:val="00020394"/>
    <w:rsid w:val="00035931"/>
    <w:rsid w:val="000476EA"/>
    <w:rsid w:val="0004777E"/>
    <w:rsid w:val="000564DD"/>
    <w:rsid w:val="00073D04"/>
    <w:rsid w:val="0007406A"/>
    <w:rsid w:val="00090467"/>
    <w:rsid w:val="000976AE"/>
    <w:rsid w:val="000B5122"/>
    <w:rsid w:val="000C4C34"/>
    <w:rsid w:val="00110158"/>
    <w:rsid w:val="00135926"/>
    <w:rsid w:val="00151974"/>
    <w:rsid w:val="00153B73"/>
    <w:rsid w:val="00153C7F"/>
    <w:rsid w:val="001563CA"/>
    <w:rsid w:val="00165F58"/>
    <w:rsid w:val="00183565"/>
    <w:rsid w:val="001A7C55"/>
    <w:rsid w:val="001B7050"/>
    <w:rsid w:val="001C0988"/>
    <w:rsid w:val="00203EB8"/>
    <w:rsid w:val="00214335"/>
    <w:rsid w:val="0021483D"/>
    <w:rsid w:val="002242C6"/>
    <w:rsid w:val="002327FF"/>
    <w:rsid w:val="00237A5A"/>
    <w:rsid w:val="002574EC"/>
    <w:rsid w:val="0026235C"/>
    <w:rsid w:val="002A0E6A"/>
    <w:rsid w:val="002B1ADB"/>
    <w:rsid w:val="002E1D8B"/>
    <w:rsid w:val="002E524E"/>
    <w:rsid w:val="0032389E"/>
    <w:rsid w:val="0034309E"/>
    <w:rsid w:val="00356AF7"/>
    <w:rsid w:val="00393ADD"/>
    <w:rsid w:val="003B4624"/>
    <w:rsid w:val="00432C30"/>
    <w:rsid w:val="0046140B"/>
    <w:rsid w:val="004B2E13"/>
    <w:rsid w:val="004C3A98"/>
    <w:rsid w:val="004F212E"/>
    <w:rsid w:val="004F322A"/>
    <w:rsid w:val="00506562"/>
    <w:rsid w:val="0052316D"/>
    <w:rsid w:val="005A3B54"/>
    <w:rsid w:val="005C3FE9"/>
    <w:rsid w:val="005D0B3B"/>
    <w:rsid w:val="005F537E"/>
    <w:rsid w:val="006021A8"/>
    <w:rsid w:val="00624C09"/>
    <w:rsid w:val="00636D54"/>
    <w:rsid w:val="00677159"/>
    <w:rsid w:val="006C0D00"/>
    <w:rsid w:val="006C6AC2"/>
    <w:rsid w:val="006F3839"/>
    <w:rsid w:val="006F3988"/>
    <w:rsid w:val="006F602E"/>
    <w:rsid w:val="00714ABC"/>
    <w:rsid w:val="00745AB4"/>
    <w:rsid w:val="00761ED7"/>
    <w:rsid w:val="007B4B6C"/>
    <w:rsid w:val="007C602A"/>
    <w:rsid w:val="007D2A21"/>
    <w:rsid w:val="007F2AE4"/>
    <w:rsid w:val="00827C90"/>
    <w:rsid w:val="00830940"/>
    <w:rsid w:val="00830A79"/>
    <w:rsid w:val="00831ED7"/>
    <w:rsid w:val="00834092"/>
    <w:rsid w:val="00841693"/>
    <w:rsid w:val="00860D9A"/>
    <w:rsid w:val="0086520D"/>
    <w:rsid w:val="008674FB"/>
    <w:rsid w:val="00897C3D"/>
    <w:rsid w:val="008A1F4A"/>
    <w:rsid w:val="008B0C72"/>
    <w:rsid w:val="008D60D0"/>
    <w:rsid w:val="00914A24"/>
    <w:rsid w:val="00921D22"/>
    <w:rsid w:val="00926443"/>
    <w:rsid w:val="00950FA7"/>
    <w:rsid w:val="0096745F"/>
    <w:rsid w:val="00991F6B"/>
    <w:rsid w:val="009C7B14"/>
    <w:rsid w:val="009D52AB"/>
    <w:rsid w:val="009D63FE"/>
    <w:rsid w:val="009F2B0D"/>
    <w:rsid w:val="00A0049F"/>
    <w:rsid w:val="00A13182"/>
    <w:rsid w:val="00A70B9D"/>
    <w:rsid w:val="00A96120"/>
    <w:rsid w:val="00AC2829"/>
    <w:rsid w:val="00AF3A26"/>
    <w:rsid w:val="00B16E7F"/>
    <w:rsid w:val="00B614FA"/>
    <w:rsid w:val="00B763E8"/>
    <w:rsid w:val="00B82D43"/>
    <w:rsid w:val="00B94F4D"/>
    <w:rsid w:val="00BB0C2A"/>
    <w:rsid w:val="00BB17F6"/>
    <w:rsid w:val="00BD5C68"/>
    <w:rsid w:val="00BD6126"/>
    <w:rsid w:val="00BD63CB"/>
    <w:rsid w:val="00C005A2"/>
    <w:rsid w:val="00C33471"/>
    <w:rsid w:val="00C40F4B"/>
    <w:rsid w:val="00C4617B"/>
    <w:rsid w:val="00C57D60"/>
    <w:rsid w:val="00C85483"/>
    <w:rsid w:val="00CB06EF"/>
    <w:rsid w:val="00CB2ADA"/>
    <w:rsid w:val="00CC02F3"/>
    <w:rsid w:val="00CD3240"/>
    <w:rsid w:val="00D1721D"/>
    <w:rsid w:val="00D20613"/>
    <w:rsid w:val="00D479B0"/>
    <w:rsid w:val="00D60058"/>
    <w:rsid w:val="00D63B38"/>
    <w:rsid w:val="00D746FB"/>
    <w:rsid w:val="00D76D46"/>
    <w:rsid w:val="00D81BE0"/>
    <w:rsid w:val="00D8461E"/>
    <w:rsid w:val="00D87D98"/>
    <w:rsid w:val="00D87E38"/>
    <w:rsid w:val="00D97549"/>
    <w:rsid w:val="00DA0D53"/>
    <w:rsid w:val="00DB2917"/>
    <w:rsid w:val="00DB3AAA"/>
    <w:rsid w:val="00DB3D22"/>
    <w:rsid w:val="00DC1F16"/>
    <w:rsid w:val="00DC7153"/>
    <w:rsid w:val="00DF6E72"/>
    <w:rsid w:val="00DF7F80"/>
    <w:rsid w:val="00E16463"/>
    <w:rsid w:val="00E3714F"/>
    <w:rsid w:val="00E77596"/>
    <w:rsid w:val="00E87267"/>
    <w:rsid w:val="00E91435"/>
    <w:rsid w:val="00EA221F"/>
    <w:rsid w:val="00EA2CCF"/>
    <w:rsid w:val="00EA70B1"/>
    <w:rsid w:val="00EB3358"/>
    <w:rsid w:val="00EC4AB4"/>
    <w:rsid w:val="00EC70CA"/>
    <w:rsid w:val="00EF170D"/>
    <w:rsid w:val="00F1350C"/>
    <w:rsid w:val="00F55160"/>
    <w:rsid w:val="00F64302"/>
    <w:rsid w:val="00FC4BC1"/>
    <w:rsid w:val="00FC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8588A"/>
  <w15:chartTrackingRefBased/>
  <w15:docId w15:val="{58100E0C-828F-44AF-A2DA-42CCB34A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76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1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D63CB"/>
    <w:pPr>
      <w:autoSpaceDE w:val="0"/>
      <w:autoSpaceDN w:val="0"/>
      <w:adjustRightInd w:val="0"/>
      <w:spacing w:after="0" w:line="240" w:lineRule="auto"/>
    </w:pPr>
    <w:rPr>
      <w:rFonts w:ascii="Californian FB" w:hAnsi="Californian FB" w:cs="Californian FB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D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63CB"/>
  </w:style>
  <w:style w:type="paragraph" w:styleId="Rodap">
    <w:name w:val="footer"/>
    <w:basedOn w:val="Normal"/>
    <w:link w:val="RodapChar"/>
    <w:uiPriority w:val="99"/>
    <w:unhideWhenUsed/>
    <w:rsid w:val="00BD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63CB"/>
  </w:style>
  <w:style w:type="paragraph" w:customStyle="1" w:styleId="m-4562115169062153990number">
    <w:name w:val="m_-4562115169062153990number"/>
    <w:basedOn w:val="Normal"/>
    <w:rsid w:val="00232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76D4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rsid w:val="00F55160"/>
    <w:rPr>
      <w:color w:val="0563C1"/>
      <w:u w:val="single"/>
    </w:rPr>
  </w:style>
  <w:style w:type="paragraph" w:styleId="Corpodetexto">
    <w:name w:val="Body Text"/>
    <w:basedOn w:val="Normal"/>
    <w:link w:val="CorpodetextoChar"/>
    <w:uiPriority w:val="1"/>
    <w:qFormat/>
    <w:rsid w:val="009D63FE"/>
    <w:pPr>
      <w:widowControl w:val="0"/>
      <w:autoSpaceDE w:val="0"/>
      <w:autoSpaceDN w:val="0"/>
      <w:spacing w:after="0" w:line="240" w:lineRule="auto"/>
    </w:pPr>
    <w:rPr>
      <w:rFonts w:ascii="Californian FB" w:eastAsia="Californian FB" w:hAnsi="Californian FB" w:cs="Californian FB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D63FE"/>
    <w:rPr>
      <w:rFonts w:ascii="Californian FB" w:eastAsia="Californian FB" w:hAnsi="Californian FB" w:cs="Californian FB"/>
      <w:lang w:val="en-US"/>
    </w:rPr>
  </w:style>
  <w:style w:type="character" w:styleId="Forte">
    <w:name w:val="Strong"/>
    <w:basedOn w:val="Fontepargpadro"/>
    <w:uiPriority w:val="22"/>
    <w:qFormat/>
    <w:rsid w:val="00C33471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1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461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9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8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4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5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7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vaucheradv@gmail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FF1CC-D5D0-4069-B254-1FF54A8D2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3142</Words>
  <Characters>16060</Characters>
  <Application>Microsoft Office Word</Application>
  <DocSecurity>0</DocSecurity>
  <Lines>341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BRUNO SILVA</cp:lastModifiedBy>
  <cp:revision>2</cp:revision>
  <cp:lastPrinted>2022-06-30T18:39:00Z</cp:lastPrinted>
  <dcterms:created xsi:type="dcterms:W3CDTF">2026-02-05T14:03:00Z</dcterms:created>
  <dcterms:modified xsi:type="dcterms:W3CDTF">2026-02-05T14:03:00Z</dcterms:modified>
</cp:coreProperties>
</file>