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Bibliographic metadata were checked against DOI records; the full texts of Qiu et al. (2019) and Singh and Kuthambalayan (2022) remain closed access.</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b/>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b/>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b/>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6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b/>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1.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Robustness to age estimation error. The nominal plans are also evaluated when warehouse ages are misestimated. For ten twelve-store instances and 50 scenarios, each warehouse age is shifted independently by a uniform draw on [-0.5, 0.5] days, and the age-aware and age-blind plans are re-evaluated without re-optimization. The age-aware plan has mean cost 805.9 versus 2610.7 for the blind plan and is better in 100% of scenarios; infeasible deliveries average 0.29 versus 7.32 per scenario. The check is one-sided: travel time and demand remain deterministic, so it supports plan robustness to age error, not a stochastic optimization claim.</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2.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b/>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r>
        <w:t>Table 6 reports single-process wall-clock time for three seeds per size. The exact DP is already slower than every heuristic at 12 stores (5.96 s versus at most 0.19 s), and it is not run at 20 stores. The four heuristics remain below 0.3 s at 20 stores. The ranking of heuristic times is not the ranking of solution quality: SA and tabu are faster than the ALNS but produce worse plans (Table 4). Times are implementation- and machine-dependent and are not a hardware-independent benchmark.</w:t>
      </w:r>
    </w:p>
    <w:p>
      <w:r>
        <w:rPr>
          <w:b/>
        </w:rPr>
        <w:t>Table 6. Wall-clock runtime (seconds, mean over three seeds).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
              <w:rPr>
                <w:b/>
              </w:rPr>
              <w:t>Stores</w:t>
            </w:r>
          </w:p>
        </w:tc>
        <w:tc>
          <w:tcPr>
            <w:tcW w:type="dxa" w:w="1512"/>
          </w:tcPr>
          <w:p>
            <w:r/>
            <w:r>
              <w:rPr>
                <w:b/>
              </w:rPr>
              <w:t>DP</w:t>
            </w:r>
          </w:p>
        </w:tc>
        <w:tc>
          <w:tcPr>
            <w:tcW w:type="dxa" w:w="1512"/>
          </w:tcPr>
          <w:p>
            <w:r/>
            <w:r>
              <w:rPr>
                <w:b/>
              </w:rPr>
              <w:t>ALNS</w:t>
            </w:r>
          </w:p>
        </w:tc>
        <w:tc>
          <w:tcPr>
            <w:tcW w:type="dxa" w:w="1512"/>
          </w:tcPr>
          <w:p>
            <w:r/>
            <w:r>
              <w:rPr>
                <w:b/>
              </w:rPr>
              <w:t>SA</w:t>
            </w:r>
          </w:p>
        </w:tc>
        <w:tc>
          <w:tcPr>
            <w:tcW w:type="dxa" w:w="1512"/>
          </w:tcPr>
          <w:p>
            <w:r/>
            <w:r>
              <w:rPr>
                <w:b/>
              </w:rPr>
              <w:t>Tabu</w:t>
            </w:r>
          </w:p>
        </w:tc>
        <w:tc>
          <w:tcPr>
            <w:tcW w:type="dxa" w:w="1512"/>
          </w:tcPr>
          <w:p>
            <w:r/>
            <w:r>
              <w:rPr>
                <w:b/>
              </w:rPr>
              <w:t>GA</w:t>
            </w:r>
          </w:p>
        </w:tc>
      </w:tr>
      <w:tr>
        <w:tc>
          <w:tcPr>
            <w:tcW w:type="dxa" w:w="1512"/>
          </w:tcPr>
          <w:p>
            <w:r/>
            <w:r>
              <w:t>8</w:t>
            </w:r>
          </w:p>
        </w:tc>
        <w:tc>
          <w:tcPr>
            <w:tcW w:type="dxa" w:w="1512"/>
          </w:tcPr>
          <w:p>
            <w:r/>
            <w:r>
              <w:t>0.06</w:t>
            </w:r>
          </w:p>
        </w:tc>
        <w:tc>
          <w:tcPr>
            <w:tcW w:type="dxa" w:w="1512"/>
          </w:tcPr>
          <w:p>
            <w:r/>
            <w:r>
              <w:t>0.08</w:t>
            </w:r>
          </w:p>
        </w:tc>
        <w:tc>
          <w:tcPr>
            <w:tcW w:type="dxa" w:w="1512"/>
          </w:tcPr>
          <w:p>
            <w:r/>
            <w:r>
              <w:t>0.04</w:t>
            </w:r>
          </w:p>
        </w:tc>
        <w:tc>
          <w:tcPr>
            <w:tcW w:type="dxa" w:w="1512"/>
          </w:tcPr>
          <w:p>
            <w:r/>
            <w:r>
              <w:t>0.03</w:t>
            </w:r>
          </w:p>
        </w:tc>
        <w:tc>
          <w:tcPr>
            <w:tcW w:type="dxa" w:w="1512"/>
          </w:tcPr>
          <w:p>
            <w:r/>
            <w:r>
              <w:t>0.16</w:t>
            </w:r>
          </w:p>
        </w:tc>
      </w:tr>
      <w:tr>
        <w:tc>
          <w:tcPr>
            <w:tcW w:type="dxa" w:w="1512"/>
          </w:tcPr>
          <w:p>
            <w:r/>
            <w:r>
              <w:t>12</w:t>
            </w:r>
          </w:p>
        </w:tc>
        <w:tc>
          <w:tcPr>
            <w:tcW w:type="dxa" w:w="1512"/>
          </w:tcPr>
          <w:p>
            <w:r/>
            <w:r>
              <w:t>5.96</w:t>
            </w:r>
          </w:p>
        </w:tc>
        <w:tc>
          <w:tcPr>
            <w:tcW w:type="dxa" w:w="1512"/>
          </w:tcPr>
          <w:p>
            <w:r/>
            <w:r>
              <w:t>0.10</w:t>
            </w:r>
          </w:p>
        </w:tc>
        <w:tc>
          <w:tcPr>
            <w:tcW w:type="dxa" w:w="1512"/>
          </w:tcPr>
          <w:p>
            <w:r/>
            <w:r>
              <w:t>0.04</w:t>
            </w:r>
          </w:p>
        </w:tc>
        <w:tc>
          <w:tcPr>
            <w:tcW w:type="dxa" w:w="1512"/>
          </w:tcPr>
          <w:p>
            <w:r/>
            <w:r>
              <w:t>0.02</w:t>
            </w:r>
          </w:p>
        </w:tc>
        <w:tc>
          <w:tcPr>
            <w:tcW w:type="dxa" w:w="1512"/>
          </w:tcPr>
          <w:p>
            <w:r/>
            <w:r>
              <w:t>0.19</w:t>
            </w:r>
          </w:p>
        </w:tc>
      </w:tr>
      <w:tr>
        <w:tc>
          <w:tcPr>
            <w:tcW w:type="dxa" w:w="1512"/>
          </w:tcPr>
          <w:p>
            <w:r/>
            <w:r>
              <w:t>20</w:t>
            </w:r>
          </w:p>
        </w:tc>
        <w:tc>
          <w:tcPr>
            <w:tcW w:type="dxa" w:w="1512"/>
          </w:tcPr>
          <w:p>
            <w:r/>
            <w:r>
              <w:t>—</w:t>
            </w:r>
          </w:p>
        </w:tc>
        <w:tc>
          <w:tcPr>
            <w:tcW w:type="dxa" w:w="1512"/>
          </w:tcPr>
          <w:p>
            <w:r/>
            <w:r>
              <w:t>0.18</w:t>
            </w:r>
          </w:p>
        </w:tc>
        <w:tc>
          <w:tcPr>
            <w:tcW w:type="dxa" w:w="1512"/>
          </w:tcPr>
          <w:p>
            <w:r/>
            <w:r>
              <w:t>0.06</w:t>
            </w:r>
          </w:p>
        </w:tc>
        <w:tc>
          <w:tcPr>
            <w:tcW w:type="dxa" w:w="1512"/>
          </w:tcPr>
          <w:p>
            <w:r/>
            <w:r>
              <w:t>0.01</w:t>
            </w:r>
          </w:p>
        </w:tc>
        <w:tc>
          <w:tcPr>
            <w:tcW w:type="dxa" w:w="1512"/>
          </w:tcPr>
          <w:p>
            <w:r/>
            <w:r>
              <w:t>0.26</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 52 (3), 526–546.</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 82, 193–204.</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163,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