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Bibliographic metadata were checked against DOI records; the full texts of Qiu et al. (2019) and Singh and Kuthambalayan (2022) remain closed access.</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i/>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i/>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i/>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6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r>
        <w:t>To test whether the advantage is specific to the ALNS neighborhood, we ran three alternative metaheuristics under the same number of solution evaluations as the ALNS on each instance. Simulated annealing uses a geometric cooling schedule; tabu search uses all feasible relocations and insertions with a fixed tenure of 7; the genetic algorithm uses a population of 20, route-based crossover, mutation by random moves and age-feasible repair. At 12 stores, SA reaches a mean gap of 63.95 with 4/10 optima, tabu search 85.21 with 2/10, and the GA 72.02 with 2/10, while the tuned ALNS reaches 1.27 with 9/10. ALNS is better than SA on 5/10 instances, than tabu search on 8/10 and than the GA on 8/10; SA wins 1/10, tabu search 0/10 and the GA 0/10, with the remaining ties. None of the alternatives is tuned beyond its basic schedule, tenure or population, and the evaluation count is not a full operation count, so the comparison is indicative rather than a definitive ranking; it does show that the ALNS neighborhood is not trivially replaceable by generic local search or a standard evolutionary scheme.</w:t>
      </w:r>
    </w:p>
    <w:p>
      <w:r>
        <w:rPr>
          <w:i/>
        </w:rPr>
        <w:t>*Table 4. Alternative metaheuristics at the same solution-evaluation budget (12 stores).*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Method</w:t>
            </w:r>
          </w:p>
        </w:tc>
        <w:tc>
          <w:tcPr>
            <w:tcW w:type="dxa" w:w="2268"/>
          </w:tcPr>
          <w:p>
            <w:r/>
            <w:r>
              <w:rPr>
                <w:b/>
              </w:rPr>
              <w:t>Mean gap</w:t>
            </w:r>
          </w:p>
        </w:tc>
        <w:tc>
          <w:tcPr>
            <w:tcW w:type="dxa" w:w="2268"/>
          </w:tcPr>
          <w:p>
            <w:r/>
            <w:r>
              <w:rPr>
                <w:b/>
              </w:rPr>
              <w:t>Optimal</w:t>
            </w:r>
          </w:p>
        </w:tc>
        <w:tc>
          <w:tcPr>
            <w:tcW w:type="dxa" w:w="2268"/>
          </w:tcPr>
          <w:p>
            <w:r/>
            <w:r>
              <w:rPr>
                <w:b/>
              </w:rPr>
              <w:t>Better than ALNS</w:t>
            </w:r>
          </w:p>
        </w:tc>
      </w:tr>
      <w:tr>
        <w:tc>
          <w:tcPr>
            <w:tcW w:type="dxa" w:w="2268"/>
          </w:tcPr>
          <w:p>
            <w:r/>
            <w:r>
              <w:t>ALNS (destroy 4–6)</w:t>
            </w:r>
          </w:p>
        </w:tc>
        <w:tc>
          <w:tcPr>
            <w:tcW w:type="dxa" w:w="2268"/>
          </w:tcPr>
          <w:p>
            <w:r/>
            <w:r>
              <w:t>1.27</w:t>
            </w:r>
          </w:p>
        </w:tc>
        <w:tc>
          <w:tcPr>
            <w:tcW w:type="dxa" w:w="2268"/>
          </w:tcPr>
          <w:p>
            <w:r/>
            <w:r>
              <w:t>9/10</w:t>
            </w:r>
          </w:p>
        </w:tc>
        <w:tc>
          <w:tcPr>
            <w:tcW w:type="dxa" w:w="2268"/>
          </w:tcPr>
          <w:p>
            <w:r/>
            <w:r>
              <w:t>—</w:t>
            </w:r>
          </w:p>
        </w:tc>
      </w:tr>
      <w:tr>
        <w:tc>
          <w:tcPr>
            <w:tcW w:type="dxa" w:w="2268"/>
          </w:tcPr>
          <w:p>
            <w:r/>
            <w:r>
              <w:t>SA (geometric cooling)</w:t>
            </w:r>
          </w:p>
        </w:tc>
        <w:tc>
          <w:tcPr>
            <w:tcW w:type="dxa" w:w="2268"/>
          </w:tcPr>
          <w:p>
            <w:r/>
            <w:r>
              <w:t>63.95</w:t>
            </w:r>
          </w:p>
        </w:tc>
        <w:tc>
          <w:tcPr>
            <w:tcW w:type="dxa" w:w="2268"/>
          </w:tcPr>
          <w:p>
            <w:r/>
            <w:r>
              <w:t>4/10</w:t>
            </w:r>
          </w:p>
        </w:tc>
        <w:tc>
          <w:tcPr>
            <w:tcW w:type="dxa" w:w="2268"/>
          </w:tcPr>
          <w:p>
            <w:r/>
            <w:r>
              <w:t>1/10</w:t>
            </w:r>
          </w:p>
        </w:tc>
      </w:tr>
      <w:tr>
        <w:tc>
          <w:tcPr>
            <w:tcW w:type="dxa" w:w="2268"/>
          </w:tcPr>
          <w:p>
            <w:r/>
            <w:r>
              <w:t>Tabu (tenure 7)</w:t>
            </w:r>
          </w:p>
        </w:tc>
        <w:tc>
          <w:tcPr>
            <w:tcW w:type="dxa" w:w="2268"/>
          </w:tcPr>
          <w:p>
            <w:r/>
            <w:r>
              <w:t>85.21</w:t>
            </w:r>
          </w:p>
        </w:tc>
        <w:tc>
          <w:tcPr>
            <w:tcW w:type="dxa" w:w="2268"/>
          </w:tcPr>
          <w:p>
            <w:r/>
            <w:r>
              <w:t>2/10</w:t>
            </w:r>
          </w:p>
        </w:tc>
        <w:tc>
          <w:tcPr>
            <w:tcW w:type="dxa" w:w="2268"/>
          </w:tcPr>
          <w:p>
            <w:r/>
            <w:r>
              <w:t>0/10</w:t>
            </w:r>
          </w:p>
        </w:tc>
      </w:tr>
      <w:tr>
        <w:tc>
          <w:tcPr>
            <w:tcW w:type="dxa" w:w="2268"/>
          </w:tcPr>
          <w:p>
            <w:r/>
            <w:r>
              <w:t>GA (population 20)</w:t>
            </w:r>
          </w:p>
        </w:tc>
        <w:tc>
          <w:tcPr>
            <w:tcW w:type="dxa" w:w="2268"/>
          </w:tcPr>
          <w:p>
            <w:r/>
            <w:r>
              <w:t>72.02</w:t>
            </w:r>
          </w:p>
        </w:tc>
        <w:tc>
          <w:tcPr>
            <w:tcW w:type="dxa" w:w="2268"/>
          </w:tcPr>
          <w:p>
            <w:r/>
            <w:r>
              <w:t>2/10</w:t>
            </w:r>
          </w:p>
        </w:tc>
        <w:tc>
          <w:tcPr>
            <w:tcW w:type="dxa" w:w="2268"/>
          </w:tcPr>
          <w:p>
            <w:r/>
            <w:r>
              <w:t>0/10</w:t>
            </w:r>
          </w:p>
        </w:tc>
      </w:tr>
    </w:tbl>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2.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1.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i/>
        </w:rPr>
        <w:t>*Table 5.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r>
        <w:t>Table 6 reports single-process wall-clock time for three seeds per size. The exact DP is already slower than every heuristic at 12 stores (5.96 s versus at most 0.19 s), and it is not run at 20 stores. The four heuristics remain below 0.3 s at 20 stores. The ranking of heuristic times is not the ranking of solution quality: SA and tabu are faster than the ALNS but produce worse plans (Table 4). Times are implementation- and machine-dependent and are not a hardware-independent benchmark.</w:t>
      </w:r>
    </w:p>
    <w:p>
      <w:r>
        <w:rPr>
          <w:i/>
        </w:rPr>
        <w:t>*Table 6. Wall-clock runtime (seconds, mean over three seeds).*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
              <w:rPr>
                <w:b/>
              </w:rPr>
              <w:t>Stores</w:t>
            </w:r>
          </w:p>
        </w:tc>
        <w:tc>
          <w:tcPr>
            <w:tcW w:type="dxa" w:w="1512"/>
          </w:tcPr>
          <w:p>
            <w:r/>
            <w:r>
              <w:rPr>
                <w:b/>
              </w:rPr>
              <w:t>DP</w:t>
            </w:r>
          </w:p>
        </w:tc>
        <w:tc>
          <w:tcPr>
            <w:tcW w:type="dxa" w:w="1512"/>
          </w:tcPr>
          <w:p>
            <w:r/>
            <w:r>
              <w:rPr>
                <w:b/>
              </w:rPr>
              <w:t>ALNS</w:t>
            </w:r>
          </w:p>
        </w:tc>
        <w:tc>
          <w:tcPr>
            <w:tcW w:type="dxa" w:w="1512"/>
          </w:tcPr>
          <w:p>
            <w:r/>
            <w:r>
              <w:rPr>
                <w:b/>
              </w:rPr>
              <w:t>SA</w:t>
            </w:r>
          </w:p>
        </w:tc>
        <w:tc>
          <w:tcPr>
            <w:tcW w:type="dxa" w:w="1512"/>
          </w:tcPr>
          <w:p>
            <w:r/>
            <w:r>
              <w:rPr>
                <w:b/>
              </w:rPr>
              <w:t>Tabu</w:t>
            </w:r>
          </w:p>
        </w:tc>
        <w:tc>
          <w:tcPr>
            <w:tcW w:type="dxa" w:w="1512"/>
          </w:tcPr>
          <w:p>
            <w:r/>
            <w:r>
              <w:rPr>
                <w:b/>
              </w:rPr>
              <w:t>GA</w:t>
            </w:r>
          </w:p>
        </w:tc>
      </w:tr>
      <w:tr>
        <w:tc>
          <w:tcPr>
            <w:tcW w:type="dxa" w:w="1512"/>
          </w:tcPr>
          <w:p>
            <w:r/>
            <w:r>
              <w:t>8</w:t>
            </w:r>
          </w:p>
        </w:tc>
        <w:tc>
          <w:tcPr>
            <w:tcW w:type="dxa" w:w="1512"/>
          </w:tcPr>
          <w:p>
            <w:r/>
            <w:r>
              <w:t>0.06</w:t>
            </w:r>
          </w:p>
        </w:tc>
        <w:tc>
          <w:tcPr>
            <w:tcW w:type="dxa" w:w="1512"/>
          </w:tcPr>
          <w:p>
            <w:r/>
            <w:r>
              <w:t>0.08</w:t>
            </w:r>
          </w:p>
        </w:tc>
        <w:tc>
          <w:tcPr>
            <w:tcW w:type="dxa" w:w="1512"/>
          </w:tcPr>
          <w:p>
            <w:r/>
            <w:r>
              <w:t>0.04</w:t>
            </w:r>
          </w:p>
        </w:tc>
        <w:tc>
          <w:tcPr>
            <w:tcW w:type="dxa" w:w="1512"/>
          </w:tcPr>
          <w:p>
            <w:r/>
            <w:r>
              <w:t>0.03</w:t>
            </w:r>
          </w:p>
        </w:tc>
        <w:tc>
          <w:tcPr>
            <w:tcW w:type="dxa" w:w="1512"/>
          </w:tcPr>
          <w:p>
            <w:r/>
            <w:r>
              <w:t>0.16</w:t>
            </w:r>
          </w:p>
        </w:tc>
      </w:tr>
      <w:tr>
        <w:tc>
          <w:tcPr>
            <w:tcW w:type="dxa" w:w="1512"/>
          </w:tcPr>
          <w:p>
            <w:r/>
            <w:r>
              <w:t>12</w:t>
            </w:r>
          </w:p>
        </w:tc>
        <w:tc>
          <w:tcPr>
            <w:tcW w:type="dxa" w:w="1512"/>
          </w:tcPr>
          <w:p>
            <w:r/>
            <w:r>
              <w:t>5.96</w:t>
            </w:r>
          </w:p>
        </w:tc>
        <w:tc>
          <w:tcPr>
            <w:tcW w:type="dxa" w:w="1512"/>
          </w:tcPr>
          <w:p>
            <w:r/>
            <w:r>
              <w:t>0.10</w:t>
            </w:r>
          </w:p>
        </w:tc>
        <w:tc>
          <w:tcPr>
            <w:tcW w:type="dxa" w:w="1512"/>
          </w:tcPr>
          <w:p>
            <w:r/>
            <w:r>
              <w:t>0.04</w:t>
            </w:r>
          </w:p>
        </w:tc>
        <w:tc>
          <w:tcPr>
            <w:tcW w:type="dxa" w:w="1512"/>
          </w:tcPr>
          <w:p>
            <w:r/>
            <w:r>
              <w:t>0.02</w:t>
            </w:r>
          </w:p>
        </w:tc>
        <w:tc>
          <w:tcPr>
            <w:tcW w:type="dxa" w:w="1512"/>
          </w:tcPr>
          <w:p>
            <w:r/>
            <w:r>
              <w:t>0.19</w:t>
            </w:r>
          </w:p>
        </w:tc>
      </w:tr>
      <w:tr>
        <w:tc>
          <w:tcPr>
            <w:tcW w:type="dxa" w:w="1512"/>
          </w:tcPr>
          <w:p>
            <w:r/>
            <w:r>
              <w:t>20</w:t>
            </w:r>
          </w:p>
        </w:tc>
        <w:tc>
          <w:tcPr>
            <w:tcW w:type="dxa" w:w="1512"/>
          </w:tcPr>
          <w:p>
            <w:r/>
            <w:r>
              <w:t>—</w:t>
            </w:r>
          </w:p>
        </w:tc>
        <w:tc>
          <w:tcPr>
            <w:tcW w:type="dxa" w:w="1512"/>
          </w:tcPr>
          <w:p>
            <w:r/>
            <w:r>
              <w:t>0.18</w:t>
            </w:r>
          </w:p>
        </w:tc>
        <w:tc>
          <w:tcPr>
            <w:tcW w:type="dxa" w:w="1512"/>
          </w:tcPr>
          <w:p>
            <w:r/>
            <w:r>
              <w:t>0.06</w:t>
            </w:r>
          </w:p>
        </w:tc>
        <w:tc>
          <w:tcPr>
            <w:tcW w:type="dxa" w:w="1512"/>
          </w:tcPr>
          <w:p>
            <w:r/>
            <w:r>
              <w:t>0.01</w:t>
            </w:r>
          </w:p>
        </w:tc>
        <w:tc>
          <w:tcPr>
            <w:tcW w:type="dxa" w:w="1512"/>
          </w:tcPr>
          <w:p>
            <w:r/>
            <w:r>
              <w:t>0.26</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Full experiment directory names carry a date suffix (for example, </w:t>
      </w:r>
      <w:r>
        <w:rPr>
          <w:rFonts w:ascii="Consolas" w:hAnsi="Consolas"/>
          <w:sz w:val="18"/>
        </w:rPr>
        <w:t>mlor-dp-20261028</w:t>
      </w:r>
      <w:r>
        <w:t>); the table lists task names.</w:t>
      </w:r>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Declaration of competing interest</w:t>
      </w:r>
    </w:p>
    <w:p>
      <w:r>
        <w:t>The authors declare that they have no known competing financial interests or personal relationships that could have appeared to influence the work reported in this paper.</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 52 (3), 526–546.</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 82, 193–204.</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163,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