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848" w14:textId="2903529E" w:rsidR="00A42997" w:rsidRPr="00C53682" w:rsidRDefault="007B0403" w:rsidP="00CC3C77">
      <w:pPr>
        <w:keepNext/>
        <w:spacing w:line="360" w:lineRule="auto"/>
        <w:jc w:val="center"/>
        <w:outlineLvl w:val="0"/>
        <w:rPr>
          <w:rFonts w:eastAsia="Times New Roman"/>
          <w:b/>
          <w:color w:val="000000"/>
        </w:rPr>
      </w:pPr>
      <w:bookmarkStart w:id="0" w:name="_Toc284070833"/>
      <w:r>
        <w:rPr>
          <w:rFonts w:eastAsia="Times New Roman"/>
          <w:b/>
          <w:color w:val="000000"/>
        </w:rPr>
        <w:t>Recommendation</w:t>
      </w:r>
      <w:r w:rsidR="00C53682" w:rsidRPr="00C53682">
        <w:rPr>
          <w:rFonts w:eastAsia="Times New Roman"/>
          <w:b/>
          <w:color w:val="000000"/>
        </w:rPr>
        <w:t xml:space="preserve"> </w:t>
      </w:r>
      <w:r w:rsidR="00EC7FDF">
        <w:rPr>
          <w:rFonts w:eastAsia="Times New Roman"/>
          <w:b/>
          <w:color w:val="000000"/>
        </w:rPr>
        <w:t>${</w:t>
      </w:r>
      <w:r>
        <w:rPr>
          <w:rFonts w:eastAsia="Times New Roman"/>
          <w:b/>
          <w:color w:val="000000"/>
        </w:rPr>
        <w:t>REC</w:t>
      </w:r>
      <w:r w:rsidR="00EC7FDF">
        <w:rPr>
          <w:rFonts w:eastAsia="Times New Roman"/>
          <w:b/>
          <w:color w:val="000000"/>
        </w:rPr>
        <w:t>}</w:t>
      </w:r>
      <w:r w:rsidR="00B51A2D">
        <w:rPr>
          <w:rFonts w:eastAsia="Times New Roman"/>
          <w:b/>
          <w:color w:val="000000"/>
        </w:rPr>
        <w:t>:</w:t>
      </w:r>
      <w:r w:rsidR="00C53682" w:rsidRPr="00C53682">
        <w:rPr>
          <w:rFonts w:eastAsia="Times New Roman"/>
          <w:b/>
          <w:color w:val="000000"/>
        </w:rPr>
        <w:t xml:space="preserve"> INSTALL AIR</w:t>
      </w:r>
      <w:r w:rsidR="00D94F6C">
        <w:rPr>
          <w:rFonts w:eastAsia="Times New Roman"/>
          <w:b/>
          <w:color w:val="000000"/>
        </w:rPr>
        <w:t>-</w:t>
      </w:r>
      <w:r w:rsidR="00C53682" w:rsidRPr="00C53682">
        <w:rPr>
          <w:rFonts w:eastAsia="Times New Roman"/>
          <w:b/>
          <w:color w:val="000000"/>
        </w:rPr>
        <w:t>FUEL RATIO CONTROLLER</w:t>
      </w:r>
      <w:r w:rsidR="0062258B" w:rsidRPr="00C53682">
        <w:rPr>
          <w:rFonts w:eastAsia="Times New Roman"/>
          <w:b/>
          <w:color w:val="000000"/>
        </w:rPr>
        <w:fldChar w:fldCharType="begin"/>
      </w:r>
      <w:r w:rsidR="00A42997" w:rsidRPr="00C53682">
        <w:rPr>
          <w:rFonts w:eastAsia="Times New Roman"/>
          <w:b/>
          <w:color w:val="000000"/>
        </w:rPr>
        <w:instrText>tc  \l 2 "AR No. ___ - Adjust Boiler Air</w:instrText>
      </w:r>
      <w:r w:rsidR="00A42997" w:rsidRPr="00C53682">
        <w:rPr>
          <w:rFonts w:eastAsia="Times New Roman"/>
          <w:b/>
          <w:color w:val="000000"/>
        </w:rPr>
        <w:noBreakHyphen/>
        <w:instrText>Fuel Ratio"</w:instrText>
      </w:r>
      <w:r w:rsidR="0062258B" w:rsidRPr="00C53682">
        <w:rPr>
          <w:rFonts w:eastAsia="Times New Roman"/>
          <w:b/>
          <w:color w:val="000000"/>
        </w:rPr>
        <w:fldChar w:fldCharType="end"/>
      </w:r>
      <w:r w:rsidR="0062258B" w:rsidRPr="00C53682">
        <w:rPr>
          <w:rFonts w:eastAsia="Times New Roman"/>
          <w:b/>
          <w:color w:val="000000"/>
        </w:rPr>
        <w:fldChar w:fldCharType="begin"/>
      </w:r>
      <w:r w:rsidR="00A42997" w:rsidRPr="00C53682">
        <w:rPr>
          <w:rFonts w:eastAsia="Times New Roman"/>
          <w:b/>
          <w:color w:val="000000"/>
        </w:rPr>
        <w:instrText xml:space="preserve">PRIVATE </w:instrText>
      </w:r>
      <w:r w:rsidR="0062258B" w:rsidRPr="00C53682">
        <w:rPr>
          <w:rFonts w:eastAsia="Times New Roman"/>
          <w:b/>
          <w:color w:val="000000"/>
        </w:rPr>
        <w:fldChar w:fldCharType="end"/>
      </w:r>
      <w:r w:rsidR="00C53682" w:rsidRPr="00C53682">
        <w:rPr>
          <w:rFonts w:eastAsia="Times New Roman"/>
          <w:b/>
          <w:color w:val="000000"/>
        </w:rPr>
        <w:t xml:space="preserve">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A42997" w:rsidRPr="00E405AC" w14:paraId="67712D4B" w14:textId="77777777" w:rsidTr="00EC796C">
        <w:trPr>
          <w:jc w:val="center"/>
        </w:trPr>
        <w:tc>
          <w:tcPr>
            <w:tcW w:w="3080" w:type="dxa"/>
          </w:tcPr>
          <w:p w14:paraId="24D5D848" w14:textId="77777777" w:rsidR="00A42997" w:rsidRPr="00E405AC" w:rsidRDefault="00A42997" w:rsidP="00CC3C77">
            <w:pPr>
              <w:spacing w:before="60" w:after="60" w:line="276" w:lineRule="auto"/>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CC3C77">
            <w:pPr>
              <w:spacing w:before="60" w:after="60" w:line="276" w:lineRule="auto"/>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CC3C77">
            <w:pPr>
              <w:spacing w:before="60" w:after="60" w:line="276" w:lineRule="auto"/>
              <w:rPr>
                <w:rFonts w:eastAsia="Times New Roman"/>
              </w:rPr>
            </w:pPr>
            <w:r w:rsidRPr="00E405AC">
              <w:rPr>
                <w:rFonts w:eastAsia="Times New Roman"/>
              </w:rPr>
              <w:t>Implementation Cost</w:t>
            </w:r>
          </w:p>
        </w:tc>
        <w:tc>
          <w:tcPr>
            <w:tcW w:w="2050" w:type="dxa"/>
          </w:tcPr>
          <w:p w14:paraId="60BFBD1C" w14:textId="1CC0B4BC" w:rsidR="00A42997" w:rsidRPr="00E405AC" w:rsidRDefault="00A42997" w:rsidP="00CC3C77">
            <w:pPr>
              <w:spacing w:before="60" w:after="60" w:line="276" w:lineRule="auto"/>
              <w:rPr>
                <w:rFonts w:eastAsia="Times New Roman"/>
                <w:color w:val="000000"/>
              </w:rPr>
            </w:pPr>
            <w:r w:rsidRPr="00E405AC">
              <w:rPr>
                <w:rFonts w:eastAsia="Times New Roman"/>
                <w:color w:val="000000"/>
              </w:rPr>
              <w:t>$</w:t>
            </w:r>
            <w:r w:rsidR="0059203C">
              <w:rPr>
                <w:rFonts w:eastAsia="Times New Roman"/>
                <w:color w:val="000000"/>
              </w:rPr>
              <w:t>{</w:t>
            </w:r>
            <w:r w:rsidR="00EF7577">
              <w:rPr>
                <w:rFonts w:eastAsia="Times New Roman"/>
                <w:color w:val="000000"/>
              </w:rPr>
              <w:t>M</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CC3C77">
            <w:pPr>
              <w:spacing w:before="60" w:after="60" w:line="276" w:lineRule="auto"/>
              <w:rPr>
                <w:rFonts w:eastAsia="Times New Roman"/>
              </w:rPr>
            </w:pPr>
            <w:r w:rsidRPr="00E405AC">
              <w:rPr>
                <w:rFonts w:eastAsia="Times New Roman"/>
              </w:rPr>
              <w:t>Payback Period</w:t>
            </w:r>
          </w:p>
        </w:tc>
        <w:tc>
          <w:tcPr>
            <w:tcW w:w="2050" w:type="dxa"/>
          </w:tcPr>
          <w:p w14:paraId="11D42DAD" w14:textId="27E244D3" w:rsidR="00A42997" w:rsidRPr="00E405AC" w:rsidRDefault="0059203C" w:rsidP="00CC3C77">
            <w:pPr>
              <w:spacing w:before="60" w:after="60" w:line="276" w:lineRule="auto"/>
              <w:rPr>
                <w:rFonts w:eastAsia="Times New Roman"/>
                <w:color w:val="000000"/>
              </w:rPr>
            </w:pPr>
            <w:r>
              <w:rPr>
                <w:rFonts w:eastAsia="Times New Roman"/>
                <w:color w:val="000000"/>
              </w:rPr>
              <w:t>${</w:t>
            </w:r>
            <w:r w:rsidR="00EF7577">
              <w:rPr>
                <w:rFonts w:eastAsia="Times New Roman"/>
                <w:color w:val="000000"/>
              </w:rPr>
              <w:t>M</w:t>
            </w: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CC3C77">
            <w:pPr>
              <w:spacing w:before="60" w:after="60" w:line="276" w:lineRule="auto"/>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CC3C77">
            <w:pPr>
              <w:spacing w:before="60" w:after="60" w:line="276" w:lineRule="auto"/>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CC3C77">
            <w:pPr>
              <w:spacing w:before="60" w:after="60" w:line="276" w:lineRule="auto"/>
              <w:rPr>
                <w:rFonts w:eastAsia="Times New Roman"/>
              </w:rPr>
            </w:pPr>
            <w:r w:rsidRPr="00E405AC">
              <w:rPr>
                <w:rFonts w:eastAsia="Times New Roman"/>
              </w:rPr>
              <w:t>ARC Number</w:t>
            </w:r>
          </w:p>
        </w:tc>
        <w:tc>
          <w:tcPr>
            <w:tcW w:w="2050" w:type="dxa"/>
          </w:tcPr>
          <w:p w14:paraId="525BCA54" w14:textId="44AB6304" w:rsidR="00A42997" w:rsidRPr="00E405AC" w:rsidRDefault="00A42997" w:rsidP="00CC3C77">
            <w:pPr>
              <w:spacing w:before="60" w:after="60" w:line="276" w:lineRule="auto"/>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CC3C77">
      <w:pPr>
        <w:spacing w:line="360" w:lineRule="auto"/>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r w:rsidR="00BE328D">
        <w:rPr>
          <w:rFonts w:eastAsia="Times New Roman"/>
        </w:rPr>
        <w:t xml:space="preserve">${SIZE} </w:t>
      </w:r>
      <w:r w:rsidR="00BE328D">
        <w:rPr>
          <w:rFonts w:eastAsia="Times New Roman"/>
          <w:spacing w:val="-3"/>
        </w:rPr>
        <w:t>MMBtu/</w:t>
      </w:r>
      <w:proofErr w:type="spellStart"/>
      <w:r w:rsidR="00BE328D">
        <w:rPr>
          <w:rFonts w:eastAsia="Times New Roman"/>
          <w:spacing w:val="-3"/>
        </w:rPr>
        <w:t>hr</w:t>
      </w:r>
      <w:proofErr w:type="spellEnd"/>
      <w:r w:rsidR="00B51A2D">
        <w:rPr>
          <w:rFonts w:eastAsia="Times New Roman"/>
        </w:rPr>
        <w:t xml:space="preserve"> </w:t>
      </w:r>
      <w:r w:rsidR="00BE328D">
        <w:rPr>
          <w:rFonts w:eastAsia="Times New Roman"/>
        </w:rPr>
        <w:t>${EQUIP}</w:t>
      </w:r>
      <w:r w:rsidR="00D94F6C">
        <w:rPr>
          <w:rFonts w:eastAsia="Times New Roman"/>
        </w:rPr>
        <w:t xml:space="preserve"> </w:t>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r w:rsidR="00BE328D">
        <w:rPr>
          <w:rFonts w:eastAsia="Times New Roman"/>
        </w:rPr>
        <w:t>${O2}</w:t>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all of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CC3C77">
      <w:pPr>
        <w:spacing w:line="360" w:lineRule="auto"/>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CC3C77">
      <w:pPr>
        <w:spacing w:line="360" w:lineRule="auto"/>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6E8479F1" w:rsidR="004F1F8E" w:rsidRDefault="004C24A1" w:rsidP="00CC3C77">
      <w:pPr>
        <w:suppressAutoHyphens/>
        <w:spacing w:line="360" w:lineRule="auto"/>
        <w:jc w:val="both"/>
        <w:rPr>
          <w:rFonts w:eastAsia="Times New Roman"/>
          <w:spacing w:val="-3"/>
        </w:rPr>
      </w:pPr>
      <w:r>
        <w:rPr>
          <w:rFonts w:eastAsia="Times New Roman"/>
          <w:spacing w:val="-3"/>
        </w:rPr>
        <w:t>w</w:t>
      </w:r>
      <w:r w:rsidR="004F1F8E" w:rsidRPr="001A3D31">
        <w:rPr>
          <w:rFonts w:eastAsia="Times New Roman"/>
          <w:spacing w:val="-3"/>
        </w:rPr>
        <w:t>here</w:t>
      </w:r>
      <w:r>
        <w:rPr>
          <w:rFonts w:eastAsia="Times New Roman"/>
          <w:spacing w:val="-3"/>
        </w:rPr>
        <w:t>,</w:t>
      </w:r>
    </w:p>
    <w:p w14:paraId="7118A557" w14:textId="18431C8F" w:rsidR="004F1F8E" w:rsidRDefault="004F1F8E" w:rsidP="00CC3C77">
      <w:pPr>
        <w:suppressAutoHyphens/>
        <w:spacing w:line="360" w:lineRule="auto"/>
        <w:rPr>
          <w:rFonts w:eastAsia="Times New Roman"/>
          <w:spacing w:val="-3"/>
        </w:rPr>
      </w:pPr>
      <w:r>
        <w:rPr>
          <w:rFonts w:eastAsia="Times New Roman"/>
          <w:spacing w:val="-3"/>
        </w:rPr>
        <w:lastRenderedPageBreak/>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38693D">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proofErr w:type="spellStart"/>
      <w:r w:rsidR="00510638">
        <w:rPr>
          <w:rFonts w:eastAsia="Times New Roman"/>
          <w:spacing w:val="-3"/>
        </w:rPr>
        <w:t>hr</w:t>
      </w:r>
      <w:proofErr w:type="spellEnd"/>
    </w:p>
    <w:p w14:paraId="00E7F7B0" w14:textId="2BE9351D" w:rsidR="008D7AD7" w:rsidRDefault="008D7AD7" w:rsidP="00D74FC3">
      <w:pPr>
        <w:suppressAutoHyphens/>
        <w:spacing w:line="360" w:lineRule="auto"/>
        <w:ind w:left="720" w:hanging="720"/>
        <w:rPr>
          <w:rFonts w:eastAsia="Times New Roman"/>
          <w:spacing w:val="-3"/>
        </w:rPr>
      </w:pPr>
      <w:r>
        <w:rPr>
          <w:rFonts w:eastAsia="Times New Roman"/>
          <w:spacing w:val="-3"/>
        </w:rPr>
        <w:tab/>
        <w:t>OH</w:t>
      </w:r>
      <w:r>
        <w:rPr>
          <w:rFonts w:eastAsia="Times New Roman"/>
          <w:spacing w:val="-3"/>
        </w:rPr>
        <w:tab/>
        <w:t>= Operating hours</w:t>
      </w:r>
      <w:r w:rsidR="0038693D">
        <w:rPr>
          <w:rFonts w:eastAsia="Times New Roman"/>
          <w:spacing w:val="-3"/>
        </w:rPr>
        <w:t>:</w:t>
      </w:r>
      <w:r>
        <w:rPr>
          <w:rFonts w:eastAsia="Times New Roman"/>
          <w:spacing w:val="-3"/>
        </w:rPr>
        <w:t xml:space="preserve"> </w:t>
      </w:r>
      <w:r w:rsidR="00E971F4">
        <w:rPr>
          <w:rFonts w:eastAsia="Times New Roman"/>
          <w:spacing w:val="-3"/>
        </w:rPr>
        <w:t>${OH}</w:t>
      </w:r>
      <w:r>
        <w:rPr>
          <w:rFonts w:eastAsia="Times New Roman"/>
          <w:spacing w:val="-3"/>
        </w:rPr>
        <w:t xml:space="preserve"> </w:t>
      </w:r>
      <w:proofErr w:type="spellStart"/>
      <w:r>
        <w:rPr>
          <w:rFonts w:eastAsia="Times New Roman"/>
          <w:spacing w:val="-3"/>
        </w:rPr>
        <w:t>hr</w:t>
      </w:r>
      <w:r w:rsidR="00E971F4">
        <w:rPr>
          <w:rFonts w:eastAsia="Times New Roman"/>
          <w:spacing w:val="-3"/>
        </w:rPr>
        <w:t>s</w:t>
      </w:r>
      <w:proofErr w:type="spellEnd"/>
      <w:r>
        <w:rPr>
          <w:rFonts w:eastAsia="Times New Roman"/>
          <w:spacing w:val="-3"/>
        </w:rPr>
        <w:t>/</w:t>
      </w:r>
      <w:proofErr w:type="spellStart"/>
      <w:r>
        <w:rPr>
          <w:rFonts w:eastAsia="Times New Roman"/>
          <w:spacing w:val="-3"/>
        </w:rPr>
        <w:t>yr</w:t>
      </w:r>
      <w:proofErr w:type="spellEnd"/>
      <w:r>
        <w:rPr>
          <w:rFonts w:eastAsia="Times New Roman"/>
          <w:spacing w:val="-3"/>
        </w:rPr>
        <w:t xml:space="preserve"> (</w:t>
      </w:r>
      <w:r w:rsidR="00E971F4">
        <w:rPr>
          <w:rFonts w:eastAsia="Times New Roman"/>
          <w:spacing w:val="-3"/>
        </w:rPr>
        <w:t>${HR}</w:t>
      </w:r>
      <w:r w:rsidR="00D256CC">
        <w:rPr>
          <w:rFonts w:eastAsia="Times New Roman"/>
          <w:spacing w:val="-3"/>
        </w:rPr>
        <w:t xml:space="preserve"> </w:t>
      </w:r>
      <w:proofErr w:type="spellStart"/>
      <w:r>
        <w:rPr>
          <w:rFonts w:eastAsia="Times New Roman"/>
          <w:spacing w:val="-3"/>
        </w:rPr>
        <w:t>h</w:t>
      </w:r>
      <w:r w:rsidR="00D74FC3">
        <w:rPr>
          <w:rFonts w:eastAsia="Times New Roman"/>
          <w:spacing w:val="-3"/>
        </w:rPr>
        <w:t>r</w:t>
      </w:r>
      <w:r>
        <w:rPr>
          <w:rFonts w:eastAsia="Times New Roman"/>
          <w:spacing w:val="-3"/>
        </w:rPr>
        <w:t>s</w:t>
      </w:r>
      <w:proofErr w:type="spellEnd"/>
      <w:r>
        <w:rPr>
          <w:rFonts w:eastAsia="Times New Roman"/>
          <w:spacing w:val="-3"/>
        </w:rPr>
        <w:t xml:space="preserve"> per day, </w:t>
      </w:r>
      <w:r w:rsidR="00E971F4">
        <w:rPr>
          <w:rFonts w:eastAsia="Times New Roman"/>
          <w:spacing w:val="-3"/>
        </w:rPr>
        <w:t>${DY}</w:t>
      </w:r>
      <w:r>
        <w:rPr>
          <w:rFonts w:eastAsia="Times New Roman"/>
          <w:spacing w:val="-3"/>
        </w:rPr>
        <w:t xml:space="preserve"> days per week,</w:t>
      </w:r>
      <w:r w:rsidR="000201FF">
        <w:rPr>
          <w:rFonts w:eastAsia="Times New Roman"/>
          <w:spacing w:val="-3"/>
        </w:rPr>
        <w:t xml:space="preserve"> </w:t>
      </w:r>
      <w:r w:rsidR="00E971F4">
        <w:rPr>
          <w:rFonts w:eastAsia="Times New Roman"/>
          <w:spacing w:val="-3"/>
        </w:rPr>
        <w:t>${WK}</w:t>
      </w:r>
      <w:r>
        <w:rPr>
          <w:rFonts w:eastAsia="Times New Roman"/>
          <w:spacing w:val="-3"/>
        </w:rPr>
        <w:t xml:space="preserve"> </w:t>
      </w:r>
      <w:proofErr w:type="spellStart"/>
      <w:r>
        <w:rPr>
          <w:rFonts w:eastAsia="Times New Roman"/>
          <w:spacing w:val="-3"/>
        </w:rPr>
        <w:t>wks</w:t>
      </w:r>
      <w:proofErr w:type="spellEnd"/>
      <w:r>
        <w:rPr>
          <w:rFonts w:eastAsia="Times New Roman"/>
          <w:spacing w:val="-3"/>
        </w:rPr>
        <w:t xml:space="preserve"> per </w:t>
      </w:r>
      <w:proofErr w:type="spellStart"/>
      <w:r>
        <w:rPr>
          <w:rFonts w:eastAsia="Times New Roman"/>
          <w:spacing w:val="-3"/>
        </w:rPr>
        <w:t>yr</w:t>
      </w:r>
      <w:proofErr w:type="spellEnd"/>
      <w:r>
        <w:rPr>
          <w:rFonts w:eastAsia="Times New Roman"/>
          <w:spacing w:val="-3"/>
        </w:rPr>
        <w:t>)</w:t>
      </w:r>
    </w:p>
    <w:p w14:paraId="4B65350A" w14:textId="0398225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Load factor</w:t>
      </w:r>
      <w:r w:rsidR="0038693D">
        <w:rPr>
          <w:rFonts w:eastAsia="Times New Roman"/>
          <w:spacing w:val="-3"/>
        </w:rPr>
        <w:t>:</w:t>
      </w:r>
      <w:r>
        <w:rPr>
          <w:rFonts w:eastAsia="Times New Roman"/>
          <w:spacing w:val="-3"/>
        </w:rPr>
        <w:t xml:space="preserve"> </w:t>
      </w:r>
      <w:r w:rsidR="00045419">
        <w:rPr>
          <w:rFonts w:eastAsia="Times New Roman"/>
          <w:spacing w:val="-3"/>
        </w:rPr>
        <w:t>${LF}</w:t>
      </w:r>
      <w:r>
        <w:rPr>
          <w:rFonts w:eastAsia="Times New Roman"/>
          <w:spacing w:val="-3"/>
        </w:rPr>
        <w:t>%</w:t>
      </w:r>
    </w:p>
    <w:p w14:paraId="69BA2D99" w14:textId="4B14E37C" w:rsidR="004F1F8E" w:rsidRDefault="008D7AD7" w:rsidP="00CC3C77">
      <w:pPr>
        <w:suppressAutoHyphens/>
        <w:spacing w:line="360" w:lineRule="auto"/>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38693D">
        <w:rPr>
          <w:rFonts w:eastAsia="Times New Roman"/>
          <w:spacing w:val="-3"/>
        </w:rPr>
        <w:t>:</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w:t>
      </w:r>
      <w:proofErr w:type="spellStart"/>
      <w:r>
        <w:rPr>
          <w:rFonts w:eastAsia="Times New Roman"/>
        </w:rPr>
        <w:t>yr</w:t>
      </w:r>
      <w:proofErr w:type="spellEnd"/>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1" w:name="_Toc185230501"/>
            <w:bookmarkStart w:id="2" w:name="_Toc274939388"/>
            <w:bookmarkStart w:id="3"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r>
              <w:rPr>
                <w:rFonts w:eastAsia="Times New Roman"/>
              </w:rPr>
              <w:t>${O2}</w:t>
            </w:r>
            <w:r w:rsidR="009F5500" w:rsidRPr="00CF13FE">
              <w:rPr>
                <w:rFonts w:eastAsia="Times New Roman"/>
              </w:rPr>
              <w:t>%</w:t>
            </w:r>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1"/>
      <w:bookmarkEnd w:id="2"/>
      <w:bookmarkEnd w:id="3"/>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an annual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4F55AFD" w:rsidR="001C4F7C" w:rsidRDefault="001C4F7C" w:rsidP="00A278BD">
      <w:pPr>
        <w:suppressAutoHyphens/>
        <w:spacing w:line="360" w:lineRule="auto"/>
        <w:jc w:val="both"/>
        <w:rPr>
          <w:rFonts w:eastAsia="Times New Roman"/>
          <w:spacing w:val="-3"/>
        </w:rPr>
      </w:pP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xml:space="preserve">, with an additional cost of </w:t>
      </w:r>
      <w:r>
        <w:rPr>
          <w:rFonts w:eastAsia="Times New Roman"/>
          <w:spacing w:val="-3"/>
        </w:rPr>
        <w:lastRenderedPageBreak/>
        <w:t>$</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r w:rsidR="00405DB5">
        <w:rPr>
          <w:rFonts w:eastAsia="Times New Roman"/>
          <w:spacing w:val="-3"/>
        </w:rPr>
        <w:t>${IC}</w:t>
      </w:r>
      <w:r>
        <w:rPr>
          <w:rFonts w:eastAsia="Times New Roman"/>
          <w:spacing w:val="-3"/>
        </w:rPr>
        <w:t>.</w:t>
      </w:r>
      <w:r w:rsidR="0038693D">
        <w:rPr>
          <w:rFonts w:eastAsia="Times New Roman"/>
          <w:color w:val="000000"/>
        </w:rPr>
        <w:t>&lt;REBATE&gt;</w:t>
      </w:r>
    </w:p>
    <w:p w14:paraId="0735DB02" w14:textId="593658B1"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381F9892" w14:textId="7F703B0F" w:rsidR="00A278BD"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sidR="006E3674">
        <w:rPr>
          <w:rFonts w:eastAsia="Times New Roman"/>
          <w:color w:val="000000"/>
        </w:rPr>
        <w:t>NG</w:t>
      </w:r>
      <w:r>
        <w:rPr>
          <w:rFonts w:eastAsia="Times New Roman"/>
          <w:color w:val="000000"/>
        </w:rPr>
        <w:t>S</w:t>
      </w:r>
    </w:p>
    <w:p w14:paraId="2F2CDF66" w14:textId="24880DAA"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w:t>
      </w:r>
      <w:r w:rsidR="006E3674">
        <w:rPr>
          <w:rFonts w:eastAsia="Times New Roman"/>
          <w:color w:val="000000"/>
        </w:rPr>
        <w:t>NG</w:t>
      </w:r>
      <w:r>
        <w:rPr>
          <w:rFonts w:eastAsia="Times New Roman"/>
          <w:color w:val="000000"/>
        </w:rPr>
        <w:t>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67831508" w14:textId="77777777" w:rsidR="00A278BD" w:rsidRPr="00D55E46" w:rsidRDefault="00A278BD" w:rsidP="00A278BD">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2ACAD0F7" w14:textId="77777777" w:rsidR="00A278BD" w:rsidRPr="00D55E46" w:rsidRDefault="00A278BD" w:rsidP="00A278BD">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41BF4D47" w14:textId="77777777" w:rsidR="00A278BD" w:rsidRPr="00D55E46" w:rsidRDefault="00A278BD" w:rsidP="00A278BD">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63046373" w14:textId="77777777" w:rsidR="00A278BD" w:rsidRPr="00D55E46" w:rsidRDefault="00A278BD" w:rsidP="00A278BD">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3A6817A2" w14:textId="77777777" w:rsidR="00A278BD" w:rsidRDefault="00A278BD" w:rsidP="00A278BD">
      <w:pPr>
        <w:spacing w:line="360" w:lineRule="auto"/>
        <w:jc w:val="both"/>
        <w:rPr>
          <w:bCs/>
        </w:rPr>
      </w:pPr>
      <w:r w:rsidRPr="00D55E46">
        <w:rPr>
          <w:bCs/>
        </w:rPr>
        <w:tab/>
      </w:r>
      <w:r>
        <w:rPr>
          <w:bCs/>
        </w:rPr>
        <w:tab/>
      </w:r>
      <w:r w:rsidRPr="00D55E46">
        <w:rPr>
          <w:bCs/>
        </w:rPr>
        <w:t xml:space="preserve">= </w:t>
      </w:r>
      <w:r w:rsidRPr="00D55E46">
        <w:t>$</w:t>
      </w:r>
      <w:r>
        <w:t>{MIC}</w:t>
      </w:r>
    </w:p>
    <w:p w14:paraId="317F99A3" w14:textId="1280F17A" w:rsidR="00A278BD" w:rsidRPr="006E3674" w:rsidRDefault="00A278BD" w:rsidP="006E3674">
      <w:pPr>
        <w:spacing w:line="360" w:lineRule="auto"/>
        <w:jc w:val="both"/>
        <w:rPr>
          <w:bCs/>
        </w:rPr>
      </w:pPr>
      <w:r>
        <w:rPr>
          <w:bCs/>
        </w:rPr>
        <w:tab/>
        <w:t>The modified implementation cost is ${MIC}.&lt;/REBATE&gt;</w:t>
      </w:r>
    </w:p>
    <w:p w14:paraId="7A828E99" w14:textId="7C6E3EBA" w:rsidR="001C4F7C" w:rsidRPr="00431F4F" w:rsidRDefault="001C4F7C" w:rsidP="00CC3C77">
      <w:pPr>
        <w:spacing w:before="120" w:line="360" w:lineRule="auto"/>
        <w:ind w:firstLine="720"/>
        <w:jc w:val="both"/>
        <w:rPr>
          <w:rFonts w:eastAsia="Times New Roman"/>
          <w:b/>
          <w:bCs/>
        </w:rPr>
      </w:pPr>
      <w:r w:rsidRPr="00D44BE3">
        <w:rPr>
          <w:rFonts w:eastAsia="Times New Roman"/>
          <w:b/>
        </w:rPr>
        <w:t xml:space="preserve">The annual energy savings for this </w:t>
      </w:r>
      <w:r w:rsidR="007B0403">
        <w:rPr>
          <w:rFonts w:eastAsia="Times New Roman"/>
          <w:b/>
        </w:rPr>
        <w:t>recommendation</w:t>
      </w:r>
      <w:r w:rsidRPr="00D44BE3">
        <w:rPr>
          <w:rFonts w:eastAsia="Times New Roman"/>
          <w:b/>
        </w:rPr>
        <w:t xml:space="preserve">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w:t>
      </w:r>
      <w:r w:rsidR="00C168F4">
        <w:rPr>
          <w:rFonts w:eastAsia="Times New Roman"/>
          <w:b/>
          <w:bCs/>
          <w:u w:val="single"/>
        </w:rPr>
        <w:t>M</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w:t>
      </w:r>
      <w:r w:rsidR="00C168F4">
        <w:rPr>
          <w:rFonts w:eastAsia="Times New Roman"/>
          <w:b/>
          <w:bCs/>
          <w:u w:val="single"/>
        </w:rPr>
        <w:t>M</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application. The client should contact a vendor(s) to conduct a detailed study of the process, in</w:t>
      </w:r>
      <w:r w:rsidR="00927C65">
        <w:rPr>
          <w:color w:val="auto"/>
          <w:spacing w:val="-3"/>
        </w:rPr>
        <w:t xml:space="preserve"> </w:t>
      </w:r>
      <w:r w:rsidRPr="009B32A7">
        <w:rPr>
          <w:color w:val="auto"/>
          <w:spacing w:val="-3"/>
        </w:rPr>
        <w:t>order to determine the best product for the recommended application.</w:t>
      </w:r>
    </w:p>
    <w:p w14:paraId="10FE833E" w14:textId="0FBFD46C" w:rsidR="00B93F3C" w:rsidRPr="00182F13" w:rsidRDefault="00000000" w:rsidP="00182F13">
      <w:pPr>
        <w:pStyle w:val="BodyText2"/>
        <w:numPr>
          <w:ilvl w:val="0"/>
          <w:numId w:val="4"/>
        </w:numPr>
        <w:ind w:left="360"/>
        <w:rPr>
          <w:rFonts w:eastAsia="Times New Roman"/>
          <w:color w:val="auto"/>
        </w:rPr>
      </w:pPr>
      <w:hyperlink r:id="rId8" w:history="1">
        <w:r w:rsidR="00B93F3C" w:rsidRPr="00B93F3C">
          <w:rPr>
            <w:rStyle w:val="Hyperlink"/>
            <w:rFonts w:eastAsia="Times New Roman"/>
          </w:rPr>
          <w:t>http://cleanboiler.org/learn-about/boiler-efficiency-improvement/efficiency-index/oxygen-control/</w:t>
        </w:r>
      </w:hyperlink>
    </w:p>
    <w:p w14:paraId="3261D33B" w14:textId="1A5DA242" w:rsidR="00C65CA2" w:rsidRPr="00C65CA2" w:rsidRDefault="00000000"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9" w:history="1">
        <w:r w:rsidR="00182F13"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xml:space="preserve">, and excess air in the exhaust gases are 2.2%, 10.5%, and 10% respectively for natural gas-fired boilers. The air-fuel ratio should be adjusted to the recommended optimum values if possible; however, a </w:t>
      </w:r>
      <w:r w:rsidRPr="00E405AC">
        <w:rPr>
          <w:rFonts w:eastAsia="Times New Roman"/>
          <w:color w:val="000000"/>
          <w:spacing w:val="-3"/>
        </w:rPr>
        <w:lastRenderedPageBreak/>
        <w:t>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F above the saturated 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E85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9CD81" w14:textId="77777777" w:rsidR="00E85885" w:rsidRDefault="00E85885" w:rsidP="00A42997">
      <w:r>
        <w:separator/>
      </w:r>
    </w:p>
  </w:endnote>
  <w:endnote w:type="continuationSeparator" w:id="0">
    <w:p w14:paraId="46C46C95" w14:textId="77777777" w:rsidR="00E85885" w:rsidRDefault="00E85885"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50AE" w14:textId="77777777" w:rsidR="00E85885" w:rsidRDefault="00E85885" w:rsidP="00A42997">
      <w:r>
        <w:separator/>
      </w:r>
    </w:p>
  </w:footnote>
  <w:footnote w:type="continuationSeparator" w:id="0">
    <w:p w14:paraId="2FC7F0B4" w14:textId="77777777" w:rsidR="00E85885" w:rsidRDefault="00E85885"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5C8"/>
    <w:rsid w:val="000201FF"/>
    <w:rsid w:val="000238B1"/>
    <w:rsid w:val="0003572F"/>
    <w:rsid w:val="00045419"/>
    <w:rsid w:val="000665DD"/>
    <w:rsid w:val="000838EB"/>
    <w:rsid w:val="000D4B0D"/>
    <w:rsid w:val="001228D3"/>
    <w:rsid w:val="00123EFB"/>
    <w:rsid w:val="00135A05"/>
    <w:rsid w:val="0015437F"/>
    <w:rsid w:val="0015618B"/>
    <w:rsid w:val="00182F13"/>
    <w:rsid w:val="001A01B9"/>
    <w:rsid w:val="001A1B2A"/>
    <w:rsid w:val="001C3933"/>
    <w:rsid w:val="001C4F7C"/>
    <w:rsid w:val="001C516C"/>
    <w:rsid w:val="001D7980"/>
    <w:rsid w:val="001F3511"/>
    <w:rsid w:val="001F44DA"/>
    <w:rsid w:val="001F75A6"/>
    <w:rsid w:val="0020176A"/>
    <w:rsid w:val="00204C46"/>
    <w:rsid w:val="00205306"/>
    <w:rsid w:val="0022127E"/>
    <w:rsid w:val="00233947"/>
    <w:rsid w:val="00237CC7"/>
    <w:rsid w:val="00251CC5"/>
    <w:rsid w:val="0025557C"/>
    <w:rsid w:val="00262871"/>
    <w:rsid w:val="00293266"/>
    <w:rsid w:val="002B45F5"/>
    <w:rsid w:val="002C44FE"/>
    <w:rsid w:val="002F1D4E"/>
    <w:rsid w:val="00336663"/>
    <w:rsid w:val="00343E76"/>
    <w:rsid w:val="00352EC0"/>
    <w:rsid w:val="00360000"/>
    <w:rsid w:val="00365F4E"/>
    <w:rsid w:val="00372679"/>
    <w:rsid w:val="00372CA9"/>
    <w:rsid w:val="00381B1D"/>
    <w:rsid w:val="0038693D"/>
    <w:rsid w:val="003A7F44"/>
    <w:rsid w:val="003B7938"/>
    <w:rsid w:val="003C5632"/>
    <w:rsid w:val="003D6B8A"/>
    <w:rsid w:val="003E56A4"/>
    <w:rsid w:val="00405DB5"/>
    <w:rsid w:val="00431F4F"/>
    <w:rsid w:val="0048499F"/>
    <w:rsid w:val="00491CB3"/>
    <w:rsid w:val="00496888"/>
    <w:rsid w:val="004C0FCA"/>
    <w:rsid w:val="004C24A1"/>
    <w:rsid w:val="004D4F91"/>
    <w:rsid w:val="004F1F8E"/>
    <w:rsid w:val="00510638"/>
    <w:rsid w:val="00533F4D"/>
    <w:rsid w:val="005352A4"/>
    <w:rsid w:val="00547A7B"/>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580F"/>
    <w:rsid w:val="00615402"/>
    <w:rsid w:val="0062258B"/>
    <w:rsid w:val="00627E3C"/>
    <w:rsid w:val="00634855"/>
    <w:rsid w:val="006463FD"/>
    <w:rsid w:val="00680D62"/>
    <w:rsid w:val="006A3C85"/>
    <w:rsid w:val="006A4821"/>
    <w:rsid w:val="006B5388"/>
    <w:rsid w:val="006D74B7"/>
    <w:rsid w:val="006E3674"/>
    <w:rsid w:val="0070086B"/>
    <w:rsid w:val="00701742"/>
    <w:rsid w:val="007022FA"/>
    <w:rsid w:val="00710328"/>
    <w:rsid w:val="007164A4"/>
    <w:rsid w:val="00724BE2"/>
    <w:rsid w:val="00725EBE"/>
    <w:rsid w:val="00727A7D"/>
    <w:rsid w:val="00765357"/>
    <w:rsid w:val="00772562"/>
    <w:rsid w:val="00775501"/>
    <w:rsid w:val="007B0403"/>
    <w:rsid w:val="007B0F4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22D0F"/>
    <w:rsid w:val="00924B69"/>
    <w:rsid w:val="00927C65"/>
    <w:rsid w:val="0093342F"/>
    <w:rsid w:val="00951D3A"/>
    <w:rsid w:val="00984A98"/>
    <w:rsid w:val="009B5D6D"/>
    <w:rsid w:val="009C2B60"/>
    <w:rsid w:val="009D36A9"/>
    <w:rsid w:val="009E2CAE"/>
    <w:rsid w:val="009F060F"/>
    <w:rsid w:val="009F5500"/>
    <w:rsid w:val="00A07AFE"/>
    <w:rsid w:val="00A15AE5"/>
    <w:rsid w:val="00A278BD"/>
    <w:rsid w:val="00A30B5E"/>
    <w:rsid w:val="00A42997"/>
    <w:rsid w:val="00A5271C"/>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D1D8C"/>
    <w:rsid w:val="00BE328D"/>
    <w:rsid w:val="00BE5B63"/>
    <w:rsid w:val="00BF4161"/>
    <w:rsid w:val="00C078D2"/>
    <w:rsid w:val="00C168F4"/>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069CF"/>
    <w:rsid w:val="00D256CC"/>
    <w:rsid w:val="00D307E3"/>
    <w:rsid w:val="00D363AF"/>
    <w:rsid w:val="00D42FD9"/>
    <w:rsid w:val="00D44BE3"/>
    <w:rsid w:val="00D74FC3"/>
    <w:rsid w:val="00D93FCF"/>
    <w:rsid w:val="00D94F6C"/>
    <w:rsid w:val="00D95318"/>
    <w:rsid w:val="00DC0311"/>
    <w:rsid w:val="00E00430"/>
    <w:rsid w:val="00E01AF4"/>
    <w:rsid w:val="00E07426"/>
    <w:rsid w:val="00E21B50"/>
    <w:rsid w:val="00E405AC"/>
    <w:rsid w:val="00E428E9"/>
    <w:rsid w:val="00E61B00"/>
    <w:rsid w:val="00E711BD"/>
    <w:rsid w:val="00E712B8"/>
    <w:rsid w:val="00E726CD"/>
    <w:rsid w:val="00E80EED"/>
    <w:rsid w:val="00E85885"/>
    <w:rsid w:val="00E971F4"/>
    <w:rsid w:val="00EA044C"/>
    <w:rsid w:val="00EB5A37"/>
    <w:rsid w:val="00EC796C"/>
    <w:rsid w:val="00EC7FDF"/>
    <w:rsid w:val="00EF6E8D"/>
    <w:rsid w:val="00EF6F6F"/>
    <w:rsid w:val="00EF7577"/>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leanboiler.org/learn-about/boiler-efficiency-improvement/efficiency-index/oxyge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Alex Rios</cp:lastModifiedBy>
  <cp:revision>151</cp:revision>
  <dcterms:created xsi:type="dcterms:W3CDTF">2023-12-18T04:40:00Z</dcterms:created>
  <dcterms:modified xsi:type="dcterms:W3CDTF">2024-03-25T15:36:00Z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