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9841410"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21A12283" w:rsidR="00425AA0" w:rsidRDefault="00970109" w:rsidP="00970109">
      <w:pPr>
        <w:spacing w:line="360" w:lineRule="auto"/>
        <w:jc w:val="both"/>
      </w:pPr>
      <w:r>
        <w:lastRenderedPageBreak/>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fractional </w:t>
      </w:r>
      <w:r w:rsidR="000A43DA">
        <w:lastRenderedPageBreak/>
        <w:t>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3BB45EB0"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423142">
        <w:t>motor</w:t>
      </w:r>
      <w:r w:rsidR="005748A3">
        <w:t>;</w:t>
      </w:r>
      <w:r w:rsidR="005906E7">
        <w:t xml:space="preserve"> </w:t>
      </w:r>
      <w:r w:rsidR="0073181D">
        <w:t>${HP</w:t>
      </w:r>
      <w:r w:rsidR="00D75B40">
        <w:t>C</w:t>
      </w:r>
      <w:r w:rsidR="0073181D">
        <w:t>}</w:t>
      </w:r>
      <w:r w:rsidR="005906E7">
        <w:t xml:space="preserve"> HP</w:t>
      </w:r>
    </w:p>
    <w:p w14:paraId="13B0C415" w14:textId="56A59A6E"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motor; ${HPP}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1FCC5CED" w:rsidR="0044388C" w:rsidRDefault="0044388C" w:rsidP="0044388C">
      <w:pPr>
        <w:spacing w:line="360" w:lineRule="auto"/>
        <w:jc w:val="both"/>
      </w:pPr>
      <w:r>
        <w:tab/>
      </w:r>
      <w:r w:rsidR="00EA3F0C">
        <w:t>FP</w:t>
      </w:r>
      <w:r w:rsidR="00EA3F0C" w:rsidRPr="00D45C47">
        <w:rPr>
          <w:vertAlign w:val="subscript"/>
        </w:rPr>
        <w:t>C</w:t>
      </w:r>
      <w:r>
        <w:tab/>
        <w:t xml:space="preserve">= Power fraction of the </w:t>
      </w:r>
      <w:r w:rsidR="00606A44">
        <w:t xml:space="preserve">current </w:t>
      </w:r>
      <w:r>
        <w:t xml:space="preserve">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52D87B57"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xml:space="preserve">= Power fraction of the </w:t>
      </w:r>
      <w:r w:rsidR="00606A44">
        <w:t xml:space="preserve">proposed </w:t>
      </w:r>
      <w:r w:rsidR="00423142">
        <w:t>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lastRenderedPageBreak/>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2EB5FEB0" w14:textId="56008D46" w:rsidR="00B44FBE" w:rsidRPr="00B20A9E" w:rsidRDefault="00B44FBE" w:rsidP="00B44FBE">
      <w:pPr>
        <w:spacing w:line="360" w:lineRule="auto"/>
        <w:ind w:firstLine="720"/>
        <w:jc w:val="both"/>
      </w:pPr>
      <w:r w:rsidRPr="00B20A9E">
        <w:t xml:space="preserve">Based on information obtained from suppliers, it is estimated that the cost of a new </w:t>
      </w:r>
      <w:r w:rsidR="00FC4815">
        <w:t xml:space="preserve">${HP} </w:t>
      </w:r>
      <w:r>
        <w:t xml:space="preserve">HP Compressor with Variable Frequency Drive (VFD) </w:t>
      </w:r>
      <w:r w:rsidRPr="00B20A9E">
        <w:t xml:space="preserve">will be </w:t>
      </w:r>
      <w:r>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Pr="00B20A9E">
        <w:t xml:space="preserve">with installation cost to be about </w:t>
      </w:r>
      <w:r w:rsidR="00990303">
        <w:t>${AIC}</w:t>
      </w:r>
      <w:r w:rsidRPr="00B20A9E">
        <w:t xml:space="preserve">. The total </w:t>
      </w:r>
      <w:r w:rsidRPr="00B20A9E">
        <w:lastRenderedPageBreak/>
        <w:t>implementation cost is estimated as</w:t>
      </w:r>
      <w:r w:rsidRPr="00B20A9E">
        <w:rPr>
          <w:color w:val="FF0000"/>
        </w:rPr>
        <w:t xml:space="preserve"> </w:t>
      </w:r>
      <w:r w:rsidR="00111E7E">
        <w:t>${IC}</w:t>
      </w:r>
      <w:r w:rsidRPr="00B20A9E">
        <w:t>.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CF877" w14:textId="77777777" w:rsidR="0088725E" w:rsidRDefault="0088725E">
      <w:r>
        <w:separator/>
      </w:r>
    </w:p>
  </w:endnote>
  <w:endnote w:type="continuationSeparator" w:id="0">
    <w:p w14:paraId="54558F31" w14:textId="77777777" w:rsidR="0088725E" w:rsidRDefault="0088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41A7" w14:textId="77777777" w:rsidR="0088725E" w:rsidRDefault="0088725E">
      <w:r>
        <w:separator/>
      </w:r>
    </w:p>
  </w:footnote>
  <w:footnote w:type="continuationSeparator" w:id="0">
    <w:p w14:paraId="638F112B" w14:textId="77777777" w:rsidR="0088725E" w:rsidRDefault="0088725E">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A56E3"/>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86AF0"/>
    <w:rsid w:val="0088725E"/>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33C5C"/>
    <w:rsid w:val="00940562"/>
    <w:rsid w:val="009435F1"/>
    <w:rsid w:val="00944A66"/>
    <w:rsid w:val="00947827"/>
    <w:rsid w:val="0095407F"/>
    <w:rsid w:val="00954F32"/>
    <w:rsid w:val="00962A91"/>
    <w:rsid w:val="009635B0"/>
    <w:rsid w:val="00970109"/>
    <w:rsid w:val="00970F44"/>
    <w:rsid w:val="00973F14"/>
    <w:rsid w:val="00990303"/>
    <w:rsid w:val="00991583"/>
    <w:rsid w:val="009A7198"/>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C4815"/>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335</cp:revision>
  <dcterms:created xsi:type="dcterms:W3CDTF">2022-11-02T15:15:00Z</dcterms:created>
  <dcterms:modified xsi:type="dcterms:W3CDTF">2024-02-05T16:21:00Z</dcterms:modified>
</cp:coreProperties>
</file>