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1B3B3324" w:rsidR="00DC6174" w:rsidRPr="00DC40FA" w:rsidRDefault="00054C32" w:rsidP="004D44BC">
      <w:pPr>
        <w:pStyle w:val="Heading1"/>
        <w:spacing w:before="0" w:line="360" w:lineRule="auto"/>
        <w:jc w:val="center"/>
        <w:rPr>
          <w:rFonts w:ascii="Times New Roman" w:eastAsia="Times New Roman" w:hAnsi="Times New Roman" w:cs="Times New Roman"/>
          <w:bCs w:val="0"/>
          <w:color w:val="auto"/>
        </w:rPr>
      </w:pPr>
      <w:r w:rsidRPr="00DC40FA">
        <w:rPr>
          <w:rFonts w:ascii="Times New Roman" w:eastAsia="Times New Roman" w:hAnsi="Times New Roman" w:cs="Times New Roman"/>
          <w:bCs w:val="0"/>
          <w:color w:val="auto"/>
        </w:rPr>
        <w:t xml:space="preserve">AR </w:t>
      </w:r>
      <w:r w:rsidR="0073181D">
        <w:rPr>
          <w:rFonts w:ascii="Times New Roman" w:eastAsia="Times New Roman" w:hAnsi="Times New Roman" w:cs="Times New Roman"/>
          <w:bCs w:val="0"/>
          <w:color w:val="auto"/>
        </w:rPr>
        <w:t>${AR}</w:t>
      </w:r>
      <w:r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Install</w:t>
      </w:r>
      <w:r w:rsidR="00830511" w:rsidRPr="00DC40FA">
        <w:rPr>
          <w:rFonts w:ascii="Times New Roman" w:eastAsia="Times New Roman" w:hAnsi="Times New Roman" w:cs="Times New Roman"/>
          <w:bCs w:val="0"/>
          <w:color w:val="auto"/>
        </w:rPr>
        <w:t xml:space="preserve"> VFD </w:t>
      </w:r>
      <w:r w:rsidR="00325374" w:rsidRPr="00DC40FA">
        <w:rPr>
          <w:rFonts w:ascii="Times New Roman" w:eastAsia="Times New Roman" w:hAnsi="Times New Roman" w:cs="Times New Roman"/>
          <w:bCs w:val="0"/>
          <w:color w:val="auto"/>
        </w:rPr>
        <w:t>on</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Air</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Compressor</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3EFCF9F0"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It is recommended to supplement the existing air compressor package with a VFD</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to increase the savings at partial load compared against the current control system.</w:t>
      </w:r>
    </w:p>
    <w:p w14:paraId="2AB686A9" w14:textId="77777777"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1934D4CF" w:rsidR="00DC6174" w:rsidRDefault="00054C32" w:rsidP="004D44BC">
            <w:pPr>
              <w:spacing w:before="60" w:after="60" w:line="360" w:lineRule="auto"/>
            </w:pPr>
            <w:r>
              <w:t>2.4146</w:t>
            </w:r>
          </w:p>
        </w:tc>
      </w:tr>
    </w:tbl>
    <w:p w14:paraId="4B968C21" w14:textId="78F04180"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681C4970" w:rsidR="00DC6174" w:rsidRPr="005B2B2C" w:rsidRDefault="00544392" w:rsidP="00544392">
      <w:pPr>
        <w:spacing w:line="360" w:lineRule="auto"/>
        <w:rPr>
          <w:bCs/>
        </w:rPr>
      </w:pPr>
      <w:r>
        <w:rPr>
          <w:bCs/>
        </w:rPr>
        <w:tab/>
      </w:r>
      <w:r w:rsidR="005B2B2C" w:rsidRPr="005B2B2C">
        <w:rPr>
          <w:bCs/>
        </w:rPr>
        <w:t>The change in the power of the motors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4959" w:type="dxa"/>
        <w:jc w:val="center"/>
        <w:tblLayout w:type="fixed"/>
        <w:tblLook w:val="0000" w:firstRow="0" w:lastRow="0" w:firstColumn="0" w:lastColumn="0" w:noHBand="0" w:noVBand="0"/>
      </w:tblPr>
      <w:tblGrid>
        <w:gridCol w:w="1653"/>
        <w:gridCol w:w="1653"/>
        <w:gridCol w:w="1653"/>
      </w:tblGrid>
      <w:tr w:rsidR="00DC6174" w14:paraId="2815F4BE" w14:textId="77777777" w:rsidTr="005B2B2C">
        <w:trPr>
          <w:trHeight w:val="314"/>
          <w:jc w:val="center"/>
        </w:trPr>
        <w:tc>
          <w:tcPr>
            <w:tcW w:w="1653" w:type="dxa"/>
            <w:vMerge w:val="restart"/>
            <w:tcBorders>
              <w:top w:val="single" w:sz="4" w:space="0" w:color="000000"/>
              <w:left w:val="single" w:sz="4" w:space="0" w:color="000000"/>
              <w:right w:val="single" w:sz="4" w:space="0" w:color="000000"/>
            </w:tcBorders>
            <w:shd w:val="clear" w:color="auto" w:fill="D9D9D9"/>
            <w:vAlign w:val="center"/>
          </w:tcPr>
          <w:p w14:paraId="15F1EC39" w14:textId="1434EE43" w:rsidR="00DC6174" w:rsidRPr="00C2746D" w:rsidRDefault="00EF2C01" w:rsidP="004D44BC">
            <w:pPr>
              <w:spacing w:line="276" w:lineRule="auto"/>
              <w:jc w:val="center"/>
              <w:rPr>
                <w:snapToGrid w:val="0"/>
              </w:rPr>
            </w:pPr>
            <w:r>
              <w:rPr>
                <w:snapToGrid w:val="0"/>
              </w:rPr>
              <w:lastRenderedPageBreak/>
              <w:t>RPM</w:t>
            </w:r>
          </w:p>
          <w:p w14:paraId="7CFFFBAE" w14:textId="77777777" w:rsidR="00DC6174" w:rsidRPr="00C2746D" w:rsidRDefault="00054C32" w:rsidP="004D44BC">
            <w:pPr>
              <w:spacing w:line="276" w:lineRule="auto"/>
              <w:jc w:val="center"/>
              <w:rPr>
                <w:snapToGrid w:val="0"/>
              </w:rPr>
            </w:pPr>
            <w:r w:rsidRPr="00C2746D">
              <w:rPr>
                <w:snapToGrid w:val="0"/>
              </w:rPr>
              <w:t>%</w:t>
            </w:r>
          </w:p>
        </w:tc>
        <w:tc>
          <w:tcPr>
            <w:tcW w:w="33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C2746D" w:rsidRDefault="008C37E0" w:rsidP="004D44BC">
            <w:pPr>
              <w:spacing w:before="60" w:after="60" w:line="276" w:lineRule="auto"/>
              <w:jc w:val="center"/>
              <w:rPr>
                <w:snapToGrid w:val="0"/>
              </w:rPr>
            </w:pPr>
            <w:r>
              <w:rPr>
                <w:snapToGrid w:val="0"/>
              </w:rPr>
              <w:t>Compressor</w:t>
            </w:r>
            <w:r w:rsidRPr="00C2746D">
              <w:rPr>
                <w:snapToGrid w:val="0"/>
              </w:rPr>
              <w:t xml:space="preserve"> </w:t>
            </w:r>
            <w:r w:rsidR="00054C32" w:rsidRPr="00C2746D">
              <w:rPr>
                <w:snapToGrid w:val="0"/>
              </w:rPr>
              <w:t>Power Consumption</w:t>
            </w:r>
          </w:p>
        </w:tc>
      </w:tr>
      <w:tr w:rsidR="00DC6174" w14:paraId="122D8887" w14:textId="77777777" w:rsidTr="005B2B2C">
        <w:trPr>
          <w:trHeight w:val="575"/>
          <w:jc w:val="center"/>
        </w:trPr>
        <w:tc>
          <w:tcPr>
            <w:tcW w:w="1653"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C2746D" w:rsidRDefault="00DC6174" w:rsidP="004D44BC">
            <w:pPr>
              <w:pBdr>
                <w:top w:val="nil"/>
                <w:left w:val="nil"/>
                <w:bottom w:val="nil"/>
                <w:right w:val="nil"/>
                <w:between w:val="nil"/>
              </w:pBdr>
              <w:spacing w:line="276" w:lineRule="auto"/>
              <w:jc w:val="center"/>
              <w:rPr>
                <w:snapToGrid w:val="0"/>
              </w:rPr>
            </w:pPr>
          </w:p>
        </w:tc>
        <w:tc>
          <w:tcPr>
            <w:tcW w:w="1653" w:type="dxa"/>
            <w:tcBorders>
              <w:top w:val="single" w:sz="4" w:space="0" w:color="000000"/>
              <w:left w:val="single" w:sz="4" w:space="0" w:color="000000"/>
              <w:bottom w:val="single" w:sz="4" w:space="0" w:color="000000"/>
            </w:tcBorders>
            <w:shd w:val="clear" w:color="auto" w:fill="D9D9D9"/>
            <w:vAlign w:val="center"/>
          </w:tcPr>
          <w:p w14:paraId="51761F3B" w14:textId="77777777" w:rsidR="00DC6174" w:rsidRPr="00C2746D" w:rsidRDefault="00054C32" w:rsidP="004D44BC">
            <w:pPr>
              <w:spacing w:line="276" w:lineRule="auto"/>
              <w:jc w:val="center"/>
              <w:rPr>
                <w:snapToGrid w:val="0"/>
              </w:rPr>
            </w:pPr>
            <w:r w:rsidRPr="00C2746D">
              <w:rPr>
                <w:snapToGrid w:val="0"/>
              </w:rPr>
              <w:t>No Control</w:t>
            </w:r>
          </w:p>
          <w:p w14:paraId="3B98F120" w14:textId="77777777" w:rsidR="00DC6174" w:rsidRPr="00C2746D" w:rsidRDefault="00054C32" w:rsidP="004D44BC">
            <w:pPr>
              <w:spacing w:line="276" w:lineRule="auto"/>
              <w:jc w:val="center"/>
              <w:rPr>
                <w:snapToGrid w:val="0"/>
              </w:rPr>
            </w:pPr>
            <w:r w:rsidRPr="00C2746D">
              <w:rPr>
                <w:snapToGrid w:val="0"/>
              </w:rPr>
              <w:t>%</w:t>
            </w:r>
          </w:p>
        </w:tc>
        <w:tc>
          <w:tcPr>
            <w:tcW w:w="16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673888" w14:textId="77777777" w:rsidR="00DC6174" w:rsidRPr="00C2746D" w:rsidRDefault="00054C32" w:rsidP="004D44BC">
            <w:pPr>
              <w:spacing w:line="276" w:lineRule="auto"/>
              <w:jc w:val="center"/>
              <w:rPr>
                <w:snapToGrid w:val="0"/>
              </w:rPr>
            </w:pPr>
            <w:r w:rsidRPr="00C2746D">
              <w:rPr>
                <w:snapToGrid w:val="0"/>
              </w:rPr>
              <w:t>VFD</w:t>
            </w:r>
          </w:p>
          <w:p w14:paraId="13F0A66E" w14:textId="77777777" w:rsidR="00DC6174" w:rsidRPr="00C2746D" w:rsidRDefault="00054C32" w:rsidP="004D44BC">
            <w:pPr>
              <w:spacing w:line="276" w:lineRule="auto"/>
              <w:jc w:val="center"/>
              <w:rPr>
                <w:snapToGrid w:val="0"/>
              </w:rPr>
            </w:pPr>
            <w:r w:rsidRPr="00C2746D">
              <w:rPr>
                <w:snapToGrid w:val="0"/>
              </w:rPr>
              <w:t>%</w:t>
            </w:r>
          </w:p>
        </w:tc>
      </w:tr>
      <w:tr w:rsidR="00DC6174" w14:paraId="7FEF299D"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653"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653"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653"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653"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653"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653"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653"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653"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653"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653"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653"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653"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653"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653"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653"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653"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7D95F62B" w14:textId="3A49D8FE" w:rsidR="00DC6174" w:rsidRDefault="00C2746D" w:rsidP="004D44BC">
      <w:pPr>
        <w:pBdr>
          <w:top w:val="nil"/>
          <w:left w:val="nil"/>
          <w:bottom w:val="nil"/>
          <w:right w:val="nil"/>
          <w:between w:val="nil"/>
        </w:pBdr>
        <w:spacing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EF2C01">
        <w:rPr>
          <w:rFonts w:eastAsia="Times New Roman"/>
          <w:b/>
          <w:color w:val="000000"/>
        </w:rPr>
        <w:t>RPM</w:t>
      </w:r>
      <w:r w:rsidR="00054C32">
        <w:rPr>
          <w:rFonts w:eastAsia="Times New Roman"/>
          <w:b/>
          <w:color w:val="000000"/>
        </w:rPr>
        <w:t>.</w:t>
      </w:r>
    </w:p>
    <w:p w14:paraId="77E35A2F" w14:textId="2C545035" w:rsidR="00146965" w:rsidRDefault="00B464B1" w:rsidP="00B464B1">
      <w:pPr>
        <w:pBdr>
          <w:top w:val="nil"/>
          <w:left w:val="nil"/>
          <w:bottom w:val="nil"/>
          <w:right w:val="nil"/>
          <w:between w:val="nil"/>
        </w:pBdr>
        <w:spacing w:line="360" w:lineRule="auto"/>
        <w:jc w:val="both"/>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p>
    <w:p w14:paraId="7D11C388" w14:textId="225A4FC2" w:rsidR="00DC6174" w:rsidRDefault="00AA46E9" w:rsidP="00CE4285">
      <w:pPr>
        <w:spacing w:line="360" w:lineRule="auto"/>
        <w:jc w:val="both"/>
      </w:pPr>
      <w:bookmarkStart w:id="1" w:name="_Hlk103245661"/>
      <w:r>
        <w:tab/>
      </w:r>
      <w:r w:rsidR="00054C32">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rsidR="00054C32">
        <w:t>can be calculated as follows:</w:t>
      </w:r>
    </w:p>
    <w:p w14:paraId="66E08DFA" w14:textId="58CDAB5B"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 </w:t>
      </w:r>
      <w:r w:rsidRPr="00790581">
        <w:sym w:font="Symbol" w:char="F068"/>
      </w:r>
      <w:r w:rsidRPr="00790581">
        <w:rPr>
          <w:vertAlign w:val="subscript"/>
        </w:rPr>
        <w:t>Exis</w:t>
      </w:r>
      <w:r w:rsidR="00BB4226">
        <w:rPr>
          <w:vertAlign w:val="subscript"/>
        </w:rPr>
        <w:t>t</w:t>
      </w:r>
    </w:p>
    <w:p w14:paraId="5ED8ED7E" w14:textId="77777777"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 xml:space="preserve">FR </w:t>
      </w:r>
      <w:r w:rsidRPr="00790581">
        <w:t xml:space="preserve">/ </w:t>
      </w:r>
      <w:r w:rsidRPr="00790581">
        <w:sym w:font="Symbol" w:char="F068"/>
      </w:r>
      <w:r>
        <w:rPr>
          <w:vertAlign w:val="subscript"/>
        </w:rPr>
        <w:t>Prop</w:t>
      </w:r>
    </w:p>
    <w:p w14:paraId="4092410A" w14:textId="431BF0C9" w:rsidR="00ED4834" w:rsidRDefault="00ED4834" w:rsidP="00CE4285">
      <w:pPr>
        <w:pStyle w:val="BodyTextIndent"/>
        <w:spacing w:line="360" w:lineRule="auto"/>
        <w:ind w:firstLine="0"/>
        <w:jc w:val="both"/>
      </w:pPr>
      <w:r>
        <w:t>where</w:t>
      </w:r>
    </w:p>
    <w:p w14:paraId="17E0A122" w14:textId="1B01E43F"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73181D">
        <w:t>${HP}</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28F68B3E" w14:textId="4F9DC12F" w:rsidR="00970F44" w:rsidRDefault="00FD278B" w:rsidP="00CE4285">
      <w:pPr>
        <w:spacing w:line="360" w:lineRule="auto"/>
        <w:jc w:val="both"/>
      </w:pPr>
      <w:bookmarkStart w:id="2" w:name="_Hlk103245757"/>
      <w:r>
        <w:lastRenderedPageBreak/>
        <w:tab/>
      </w:r>
      <w:r w:rsidR="00030329">
        <w:t>FR</w:t>
      </w:r>
      <w:r w:rsidR="00423142">
        <w:tab/>
        <w:t>= Power fraction of the motor with VFD</w:t>
      </w:r>
      <w:r w:rsidR="00897AA9">
        <w:t xml:space="preserve"> at </w:t>
      </w:r>
      <w:r w:rsidR="002A6EB3">
        <w:t xml:space="preserve">average </w:t>
      </w:r>
      <w:r w:rsidR="00161CB7">
        <w:t>${LF}</w:t>
      </w:r>
      <w:r w:rsidR="000A52B4">
        <w:t>%</w:t>
      </w:r>
      <w:r w:rsidR="00897AA9">
        <w:t xml:space="preserve"> load</w:t>
      </w:r>
      <w:r w:rsidR="00423142">
        <w:t>;</w:t>
      </w:r>
      <w:bookmarkEnd w:id="2"/>
    </w:p>
    <w:p w14:paraId="67C655C5" w14:textId="7F0B4456" w:rsidR="00423142" w:rsidRDefault="00FD278B" w:rsidP="00CE4285">
      <w:pPr>
        <w:spacing w:line="360" w:lineRule="auto"/>
        <w:jc w:val="both"/>
      </w:pPr>
      <w:r>
        <w:tab/>
      </w:r>
      <w:r>
        <w:tab/>
      </w:r>
      <w:r w:rsidR="00970F44">
        <w:t xml:space="preserve">= </w:t>
      </w:r>
      <w:r w:rsidR="00F66BA2">
        <w:t>${FR}</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3077A5EF"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350CDBF"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${FR}</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307816B9" w:rsidR="00DC6174" w:rsidRDefault="00494DA2" w:rsidP="00CE4285">
      <w:pPr>
        <w:spacing w:line="360" w:lineRule="auto"/>
        <w:jc w:val="both"/>
      </w:pPr>
      <w:r>
        <w:t>w</w:t>
      </w:r>
      <w:r w:rsidR="00054C32">
        <w:t>here</w:t>
      </w:r>
    </w:p>
    <w:p w14:paraId="2DF7FD52" w14:textId="2112663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hr</w:t>
      </w:r>
      <w:r w:rsidR="009635B0">
        <w:t>s</w:t>
      </w:r>
      <w:r w:rsidR="008B735D">
        <w:t>/yr (</w:t>
      </w:r>
      <w:r w:rsidR="00161CB7">
        <w:t>${HR}</w:t>
      </w:r>
      <w:r w:rsidR="008B735D">
        <w:t xml:space="preserve"> hr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4D890A34" w:rsidR="009635B0" w:rsidRDefault="00FD278B" w:rsidP="00CE4285">
      <w:pPr>
        <w:spacing w:line="360" w:lineRule="auto"/>
        <w:jc w:val="both"/>
      </w:pPr>
      <w:r>
        <w:tab/>
      </w:r>
      <w:r w:rsidR="009635B0">
        <w:t>ES</w:t>
      </w:r>
      <w:r w:rsidR="009635B0">
        <w:tab/>
        <w:t>= (</w:t>
      </w:r>
      <w:r w:rsidR="00C41624">
        <w:t>${CPD}</w:t>
      </w:r>
      <w:r w:rsidR="009635B0">
        <w:t xml:space="preserve"> kW – </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6DFCCA2F" w:rsidR="00DE3835" w:rsidRDefault="00FD278B" w:rsidP="00CE4285">
      <w:pPr>
        <w:spacing w:line="360" w:lineRule="auto"/>
        <w:jc w:val="both"/>
      </w:pPr>
      <w:r>
        <w:tab/>
      </w:r>
      <w:r w:rsidR="00DE3835">
        <w:t>C</w:t>
      </w:r>
      <w:r w:rsidR="00DE3835">
        <w:rPr>
          <w:vertAlign w:val="subscript"/>
        </w:rPr>
        <w:t>2</w:t>
      </w:r>
      <w:r w:rsidR="00DE3835">
        <w:tab/>
        <w:t>= Conversion constant; 12 months/yr</w:t>
      </w:r>
    </w:p>
    <w:p w14:paraId="0E4BC14A" w14:textId="62E1D523"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 xml:space="preserve">mo/yr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 xml:space="preserve">kWh/yr × </w:t>
      </w:r>
      <w:r w:rsidR="00DE79A2">
        <w:t>${EC}</w:t>
      </w:r>
      <w:r w:rsidR="00054C32">
        <w:t xml:space="preserve">/kWh </w:t>
      </w:r>
      <w:r w:rsidR="003A47F4">
        <w:t xml:space="preserve">+ </w:t>
      </w:r>
      <w:r w:rsidR="00D674BA">
        <w:t>${DS}</w:t>
      </w:r>
      <w:r w:rsidR="008253AD">
        <w:t xml:space="preserve"> </w:t>
      </w:r>
      <w:r w:rsidR="00054C32">
        <w:t xml:space="preserve">kW/yr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1B3FC16D" w:rsidR="00DC6174" w:rsidRPr="00B20A9E" w:rsidRDefault="005B7F5F" w:rsidP="00CE4285">
      <w:pPr>
        <w:spacing w:line="360" w:lineRule="auto"/>
        <w:jc w:val="both"/>
      </w:pPr>
      <w:r>
        <w:lastRenderedPageBreak/>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a new air tank will be $</w:t>
      </w:r>
      <w:r w:rsidR="00E5638B" w:rsidRPr="006D7109">
        <w:t>5</w:t>
      </w:r>
      <w:r w:rsidR="00F3320E" w:rsidRPr="006D7109">
        <w:t xml:space="preserve">,000,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r w:rsidR="00AB1D52">
        <w:t>yr</w:t>
      </w:r>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r w:rsidR="00AB1D52">
        <w:t>yr</w:t>
      </w:r>
      <w:r w:rsidR="0059790B" w:rsidRPr="00B20A9E">
        <w:t xml:space="preserve"> × </w:t>
      </w:r>
      <w:r w:rsidR="00D674BA">
        <w:t>${ES}</w:t>
      </w:r>
      <w:r w:rsidR="0059790B" w:rsidRPr="00B20A9E">
        <w:t xml:space="preserve"> kWh/yr</w:t>
      </w:r>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07A9503C"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9"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0"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lastRenderedPageBreak/>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B73A" w14:textId="77777777" w:rsidR="00D629E7" w:rsidRDefault="00D629E7">
      <w:r>
        <w:separator/>
      </w:r>
    </w:p>
  </w:endnote>
  <w:endnote w:type="continuationSeparator" w:id="0">
    <w:p w14:paraId="336DE65A" w14:textId="77777777" w:rsidR="00D629E7" w:rsidRDefault="00D62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103E" w14:textId="77777777" w:rsidR="00D629E7" w:rsidRDefault="00D629E7">
      <w:r>
        <w:separator/>
      </w:r>
    </w:p>
  </w:footnote>
  <w:footnote w:type="continuationSeparator" w:id="0">
    <w:p w14:paraId="7F8EF271" w14:textId="77777777" w:rsidR="00D629E7" w:rsidRDefault="00D629E7">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Adjustable Speed Drives Directory,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741D1"/>
    <w:rsid w:val="00091B07"/>
    <w:rsid w:val="00092EED"/>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68FC"/>
    <w:rsid w:val="001A707D"/>
    <w:rsid w:val="001C00F8"/>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7DBA"/>
    <w:rsid w:val="00325374"/>
    <w:rsid w:val="0033082D"/>
    <w:rsid w:val="00335C22"/>
    <w:rsid w:val="00337571"/>
    <w:rsid w:val="0033757B"/>
    <w:rsid w:val="00350628"/>
    <w:rsid w:val="003526E4"/>
    <w:rsid w:val="0036123D"/>
    <w:rsid w:val="00365D98"/>
    <w:rsid w:val="0037157D"/>
    <w:rsid w:val="0037228A"/>
    <w:rsid w:val="00384A67"/>
    <w:rsid w:val="00396025"/>
    <w:rsid w:val="003A212A"/>
    <w:rsid w:val="003A47F4"/>
    <w:rsid w:val="003A4CFC"/>
    <w:rsid w:val="003B4B27"/>
    <w:rsid w:val="003D2008"/>
    <w:rsid w:val="003D7A7D"/>
    <w:rsid w:val="003E289A"/>
    <w:rsid w:val="003F4096"/>
    <w:rsid w:val="00404471"/>
    <w:rsid w:val="004129EC"/>
    <w:rsid w:val="00423142"/>
    <w:rsid w:val="00425AA0"/>
    <w:rsid w:val="00426B14"/>
    <w:rsid w:val="004363B3"/>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6676"/>
    <w:rsid w:val="005906E7"/>
    <w:rsid w:val="0059790B"/>
    <w:rsid w:val="005A3656"/>
    <w:rsid w:val="005B024F"/>
    <w:rsid w:val="005B2B2C"/>
    <w:rsid w:val="005B5A7E"/>
    <w:rsid w:val="005B72E9"/>
    <w:rsid w:val="005B7F5F"/>
    <w:rsid w:val="005D08C2"/>
    <w:rsid w:val="005D58EE"/>
    <w:rsid w:val="005E15B8"/>
    <w:rsid w:val="005E23F6"/>
    <w:rsid w:val="006314D0"/>
    <w:rsid w:val="00631D0C"/>
    <w:rsid w:val="0063619C"/>
    <w:rsid w:val="0063691F"/>
    <w:rsid w:val="0063763E"/>
    <w:rsid w:val="006451AD"/>
    <w:rsid w:val="00650576"/>
    <w:rsid w:val="00662537"/>
    <w:rsid w:val="00665549"/>
    <w:rsid w:val="00666CB3"/>
    <w:rsid w:val="00672268"/>
    <w:rsid w:val="00673EA9"/>
    <w:rsid w:val="00675DD7"/>
    <w:rsid w:val="00682C6E"/>
    <w:rsid w:val="00694864"/>
    <w:rsid w:val="00694957"/>
    <w:rsid w:val="006A4411"/>
    <w:rsid w:val="006A64A1"/>
    <w:rsid w:val="006B6C31"/>
    <w:rsid w:val="006C77FA"/>
    <w:rsid w:val="006D7109"/>
    <w:rsid w:val="0070100A"/>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7EF5"/>
    <w:rsid w:val="008001E3"/>
    <w:rsid w:val="00800914"/>
    <w:rsid w:val="00805A0D"/>
    <w:rsid w:val="00806D77"/>
    <w:rsid w:val="00824262"/>
    <w:rsid w:val="008253AD"/>
    <w:rsid w:val="00830511"/>
    <w:rsid w:val="00831BFD"/>
    <w:rsid w:val="00837242"/>
    <w:rsid w:val="00847944"/>
    <w:rsid w:val="008507D8"/>
    <w:rsid w:val="00851517"/>
    <w:rsid w:val="008529F7"/>
    <w:rsid w:val="0086540A"/>
    <w:rsid w:val="008669C8"/>
    <w:rsid w:val="008706DE"/>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4A2C"/>
    <w:rsid w:val="008E7EF3"/>
    <w:rsid w:val="008F0861"/>
    <w:rsid w:val="008F2AA3"/>
    <w:rsid w:val="008F44C6"/>
    <w:rsid w:val="008F56F7"/>
    <w:rsid w:val="00905FB4"/>
    <w:rsid w:val="009139B2"/>
    <w:rsid w:val="00916D50"/>
    <w:rsid w:val="0092422E"/>
    <w:rsid w:val="00940562"/>
    <w:rsid w:val="009435F1"/>
    <w:rsid w:val="00947827"/>
    <w:rsid w:val="0095407F"/>
    <w:rsid w:val="00954F32"/>
    <w:rsid w:val="00962A91"/>
    <w:rsid w:val="009635B0"/>
    <w:rsid w:val="00970109"/>
    <w:rsid w:val="00970F44"/>
    <w:rsid w:val="00973F14"/>
    <w:rsid w:val="00991583"/>
    <w:rsid w:val="009B7054"/>
    <w:rsid w:val="009C1D79"/>
    <w:rsid w:val="009C7CDE"/>
    <w:rsid w:val="009D1BDE"/>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701C8"/>
    <w:rsid w:val="00B70C54"/>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E31B7"/>
    <w:rsid w:val="00CE4285"/>
    <w:rsid w:val="00CE7624"/>
    <w:rsid w:val="00CF28DB"/>
    <w:rsid w:val="00CF3D3B"/>
    <w:rsid w:val="00D0153D"/>
    <w:rsid w:val="00D079A5"/>
    <w:rsid w:val="00D25E18"/>
    <w:rsid w:val="00D25FEB"/>
    <w:rsid w:val="00D376FD"/>
    <w:rsid w:val="00D45F65"/>
    <w:rsid w:val="00D629E7"/>
    <w:rsid w:val="00D6340F"/>
    <w:rsid w:val="00D674BA"/>
    <w:rsid w:val="00D71AAA"/>
    <w:rsid w:val="00D7634D"/>
    <w:rsid w:val="00D94F65"/>
    <w:rsid w:val="00DA3F82"/>
    <w:rsid w:val="00DA4712"/>
    <w:rsid w:val="00DA538E"/>
    <w:rsid w:val="00DB0C84"/>
    <w:rsid w:val="00DB3FEC"/>
    <w:rsid w:val="00DC40FA"/>
    <w:rsid w:val="00DC6174"/>
    <w:rsid w:val="00DD0DC7"/>
    <w:rsid w:val="00DD3F85"/>
    <w:rsid w:val="00DE3263"/>
    <w:rsid w:val="00DE3835"/>
    <w:rsid w:val="00DE3973"/>
    <w:rsid w:val="00DE79A2"/>
    <w:rsid w:val="00DF698D"/>
    <w:rsid w:val="00E01A3C"/>
    <w:rsid w:val="00E12062"/>
    <w:rsid w:val="00E35CBE"/>
    <w:rsid w:val="00E51C6A"/>
    <w:rsid w:val="00E5638B"/>
    <w:rsid w:val="00E63C9E"/>
    <w:rsid w:val="00E80EEC"/>
    <w:rsid w:val="00E820AB"/>
    <w:rsid w:val="00E82E9D"/>
    <w:rsid w:val="00EA1E32"/>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rPr>
      <w:rFonts w:eastAsia="SimSun"/>
    </w:rPr>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llsurplus.com/asset/184/18850" TargetMode="External"/><Relationship Id="rId4" Type="http://schemas.openxmlformats.org/officeDocument/2006/relationships/styles" Target="styles.xml"/><Relationship Id="rId9" Type="http://schemas.openxmlformats.org/officeDocument/2006/relationships/hyperlink" Target="https://www.precision-elec.com/shop/dcs800-s02-2050-0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Industrial Assessment Center</cp:lastModifiedBy>
  <cp:revision>284</cp:revision>
  <dcterms:created xsi:type="dcterms:W3CDTF">2022-11-02T15:15:00Z</dcterms:created>
  <dcterms:modified xsi:type="dcterms:W3CDTF">2023-11-30T20:38:00Z</dcterms:modified>
</cp:coreProperties>
</file>