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150B28">
            <w:pPr>
              <w:spacing w:before="60" w:after="60" w:line="276" w:lineRule="auto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150B28">
            <w:pPr>
              <w:spacing w:before="60" w:after="60" w:line="276" w:lineRule="auto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150B28">
            <w:pPr>
              <w:spacing w:before="60" w:after="60" w:line="276" w:lineRule="auto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150B28">
            <w:pPr>
              <w:spacing w:before="60" w:after="60" w:line="276" w:lineRule="auto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150B28">
            <w:pPr>
              <w:spacing w:before="60" w:after="60" w:line="276" w:lineRule="auto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150B28">
            <w:pPr>
              <w:spacing w:before="60" w:after="60" w:line="276" w:lineRule="auto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r>
        <w:t>w</w:t>
      </w:r>
      <w:r w:rsidR="005E1B50" w:rsidRPr="00E12336">
        <w:t>here</w:t>
      </w:r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5D833507" w:rsidR="00384706" w:rsidRPr="00E12336" w:rsidRDefault="005E1B50" w:rsidP="009F21A3">
      <w:pPr>
        <w:spacing w:line="360" w:lineRule="auto"/>
        <w:jc w:val="both"/>
      </w:pPr>
      <w:r w:rsidRPr="00E12336">
        <w:tab/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r w:rsidRPr="00E12336">
        <w:t>hrs/yr (</w:t>
      </w:r>
      <w:r w:rsidR="005C742D">
        <w:t>${HR}</w:t>
      </w:r>
      <w:r w:rsidR="001A2DF6">
        <w:t xml:space="preserve"> hours per day, </w:t>
      </w:r>
      <w:r w:rsidR="005C742D">
        <w:t>${DY}</w:t>
      </w:r>
      <w:r w:rsidR="001A2DF6">
        <w:t xml:space="preserve"> days per week, </w:t>
      </w:r>
      <w:r w:rsidR="005C742D">
        <w:t>${WK}</w:t>
      </w:r>
      <w:r w:rsidR="001A2DF6">
        <w:t xml:space="preserve"> weeks per year</w:t>
      </w:r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hrs/yr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r>
        <w:t>w</w:t>
      </w:r>
      <w:r w:rsidR="005E1B50" w:rsidRPr="00E12336">
        <w:t>here</w:t>
      </w:r>
      <w:r>
        <w:t>,</w:t>
      </w:r>
    </w:p>
    <w:p w14:paraId="69CCC57D" w14:textId="34CEEF68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CF </w:t>
      </w:r>
      <w:r w:rsidR="005E1B50" w:rsidRPr="00E12336">
        <w:tab/>
        <w:t>= Coincidence factor - probability that the equipment contributes to the facility</w:t>
      </w:r>
      <w:r w:rsidR="00625625" w:rsidRPr="00E12336">
        <w:t xml:space="preserve"> </w:t>
      </w:r>
      <w:r w:rsidR="005E1B50" w:rsidRPr="00E12336">
        <w:t xml:space="preserve">peak demand, </w:t>
      </w:r>
      <w:r w:rsidR="00F078B4">
        <w:t>${CF}</w:t>
      </w:r>
      <w:r w:rsidR="00FF4BCE" w:rsidRPr="00E12336">
        <w:t>%</w:t>
      </w:r>
      <w:r w:rsidR="00155F1E">
        <w:t>/mo</w:t>
      </w:r>
      <w:r w:rsidR="005E1B50"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mo</w:t>
      </w:r>
      <w:r w:rsidR="006242F2">
        <w:t>s</w:t>
      </w:r>
      <w:r w:rsidR="00155F1E">
        <w:t>/yr</w:t>
      </w:r>
    </w:p>
    <w:p w14:paraId="33EACED5" w14:textId="5B3E276A" w:rsidR="00EF2311" w:rsidRPr="00E12336" w:rsidRDefault="00005345" w:rsidP="00005345">
      <w:pPr>
        <w:spacing w:line="360" w:lineRule="auto"/>
        <w:jc w:val="both"/>
      </w:pPr>
      <w:r>
        <w:tab/>
      </w:r>
      <w:r w:rsidR="00EF2311">
        <w:t>D</w:t>
      </w:r>
      <w:r>
        <w:t>S</w:t>
      </w:r>
      <w:r w:rsidR="00EF2311">
        <w:tab/>
        <w:t xml:space="preserve">= </w:t>
      </w:r>
      <w:r w:rsidR="001F5EE6">
        <w:t>${HP}</w:t>
      </w:r>
      <w:r w:rsidR="00EF2311">
        <w:t xml:space="preserve"> HP </w:t>
      </w:r>
      <w:r w:rsidR="00EF2311" w:rsidRPr="00E12336">
        <w:t>×</w:t>
      </w:r>
      <w:r w:rsidR="00EF2311">
        <w:t xml:space="preserve"> 0.746 kW/HP </w:t>
      </w:r>
      <w:r w:rsidR="00EF2311" w:rsidRPr="00E12336">
        <w:t>×</w:t>
      </w:r>
      <w:r w:rsidR="00EF2311">
        <w:t xml:space="preserve"> </w:t>
      </w:r>
      <w:r w:rsidR="005C742D">
        <w:t>${LF}</w:t>
      </w:r>
      <w:r w:rsidR="00EF2311">
        <w:t xml:space="preserve">% </w:t>
      </w:r>
      <w:r w:rsidR="00EF2311" w:rsidRPr="00E12336">
        <w:t>×</w:t>
      </w:r>
      <w:r w:rsidR="00EF2311">
        <w:t xml:space="preserve"> </w:t>
      </w:r>
      <w:r w:rsidR="00F078B4">
        <w:t>${CF}</w:t>
      </w:r>
      <w:r w:rsidR="00EF2311">
        <w:t xml:space="preserve">%/mo </w:t>
      </w:r>
      <w:r w:rsidR="00EF2311" w:rsidRPr="00E12336">
        <w:t>×</w:t>
      </w:r>
      <w:r w:rsidR="00EF2311">
        <w:t xml:space="preserve"> </w:t>
      </w:r>
      <w:r w:rsidR="00EF2311" w:rsidRPr="00E12336">
        <w:t>12</w:t>
      </w:r>
      <w:r w:rsidR="00EF2311">
        <w:t xml:space="preserve"> mos/yr</w:t>
      </w:r>
      <w:r w:rsidR="00EF2311" w:rsidRPr="00E12336">
        <w:t xml:space="preserve"> ×</w:t>
      </w:r>
      <w:r w:rsidR="00EF2311">
        <w:t xml:space="preserve"> 1.5% / </w:t>
      </w:r>
      <w:r w:rsidR="005C742D">
        <w:t>${ETA}</w:t>
      </w:r>
      <w:r w:rsidR="00EF2311"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6FFBBABF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>= ES ×</w:t>
      </w:r>
      <w:r w:rsidR="005A0E9A" w:rsidRPr="00E12336">
        <w:t xml:space="preserve"> </w:t>
      </w:r>
      <w:r w:rsidR="00974F09">
        <w:t>Electricity cost</w:t>
      </w:r>
      <w:r w:rsidRPr="00E12336">
        <w:t xml:space="preserve"> + D</w:t>
      </w:r>
      <w:r w:rsidR="00974F09">
        <w:t>S</w:t>
      </w:r>
      <w:r w:rsidRPr="00E12336">
        <w:t xml:space="preserve"> ×</w:t>
      </w:r>
      <w:r w:rsidR="00974F09">
        <w:t xml:space="preserve"> Demand cost</w:t>
      </w:r>
    </w:p>
    <w:p w14:paraId="1955491C" w14:textId="316F0E00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${ES}</w:t>
      </w:r>
      <w:r w:rsidR="003A02F5" w:rsidRPr="00E12336">
        <w:t xml:space="preserve"> kWh/yr </w:t>
      </w:r>
      <w:r w:rsidR="005E1B50" w:rsidRPr="00E12336">
        <w:t xml:space="preserve">× </w:t>
      </w:r>
      <w:r w:rsidR="00305BD3">
        <w:t>${EC}</w:t>
      </w:r>
      <w:r w:rsidR="005E1B50" w:rsidRPr="00E12336">
        <w:t xml:space="preserve">/kWh + 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/yr</w:t>
      </w:r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r w:rsidRPr="00E12336">
        <w:t>yr</w:t>
      </w:r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in order to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7971" w14:textId="77777777" w:rsidR="00927FED" w:rsidRDefault="00927FED">
      <w:r>
        <w:separator/>
      </w:r>
    </w:p>
  </w:endnote>
  <w:endnote w:type="continuationSeparator" w:id="0">
    <w:p w14:paraId="76E2CEFF" w14:textId="77777777" w:rsidR="00927FED" w:rsidRDefault="009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6A166" w14:textId="77777777" w:rsidR="00927FED" w:rsidRDefault="00927FED">
      <w:r>
        <w:separator/>
      </w:r>
    </w:p>
  </w:footnote>
  <w:footnote w:type="continuationSeparator" w:id="0">
    <w:p w14:paraId="49ED497C" w14:textId="77777777" w:rsidR="00927FED" w:rsidRDefault="00927FED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31426"/>
    <w:rsid w:val="00051B8E"/>
    <w:rsid w:val="00096200"/>
    <w:rsid w:val="000B3A4C"/>
    <w:rsid w:val="000D3CD6"/>
    <w:rsid w:val="000E4ABB"/>
    <w:rsid w:val="00112D65"/>
    <w:rsid w:val="0013059C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68A9"/>
    <w:rsid w:val="00586134"/>
    <w:rsid w:val="00586CF0"/>
    <w:rsid w:val="005A0E9A"/>
    <w:rsid w:val="005A7223"/>
    <w:rsid w:val="005C742D"/>
    <w:rsid w:val="005E1B50"/>
    <w:rsid w:val="005E3009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F21A3"/>
    <w:rsid w:val="00A01CDF"/>
    <w:rsid w:val="00A80146"/>
    <w:rsid w:val="00A967EA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78B4"/>
    <w:rsid w:val="00F21713"/>
    <w:rsid w:val="00F2272B"/>
    <w:rsid w:val="00F4620F"/>
    <w:rsid w:val="00F4630A"/>
    <w:rsid w:val="00F70093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89</cp:revision>
  <dcterms:created xsi:type="dcterms:W3CDTF">2023-06-15T15:19:00Z</dcterms:created>
  <dcterms:modified xsi:type="dcterms:W3CDTF">2024-02-20T04:05:00Z</dcterms:modified>
</cp:coreProperties>
</file>