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OAK-D S2 PoE</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256/512/1024MBit QSPI NOR Flash</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Gigabit Ethernet + PoE power</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2-lane MIPI connects OV9282 1MP global shutter cameras with no IR filter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center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VESA-spec (7.5cm, M4) set of mounting holes on the back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IP67 rated</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spacing w:before="0" w:after="160" w:line="240"/>
        <w:ind w:right="0" w:left="0" w:firstLine="0"/>
        <w:jc w:val="both"/>
        <w:rPr>
          <w:rFonts w:ascii="Arial" w:hAnsi="Arial" w:cs="Arial" w:eastAsia="Arial"/>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2"/>
          <w:shd w:fill="FCFCFC" w:val="clear"/>
        </w:rPr>
      </w:pPr>
      <w:r>
        <w:rPr>
          <w:rFonts w:ascii="Arial" w:hAnsi="Arial" w:cs="Arial" w:eastAsia="Arial"/>
          <w:color w:val="auto"/>
          <w:spacing w:val="0"/>
          <w:position w:val="0"/>
          <w:sz w:val="22"/>
          <w:shd w:fill="auto" w:val="clear"/>
        </w:rPr>
        <w:t xml:space="preserve">The Luxonis OAK-D S2 PoE is an AI Edge vision system driven by Movidius Myriad X VPU. The system is powered with Power over Ethernet (PoE). </w:t>
      </w:r>
      <w:r>
        <w:rPr>
          <w:rFonts w:ascii="Arial" w:hAnsi="Arial" w:cs="Arial" w:eastAsia="Arial"/>
          <w:color w:val="auto"/>
          <w:spacing w:val="0"/>
          <w:position w:val="0"/>
          <w:sz w:val="22"/>
          <w:shd w:fill="FCFCFC" w:val="clear"/>
        </w:rPr>
        <w:t xml:space="preserve">OAK-D S2 PoE has three on-board cameras which implement stereo and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auto"/>
          <w:spacing w:val="0"/>
          <w:position w:val="0"/>
          <w:sz w:val="22"/>
          <w:shd w:fill="FCFCFC" w:val="clear"/>
        </w:rPr>
        <w:t xml:space="preserve"> for depth and AI processing. The data is then output to a host via Gigabit Ethernet connection using an M12 X-coded connector. </w:t>
      </w:r>
    </w:p>
    <w:p>
      <w:pPr>
        <w:spacing w:before="0" w:after="160" w:line="259"/>
        <w:ind w:right="0" w:left="0" w:firstLine="0"/>
        <w:jc w:val="both"/>
        <w:rPr>
          <w:rFonts w:ascii="Arial" w:hAnsi="Arial" w:cs="Arial" w:eastAsia="Arial"/>
          <w:color w:val="auto"/>
          <w:spacing w:val="0"/>
          <w:position w:val="0"/>
          <w:sz w:val="22"/>
          <w:shd w:fill="FCFCFC" w:val="clear"/>
        </w:rPr>
      </w:pPr>
      <w:r>
        <w:rPr>
          <w:rFonts w:ascii="Arial" w:hAnsi="Arial" w:cs="Arial" w:eastAsia="Arial"/>
          <w:color w:val="auto"/>
          <w:spacing w:val="0"/>
          <w:position w:val="0"/>
          <w:sz w:val="22"/>
          <w:shd w:fill="FCFCFC" w:val="clear"/>
        </w:rPr>
        <w:t xml:space="preserve">The OAK-D S2 PoE also features auxiliary M8 connector that provides USB and GPIO capability to control external devices.</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OAK-D-S2-PoE</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111 mm x 47 mm x 31.1 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6831" w:dyaOrig="4603">
          <v:rect xmlns:o="urn:schemas-microsoft-com:office:office" xmlns:v="urn:schemas-microsoft-com:vml" id="rectole0000000000" style="width:341.550000pt;height:23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S2 PoE </w:t>
      </w: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Center Color Camera</w:t>
      </w:r>
      <w:r>
        <w:rPr>
          <w:rFonts w:ascii="Calibri" w:hAnsi="Calibri" w:cs="Calibri" w:eastAsia="Calibri"/>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Stereo vision gray scale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Inertial Measurement Unit (IMU)</w:t>
      </w:r>
      <w:r>
        <w:rPr>
          <w:rFonts w:ascii="Calibri" w:hAnsi="Calibri" w:cs="Calibri" w:eastAsia="Calibri"/>
          <w:b/>
          <w:caps w:val="true"/>
          <w:color w:val="auto"/>
          <w:spacing w:val="0"/>
          <w:position w:val="0"/>
          <w:sz w:val="20"/>
          <w:shd w:fill="auto" w:val="clear"/>
        </w:rPr>
        <w:tab/>
        <w:t xml:space="preserve">5</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Auxiliary interface</w:t>
      </w:r>
      <w:r>
        <w:rPr>
          <w:rFonts w:ascii="Calibri" w:hAnsi="Calibri" w:cs="Calibri" w:eastAsia="Calibri"/>
          <w:b/>
          <w:caps w:val="true"/>
          <w:color w:val="auto"/>
          <w:spacing w:val="0"/>
          <w:position w:val="0"/>
          <w:sz w:val="20"/>
          <w:shd w:fill="auto" w:val="clear"/>
        </w:rPr>
        <w:tab/>
        <w:t xml:space="preserve">5</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Connectors</w:t>
      </w:r>
      <w:r>
        <w:rPr>
          <w:rFonts w:ascii="Calibri" w:hAnsi="Calibri" w:cs="Calibri" w:eastAsia="Calibri"/>
          <w:b/>
          <w:caps w:val="true"/>
          <w:color w:val="auto"/>
          <w:spacing w:val="0"/>
          <w:position w:val="0"/>
          <w:sz w:val="20"/>
          <w:shd w:fill="auto" w:val="clear"/>
        </w:rPr>
        <w:tab/>
        <w:t xml:space="preserve">6</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9</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7</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10</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Support</w:t>
      </w:r>
      <w:r>
        <w:rPr>
          <w:rFonts w:ascii="Calibri" w:hAnsi="Calibri" w:cs="Calibri" w:eastAsia="Calibri"/>
          <w:b/>
          <w:caps w:val="true"/>
          <w:color w:val="auto"/>
          <w:spacing w:val="0"/>
          <w:position w:val="0"/>
          <w:sz w:val="20"/>
          <w:shd w:fill="auto" w:val="clear"/>
        </w:rPr>
        <w:tab/>
        <w:t xml:space="preserve">8</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38"/>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3"/>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802.3af, Class3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BUSIN</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USB input supply voltage range.</w:t>
            </w:r>
            <w:r>
              <w:rPr>
                <w:rFonts w:ascii="Arial" w:hAnsi="Arial" w:cs="Arial" w:eastAsia="Arial"/>
                <w:color w:val="auto"/>
                <w:spacing w:val="0"/>
                <w:position w:val="0"/>
                <w:sz w:val="16"/>
                <w:shd w:fill="auto" w:val="clear"/>
                <w:vertAlign w:val="superscript"/>
              </w:rPr>
              <w:t xml:space="preserve">(3)</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3.5</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VBUS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1"/>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PoE input voltage range</w:t>
            </w:r>
            <w:r>
              <w:rPr>
                <w:rFonts w:ascii="Arial" w:hAnsi="Arial" w:cs="Arial" w:eastAsia="Arial"/>
                <w:color w:val="auto"/>
                <w:spacing w:val="0"/>
                <w:position w:val="0"/>
                <w:sz w:val="16"/>
                <w:shd w:fill="auto" w:val="clear"/>
                <w:vertAlign w:val="superscript"/>
              </w:rPr>
              <w:t xml:space="preserve">(2)</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BUSIN</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input supply voltage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5V</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5.25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io-imax</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voltage for GPIO pins</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io-omax</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output voltage for GPIO pins</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3.3</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7"/>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107"/>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Power supply designed according to 802.3af (802.3at Type 1) standard.</w:t>
      </w:r>
    </w:p>
    <w:p>
      <w:pPr>
        <w:numPr>
          <w:ilvl w:val="0"/>
          <w:numId w:val="107"/>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According to industry standard Universal Serial Bus (USB) specifications.</w:t>
      </w:r>
    </w:p>
    <w:p>
      <w:pPr>
        <w:numPr>
          <w:ilvl w:val="0"/>
          <w:numId w:val="107"/>
        </w:numPr>
        <w:tabs>
          <w:tab w:val="left" w:pos="358" w:leader="none"/>
        </w:tabs>
        <w:spacing w:before="0" w:after="0" w:line="240"/>
        <w:ind w:right="2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numPr>
          <w:ilvl w:val="0"/>
          <w:numId w:val="107"/>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109"/>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109"/>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Center Color Camera</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RAW12/10/8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78° / HFOV: 66° / VFOV: 54°</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0"/>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Stereo vision gray scale camera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Stereo cameras compare the features and based on the disparity determines the distance/depth of the object tracked on by the product. It also provides the depth map in color and raw depth map in gray scale.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OmniVision OV9282</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1280x800@120FPS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8/10-bit RAW</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Fixed Focus 19.6cm - </w:t>
            </w:r>
            <w:r>
              <w:rPr>
                <w:rFonts w:ascii="Cambria Math" w:hAnsi="Cambria Math" w:cs="Cambria Math" w:eastAsia="Cambria Math"/>
                <w:color w:val="auto"/>
                <w:spacing w:val="0"/>
                <w:position w:val="0"/>
                <w:sz w:val="16"/>
                <w:shd w:fill="auto" w:val="clear"/>
              </w:rPr>
              <w:t xml:space="preserv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89.5° / HFOV: 80° / VFOV: 55°</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Global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Yes</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9"/>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Inertial Measurement Unit (IMU)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OAK-D S2 PoE integrates a 9-Axis (Acceleration, Gyroscope and magnetometer) BNO086 inertial measurement unit. MotionEngine 9-Axis  and 6-Axis Sensor Fusion provides raw, calibrated sensor orientation data for more accurate heading and orientation.</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17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Auxiliary interface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4"/>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USB</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Device supports USB 2.0 interface used as a host to control external devices. Optionally this interface is used to reprogram the OAK-D-S2-POE device (AUX GPIO 3V3 needs to be pulled high during boot up in this case)</w:t>
      </w:r>
    </w:p>
    <w:p>
      <w:pPr>
        <w:numPr>
          <w:ilvl w:val="0"/>
          <w:numId w:val="17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GPIO</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 GPIO 3V3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General purpose input output pin. This pin is used to put the device in to USB boot by pulling this pin high with a 10k resistor during startup. Also this pin is multiplexed with the Strobe functionality. </w:t>
      </w:r>
    </w:p>
    <w:p>
      <w:pPr>
        <w:numPr>
          <w:ilvl w:val="0"/>
          <w:numId w:val="178"/>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FSYNC</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 synchronization signal for cameras. This pin is optically isolated (refer to the implementation bellow).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092" w:dyaOrig="4361">
          <v:rect xmlns:o="urn:schemas-microsoft-com:office:office" xmlns:v="urn:schemas-microsoft-com:vml" id="rectole0000000001" style="width:604.600000pt;height:218.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80"/>
        </w:numPr>
        <w:spacing w:before="0" w:after="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STROBE: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Strobe signal for controlling external lights. This pin is optically isolated (refer to the implementation bellow)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100" w:dyaOrig="4649">
          <v:rect xmlns:o="urn:schemas-microsoft-com:office:office" xmlns:v="urn:schemas-microsoft-com:vml" id="rectole0000000002" style="width:605.000000pt;height:23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82"/>
        </w:numPr>
        <w:spacing w:before="0" w:after="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5V: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pin is used for sourcing 5V power to accessory devices connected to the M8 connector. If trying to boot the device in USB boot mode, this pin can also sink current.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8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Connectors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OAK-D S2 PoE features an M12 connector for connecting to host via Ethernet and providing power, and M8 auxiliary connector.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000000"/>
          <w:spacing w:val="0"/>
          <w:position w:val="0"/>
          <w:sz w:val="22"/>
          <w:shd w:fill="auto" w:val="clear"/>
        </w:rPr>
      </w:pPr>
      <w:r>
        <w:object w:dxaOrig="11232" w:dyaOrig="5090">
          <v:rect xmlns:o="urn:schemas-microsoft-com:office:office" xmlns:v="urn:schemas-microsoft-com:vml" id="rectole0000000003" style="width:561.600000pt;height:254.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Ethernet M12 connector, X-Coded, Female</w:t>
      </w:r>
    </w:p>
    <w:tbl>
      <w:tblPr/>
      <w:tblGrid>
        <w:gridCol w:w="675"/>
        <w:gridCol w:w="2127"/>
      </w:tblGrid>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MX0+</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MX0-</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MX1+</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MX1-</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MX3+</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MX3-</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MX2+</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MX2-</w:t>
            </w:r>
          </w:p>
        </w:tc>
      </w:tr>
    </w:tbl>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Auxiliary M8 connector, A-Coded, Male</w:t>
      </w:r>
    </w:p>
    <w:tbl>
      <w:tblPr/>
      <w:tblGrid>
        <w:gridCol w:w="675"/>
        <w:gridCol w:w="2127"/>
      </w:tblGrid>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AUX GPIO 3V3</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FSYNC ISO</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USB+</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USB-</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5V</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Strobe ISO</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Isolated GND</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GND</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information is the most current data available for the designated device. This data is subject to change without notice and without revision of this document.</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47"/>
        <w:ind w:right="0" w:left="20" w:firstLine="0"/>
        <w:jc w:val="center"/>
        <w:rPr>
          <w:rFonts w:ascii="Arial" w:hAnsi="Arial" w:cs="Arial" w:eastAsia="Arial"/>
          <w:b/>
          <w:color w:val="auto"/>
          <w:spacing w:val="0"/>
          <w:position w:val="0"/>
          <w:sz w:val="22"/>
          <w:shd w:fill="auto" w:val="clear"/>
        </w:rPr>
      </w:pPr>
      <w:r>
        <w:object w:dxaOrig="8709" w:dyaOrig="10975">
          <v:rect xmlns:o="urn:schemas-microsoft-com:office:office" xmlns:v="urn:schemas-microsoft-com:vml" id="rectole0000000004" style="width:435.450000pt;height:548.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S2 PoE Mechanical measurements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Arial" w:hAnsi="Arial" w:cs="Arial" w:eastAsia="Arial"/>
          <w:b/>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Support</w:t>
      </w:r>
    </w:p>
    <w:p>
      <w:pPr>
        <w:spacing w:before="0" w:after="160" w:line="259"/>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color w:val="000000"/>
          <w:spacing w:val="0"/>
          <w:position w:val="0"/>
          <w:sz w:val="22"/>
          <w:shd w:fill="auto" w:val="clear"/>
        </w:rPr>
        <w:t xml:space="preserve">If having any issue with the device or using SW cloned from Github, please contact </w:t>
      </w:r>
      <w:r>
        <w:rPr>
          <w:rFonts w:ascii="Calibri" w:hAnsi="Calibri" w:cs="Calibri" w:eastAsia="Calibri"/>
          <w:color w:val="1155CC"/>
          <w:spacing w:val="0"/>
          <w:position w:val="0"/>
          <w:sz w:val="22"/>
          <w:u w:val="single"/>
          <w:shd w:fill="auto" w:val="clear"/>
        </w:rPr>
        <w:t xml:space="preserve">support@luxonis.com</w:t>
      </w:r>
      <w:r>
        <w:rPr>
          <w:rFonts w:ascii="Calibri" w:hAnsi="Calibri" w:cs="Calibri" w:eastAsia="Calibri"/>
          <w:color w:val="000000"/>
          <w:spacing w:val="0"/>
          <w:position w:val="0"/>
          <w:sz w:val="22"/>
          <w:shd w:fill="auto" w:val="clear"/>
        </w:rPr>
        <w:t xml:space="preserve"> or reach out to Discord public server. </w:t>
      </w:r>
    </w:p>
    <w:p>
      <w:pPr>
        <w:spacing w:before="0" w:after="200" w:line="240"/>
        <w:ind w:right="0" w:left="0" w:firstLine="0"/>
        <w:jc w:val="center"/>
        <w:rPr>
          <w:rFonts w:ascii="Arial" w:hAnsi="Arial" w:cs="Arial" w:eastAsia="Arial"/>
          <w:i/>
          <w:color w:val="44546A"/>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4">
    <w:abstractNumId w:val="126"/>
  </w:num>
  <w:num w:numId="6">
    <w:abstractNumId w:val="120"/>
  </w:num>
  <w:num w:numId="8">
    <w:abstractNumId w:val="114"/>
  </w:num>
  <w:num w:numId="10">
    <w:abstractNumId w:val="108"/>
  </w:num>
  <w:num w:numId="14">
    <w:abstractNumId w:val="102"/>
  </w:num>
  <w:num w:numId="38">
    <w:abstractNumId w:val="96"/>
  </w:num>
  <w:num w:numId="43">
    <w:abstractNumId w:val="90"/>
  </w:num>
  <w:num w:numId="71">
    <w:abstractNumId w:val="84"/>
  </w:num>
  <w:num w:numId="107">
    <w:abstractNumId w:val="78"/>
  </w:num>
  <w:num w:numId="109">
    <w:abstractNumId w:val="72"/>
  </w:num>
  <w:num w:numId="111">
    <w:abstractNumId w:val="66"/>
  </w:num>
  <w:num w:numId="140">
    <w:abstractNumId w:val="60"/>
  </w:num>
  <w:num w:numId="169">
    <w:abstractNumId w:val="54"/>
  </w:num>
  <w:num w:numId="172">
    <w:abstractNumId w:val="48"/>
  </w:num>
  <w:num w:numId="174">
    <w:abstractNumId w:val="42"/>
  </w:num>
  <w:num w:numId="176">
    <w:abstractNumId w:val="36"/>
  </w:num>
  <w:num w:numId="178">
    <w:abstractNumId w:val="30"/>
  </w:num>
  <w:num w:numId="180">
    <w:abstractNumId w:val="24"/>
  </w:num>
  <w:num w:numId="182">
    <w:abstractNumId w:val="18"/>
  </w:num>
  <w:num w:numId="184">
    <w:abstractNumId w:val="12"/>
  </w:num>
  <w:num w:numId="228">
    <w:abstractNumId w:val="6"/>
  </w:num>
  <w:num w:numId="2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