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xiv-submission-guide"/>
    <w:p>
      <w:pPr>
        <w:pStyle w:val="Heading1"/>
      </w:pPr>
      <w:r>
        <w:t xml:space="preserve">arXiv Submission Guide</w:t>
      </w:r>
    </w:p>
    <w:p>
      <w:pPr>
        <w:pStyle w:val="FirstParagraph"/>
      </w:pPr>
      <w:r>
        <w:rPr>
          <w:b/>
          <w:bCs/>
        </w:rPr>
        <w:t xml:space="preserve">CEREBRUM — 16 Papers Ready for Submission</w:t>
      </w:r>
    </w:p>
    <w:p>
      <w:pPr>
        <w:pStyle w:val="BodyText"/>
      </w:pPr>
      <w:r>
        <w:t xml:space="preserve">This guide covers the submission process, per-paper metadata, and checklist for submitting all sixteen CEREBRUM papers to arXiv.</w:t>
      </w:r>
    </w:p>
    <w:p>
      <w:r>
        <w:pict>
          <v:rect style="width:0;height:1.5pt" o:hralign="center" o:hrstd="t" o:hr="t"/>
        </w:pict>
      </w:r>
    </w:p>
    <w:bookmarkStart w:id="9" w:name="arxiv-categories"/>
    <w:p>
      <w:pPr>
        <w:pStyle w:val="Heading2"/>
      </w:pPr>
      <w:r>
        <w:t xml:space="preserve">arXiv Categories</w:t>
      </w:r>
    </w:p>
    <w:p>
      <w:pPr>
        <w:pStyle w:val="FirstParagraph"/>
      </w:pPr>
      <w:r>
        <w:t xml:space="preserve">All sixteen papers should be submitted to</w:t>
      </w:r>
      <w:r>
        <w:t xml:space="preserve"> </w:t>
      </w:r>
      <w:r>
        <w:rPr>
          <w:b/>
          <w:bCs/>
        </w:rPr>
        <w:t xml:space="preserve">primary category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cs.IR</w:t>
      </w:r>
      <w:r>
        <w:t xml:space="preserve"> </w:t>
      </w:r>
      <w:r>
        <w:t xml:space="preserve">(Information Retrieval) with the following cross-list categories as appropriate: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Cross-list</w:t>
            </w:r>
          </w:p>
        </w:tc>
        <w:tc>
          <w:tcPr/>
          <w:p>
            <w:pPr>
              <w:pStyle w:val="Compac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cs.LG</w:t>
            </w:r>
          </w:p>
        </w:tc>
        <w:tc>
          <w:tcPr/>
          <w:p>
            <w:pPr>
              <w:pStyle w:val="Compact"/>
            </w:pPr>
            <w:r>
              <w:t xml:space="preserve">All papers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cs.NE</w:t>
            </w:r>
          </w:p>
        </w:tc>
        <w:tc>
          <w:tcPr/>
          <w:p>
            <w:pPr>
              <w:pStyle w:val="Compact"/>
            </w:pPr>
            <w:r>
              <w:t xml:space="preserve">Papers 3, 4, 7 (neuromorphic / biological analog)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  <w:tc>
          <w:tcPr/>
          <w:p>
            <w:pPr>
              <w:pStyle w:val="Compact"/>
            </w:pPr>
            <w:r>
              <w:t xml:space="preserve">Papers 6, 15 (learning algorithms)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  <w:tc>
          <w:tcPr/>
          <w:p>
            <w:pPr>
              <w:pStyle w:val="Compact"/>
            </w:pPr>
            <w:r>
              <w:t xml:space="preserve">Papers 5, 13 (distributed / streaming)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ubmission-order-recommended"/>
    <w:p>
      <w:pPr>
        <w:pStyle w:val="Heading2"/>
      </w:pPr>
      <w:r>
        <w:t xml:space="preserve">Submission Order (Recommended)</w:t>
      </w:r>
    </w:p>
    <w:p>
      <w:pPr>
        <w:pStyle w:val="FirstParagraph"/>
      </w:pPr>
      <w:r>
        <w:t xml:space="preserve">Submit foundational papers first so cross-references resolve correctly.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DSCF/TSC Community 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PAPER_001_DSCF_TSC.md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Community-Structured Attention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PAPER_002_CSA.md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Bridge Twin 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PAPER_003_BRIDGE_TWINS.md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STDP Causal Edge Inference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PAPER_004_STDP_CAUSAL.md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Holographic Federated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PAPER_005_HOLOGRAPHIC_INDEXING.md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cs.DC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Bayesian Beam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PAPER_006_BAYESIAN_BEAM.md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cs.LG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REM Cycle 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PAPER_007_REM_CYCLE.md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Cross-Modal Signal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PAPER_008_SIGNAL_ENCODER.md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cs.LG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THALAMUS Ingestion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PAPER_009_THALAMUS.md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Inference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PAPER_010_INFERENCE_VALIDATION.md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Contradiction Materialization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PAPER_011_CONTRADICTION.md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Glass-Box Reasoning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PAPER_012_REASONING_STUDIO.md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cs.HC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Streaming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PAPER_013_STREAMING_ENGINE.md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cs.DC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Metacognitive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PAPER_014_INSIGHT_ENGINE.md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cs.AI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Algorithmic 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PAPER_015_ALGORITHMIC_DEPTH.md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cs.LG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Production 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PAPER_016_PRODUCTION_HARDENING.md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cs.SE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cs.IR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er-paper-metadata-template"/>
    <w:p>
      <w:pPr>
        <w:pStyle w:val="Heading2"/>
      </w:pPr>
      <w:r>
        <w:t xml:space="preserve">Per-Paper Metadata Template</w:t>
      </w:r>
    </w:p>
    <w:p>
      <w:pPr>
        <w:pStyle w:val="FirstParagraph"/>
      </w:pPr>
      <w:r>
        <w:t xml:space="preserve">Each submission requires the following metadata fields on arXiv:</w:t>
      </w:r>
    </w:p>
    <w:p>
      <w:pPr>
        <w:pStyle w:val="SourceCode"/>
      </w:pPr>
      <w:r>
        <w:rPr>
          <w:rStyle w:val="VerbatimChar"/>
        </w:rPr>
        <w:t xml:space="preserve">Title:        [From paper header]</w:t>
      </w:r>
      <w:r>
        <w:br/>
      </w:r>
      <w:r>
        <w:rPr>
          <w:rStyle w:val="VerbatimChar"/>
        </w:rPr>
        <w:t xml:space="preserve">Authors:      Bryan Alexander Buchorn; Claude Sonnet 4.6 (Research Collaborator, Anthropic)</w:t>
      </w:r>
      <w:r>
        <w:br/>
      </w:r>
      <w:r>
        <w:rPr>
          <w:rStyle w:val="VerbatimChar"/>
        </w:rPr>
        <w:t xml:space="preserve">Abstract:     [From paper Abstract section — max 1,920 characters]</w:t>
      </w:r>
      <w:r>
        <w:br/>
      </w:r>
      <w:r>
        <w:rPr>
          <w:rStyle w:val="VerbatimChar"/>
        </w:rPr>
        <w:t xml:space="preserve">Comments:     16 pages. Part of the CEREBRUM framework series.</w:t>
      </w:r>
      <w:r>
        <w:br/>
      </w:r>
      <w:r>
        <w:rPr>
          <w:rStyle w:val="VerbatimChar"/>
        </w:rPr>
        <w:t xml:space="preserve">              Code: https://github.com/[repo]</w:t>
      </w:r>
      <w:r>
        <w:br/>
      </w:r>
      <w:r>
        <w:rPr>
          <w:rStyle w:val="VerbatimChar"/>
        </w:rPr>
        <w:t xml:space="preserve">MSC-class:    68T30 (Knowledge representation)</w:t>
      </w:r>
      <w:r>
        <w:br/>
      </w:r>
      <w:r>
        <w:rPr>
          <w:rStyle w:val="VerbatimChar"/>
        </w:rPr>
        <w:t xml:space="preserve">ACM-class:    I.2.4; H.3.3</w:t>
      </w:r>
      <w:r>
        <w:br/>
      </w:r>
      <w:r>
        <w:rPr>
          <w:rStyle w:val="VerbatimChar"/>
        </w:rPr>
        <w:t xml:space="preserve">License:      CC BY 4.0 (arXiv default for non-commercial research)</w:t>
      </w:r>
    </w:p>
    <w:p>
      <w:r>
        <w:pict>
          <v:rect style="width:0;height:1.5pt" o:hralign="center" o:hrstd="t" o:hr="t"/>
        </w:pict>
      </w:r>
    </w:p>
    <w:bookmarkEnd w:id="11"/>
    <w:bookmarkStart w:id="15" w:name="formatting-requirements"/>
    <w:p>
      <w:pPr>
        <w:pStyle w:val="Heading2"/>
      </w:pPr>
      <w:r>
        <w:t xml:space="preserve">Formatting Requirements</w:t>
      </w:r>
    </w:p>
    <w:p>
      <w:pPr>
        <w:pStyle w:val="FirstParagraph"/>
      </w:pPr>
      <w:r>
        <w:t xml:space="preserve">arXiv accepts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(preferred) 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. Our papers are in Markdown; conversion is required.</w:t>
      </w:r>
    </w:p>
    <w:bookmarkStart w:id="12" w:name="markdown-latex-conversion"/>
    <w:p>
      <w:pPr>
        <w:pStyle w:val="Heading3"/>
      </w:pPr>
      <w:r>
        <w:t xml:space="preserve">Markdown → LaTeX conversion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pandoc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docs/arxiv/PAPER_001_DSCF_TSC.md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arxiv_submission/paper_001.tex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arxiv_template.tex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--bibliography</w:t>
      </w:r>
      <w:r>
        <w:rPr>
          <w:rStyle w:val="NormalTok"/>
        </w:rPr>
        <w:t xml:space="preserve"> refs.bib</w:t>
      </w:r>
    </w:p>
    <w:p>
      <w:pPr>
        <w:pStyle w:val="FirstParagraph"/>
      </w:pPr>
      <w:r>
        <w:t xml:space="preserve">A LaTeX template (</w:t>
      </w:r>
      <w:r>
        <w:rPr>
          <w:rStyle w:val="VerbatimChar"/>
        </w:rPr>
        <w:t xml:space="preserve">arxiv_template.tex</w:t>
      </w:r>
      <w:r>
        <w:t xml:space="preserve">) following arXiv’s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document class should be prepared once and reused for all sixteen papers.</w:t>
      </w:r>
    </w:p>
    <w:bookmarkEnd w:id="12"/>
    <w:bookmarkStart w:id="13" w:name="required-latex-elements"/>
    <w:p>
      <w:pPr>
        <w:pStyle w:val="Heading3"/>
      </w:pPr>
      <w:r>
        <w:t xml:space="preserve">Required LaTeX elements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\usepackage{amsmath}</w:t>
      </w:r>
      <w:r>
        <w:t xml:space="preserve"> </w:t>
      </w:r>
      <w:r>
        <w:t xml:space="preserve">— for displayed equations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\usepackage{booktabs}</w:t>
      </w:r>
      <w:r>
        <w:t xml:space="preserve"> </w:t>
      </w:r>
      <w:r>
        <w:t xml:space="preserve">— for benchmark tables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\usepackage{hyperref}</w:t>
      </w:r>
      <w:r>
        <w:t xml:space="preserve"> </w:t>
      </w:r>
      <w:r>
        <w:t xml:space="preserve">— for cross-references and URLs</w:t>
      </w:r>
    </w:p>
    <w:p>
      <w:pPr>
        <w:pStyle w:val="Compact"/>
        <w:numPr>
          <w:ilvl w:val="0"/>
          <w:numId w:val="1001"/>
        </w:numPr>
      </w:pPr>
      <w:r>
        <w:t xml:space="preserve">All figures as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at 300 DPI minimum</w:t>
      </w:r>
    </w:p>
    <w:bookmarkEnd w:id="13"/>
    <w:bookmarkStart w:id="14" w:name="figure-requirements"/>
    <w:p>
      <w:pPr>
        <w:pStyle w:val="Heading3"/>
      </w:pPr>
      <w:r>
        <w:t xml:space="preserve">Figure requirements</w:t>
      </w:r>
    </w:p>
    <w:p>
      <w:pPr>
        <w:pStyle w:val="FirstParagraph"/>
      </w:pPr>
      <w:r>
        <w:t xml:space="preserve">Each paper should include at minimum:</w:t>
      </w:r>
      <w:r>
        <w:t xml:space="preserve"> </w:t>
      </w:r>
      <w:r>
        <w:t xml:space="preserve">1. An architecture diagram (flowchart of the algorithm)</w:t>
      </w:r>
      <w:r>
        <w:t xml:space="preserve"> </w:t>
      </w:r>
      <w:r>
        <w:t xml:space="preserve">2. A results table (benchmark comparison)</w:t>
      </w:r>
    </w:p>
    <w:p>
      <w:pPr>
        <w:pStyle w:val="BodyText"/>
      </w:pPr>
      <w:r>
        <w:t xml:space="preserve">Figures should be prepared in a vector format (PDF) for crisp rendering.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bstract-length-check"/>
    <w:p>
      <w:pPr>
        <w:pStyle w:val="Heading2"/>
      </w:pPr>
      <w:r>
        <w:t xml:space="preserve">Abstract Length Check</w:t>
      </w:r>
    </w:p>
    <w:p>
      <w:pPr>
        <w:pStyle w:val="FirstParagraph"/>
      </w:pPr>
      <w:r>
        <w:t xml:space="preserve">arXiv abstracts are capped at 1,920 characters. Check each abstract: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docs/arxiv/PAPER_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abstract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'/^### Abstract/{found=1; next} found &amp;&amp; /^###/{exit} found{print}'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$paper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$abstract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$paper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 chars"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16"/>
    <w:bookmarkStart w:id="17" w:name="pre-submission-checklist-per-paper"/>
    <w:p>
      <w:pPr>
        <w:pStyle w:val="Heading2"/>
      </w:pPr>
      <w:r>
        <w:t xml:space="preserve">Pre-Submission Checklist (per paper)</w:t>
      </w:r>
    </w:p>
    <w:p>
      <w:pPr>
        <w:pStyle w:val="Compact"/>
        <w:numPr>
          <w:ilvl w:val="0"/>
          <w:numId w:val="1002"/>
        </w:numPr>
      </w:pPr>
      <w:r>
        <w:t xml:space="preserve">Abstract ≤ 1,920 characters</w:t>
      </w:r>
    </w:p>
    <w:p>
      <w:pPr>
        <w:pStyle w:val="Compact"/>
        <w:numPr>
          <w:ilvl w:val="0"/>
          <w:numId w:val="1003"/>
        </w:numPr>
      </w:pPr>
      <w:r>
        <w:t xml:space="preserve">All equations render correctly in LaTeX</w:t>
      </w:r>
    </w:p>
    <w:p>
      <w:pPr>
        <w:pStyle w:val="Compact"/>
        <w:numPr>
          <w:ilvl w:val="0"/>
          <w:numId w:val="1004"/>
        </w:numPr>
      </w:pPr>
      <w:r>
        <w:t xml:space="preserve">All tables have</w:t>
      </w:r>
      <w:r>
        <w:t xml:space="preserve"> </w:t>
      </w:r>
      <w:r>
        <w:rPr>
          <w:rStyle w:val="VerbatimChar"/>
        </w:rPr>
        <w:t xml:space="preserve">\toprule/\midrule/\bottomrule</w:t>
      </w:r>
      <w:r>
        <w:t xml:space="preserve"> </w:t>
      </w:r>
      <w:r>
        <w:t xml:space="preserve">(booktabs style)</w:t>
      </w:r>
    </w:p>
    <w:p>
      <w:pPr>
        <w:pStyle w:val="Compact"/>
        <w:numPr>
          <w:ilvl w:val="0"/>
          <w:numId w:val="1005"/>
        </w:numPr>
      </w:pPr>
      <w:r>
        <w:t xml:space="preserve">All citations in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 </w:t>
      </w:r>
      <w:r>
        <w:t xml:space="preserve">with correct BibTeX keys</w:t>
      </w:r>
    </w:p>
    <w:p>
      <w:pPr>
        <w:pStyle w:val="Compact"/>
        <w:numPr>
          <w:ilvl w:val="0"/>
          <w:numId w:val="1006"/>
        </w:numPr>
      </w:pPr>
      <w:r>
        <w:t xml:space="preserve">Author affiliations:</w:t>
      </w:r>
      <w:r>
        <w:t xml:space="preserve"> </w:t>
      </w:r>
      <w:r>
        <w:t xml:space="preserve">“Independent Researcher”</w:t>
      </w:r>
      <w:r>
        <w:t xml:space="preserve"> </w:t>
      </w:r>
      <w:r>
        <w:t xml:space="preserve">+</w:t>
      </w:r>
      <w:r>
        <w:t xml:space="preserve"> </w:t>
      </w:r>
      <w:r>
        <w:t xml:space="preserve">“Anthropic”</w:t>
      </w:r>
    </w:p>
    <w:p>
      <w:pPr>
        <w:pStyle w:val="Compact"/>
        <w:numPr>
          <w:ilvl w:val="0"/>
          <w:numId w:val="1007"/>
        </w:numPr>
      </w:pPr>
      <w:r>
        <w:t xml:space="preserve">Prior art section explicitly differentiates from closest prior work</w:t>
      </w:r>
    </w:p>
    <w:p>
      <w:pPr>
        <w:pStyle w:val="Compact"/>
        <w:numPr>
          <w:ilvl w:val="0"/>
          <w:numId w:val="1008"/>
        </w:numPr>
      </w:pPr>
      <w:r>
        <w:t xml:space="preserve">Benchmark numbers match</w:t>
      </w:r>
      <w:r>
        <w:t xml:space="preserve"> </w:t>
      </w:r>
      <w:r>
        <w:rPr>
          <w:rStyle w:val="VerbatimChar"/>
        </w:rPr>
        <w:t xml:space="preserve">release/BENCHMARKS.md</w:t>
      </w:r>
    </w:p>
    <w:p>
      <w:pPr>
        <w:pStyle w:val="Compact"/>
        <w:numPr>
          <w:ilvl w:val="0"/>
          <w:numId w:val="1009"/>
        </w:numPr>
      </w:pPr>
      <w:r>
        <w:t xml:space="preserve">GitHub/code link included in Comments field</w:t>
      </w:r>
    </w:p>
    <w:p>
      <w:pPr>
        <w:pStyle w:val="Compact"/>
        <w:numPr>
          <w:ilvl w:val="0"/>
          <w:numId w:val="1010"/>
        </w:numPr>
      </w:pPr>
      <w:r>
        <w:t xml:space="preserve">License selected: CC BY 4.0</w:t>
      </w:r>
    </w:p>
    <w:p>
      <w:pPr>
        <w:pStyle w:val="Compact"/>
        <w:numPr>
          <w:ilvl w:val="0"/>
          <w:numId w:val="1011"/>
        </w:numPr>
      </w:pPr>
      <w:r>
        <w:t xml:space="preserve">Cross-list categories correct for paper topic</w:t>
      </w:r>
    </w:p>
    <w:p>
      <w:r>
        <w:pict>
          <v:rect style="width:0;height:1.5pt" o:hralign="center" o:hrstd="t" o:hr="t"/>
        </w:pict>
      </w:r>
    </w:p>
    <w:bookmarkEnd w:id="17"/>
    <w:bookmarkStart w:id="18" w:name="citation-cross-referencing"/>
    <w:p>
      <w:pPr>
        <w:pStyle w:val="Heading2"/>
      </w:pPr>
      <w:r>
        <w:t xml:space="preserve">Citation Cross-Referencing</w:t>
      </w:r>
    </w:p>
    <w:p>
      <w:pPr>
        <w:pStyle w:val="FirstParagraph"/>
      </w:pPr>
      <w:r>
        <w:t xml:space="preserve">Papers cite each other. Use consistent arXiv IDs once papers 1–4 are submitted. Placeholder format until IDs are assigned: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buchorn2026dscf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{Dual-Signal Community Fusion for Knowledge Graph Attention},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{Buchorn, Bryan Alexander and {Claude Sonnet 4.6}},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{arXiv preprint arXiv:2026.XXXXX},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{2026}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7b54b8c09b7a3e5a06e809605a2912e3963d627"/>
    <w:p>
      <w:pPr>
        <w:pStyle w:val="Heading2"/>
      </w:pPr>
      <w:r>
        <w:t xml:space="preserve">Comprehensive Paper (Parallax_White_Paper_arXiv.md)</w:t>
      </w:r>
    </w:p>
    <w:p>
      <w:pPr>
        <w:pStyle w:val="FirstParagraph"/>
      </w:pPr>
      <w:r>
        <w:t xml:space="preserve">The comprehensive umbrella paper (</w:t>
      </w:r>
      <w:r>
        <w:rPr>
          <w:rStyle w:val="VerbatimChar"/>
        </w:rPr>
        <w:t xml:space="preserve">docs/Parallax_White_Paper_arXiv.md</w:t>
      </w:r>
      <w:r>
        <w:t xml:space="preserve">) covers all subsystems in one document and should be submitted to</w:t>
      </w:r>
      <w:r>
        <w:t xml:space="preserve"> </w:t>
      </w:r>
      <w:r>
        <w:rPr>
          <w:rStyle w:val="VerbatimChar"/>
        </w:rPr>
        <w:t xml:space="preserve">cs.IR</w:t>
      </w:r>
      <w:r>
        <w:t xml:space="preserve"> </w:t>
      </w:r>
      <w:r>
        <w:t xml:space="preserve">as the primary reference after all sixteen individual papers are live. Title it:</w:t>
      </w:r>
    </w:p>
    <w:p>
      <w:pPr>
        <w:pStyle w:val="BlockText"/>
      </w:pPr>
      <w:r>
        <w:rPr>
          <w:b/>
          <w:bCs/>
        </w:rPr>
        <w:t xml:space="preserve">CEREBRUM: Community-Structured Graph Attention for Zero-Shot Multi-Hop Knowledge Graph Reasoning</w:t>
      </w:r>
    </w:p>
    <w:p>
      <w:pPr>
        <w:pStyle w:val="FirstParagraph"/>
      </w:pPr>
      <w:r>
        <w:t xml:space="preserve">This paper should cite all sixteen subsystem papers by their arXiv IDs.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Copyright © 2026 Bryan Alexander Buchorn. All Rights Reserved.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2026-04-08T01:42:40Z</dcterms:created>
  <dcterms:modified xsi:type="dcterms:W3CDTF">2026-04-08T01:42:40Z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