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ovel-contributions-and-ip-claims"/>
    <w:p>
      <w:pPr>
        <w:pStyle w:val="Heading1"/>
      </w:pPr>
      <w:r>
        <w:t xml:space="preserve">Novel Contributions and IP Claims</w:t>
      </w:r>
    </w:p>
    <w:bookmarkStart w:id="9" w:name="Xaebffb5a0f7cda14d51e1fc85e5f03558b9fe3a"/>
    <w:p>
      <w:pPr>
        <w:pStyle w:val="Heading2"/>
      </w:pPr>
      <w:r>
        <w:t xml:space="preserve">CEREBRUM: Community-Structured Graph Attention for Knowledge Graph Reasoning</w:t>
      </w:r>
    </w:p>
    <w:p>
      <w:pPr>
        <w:pStyle w:val="FirstParagraph"/>
      </w:pPr>
      <w:r>
        <w:rPr>
          <w:b/>
          <w:bCs/>
        </w:rPr>
        <w:t xml:space="preserve">Document Classification</w:t>
      </w:r>
      <w:r>
        <w:t xml:space="preserve">: Intellectual Property Reference</w:t>
      </w:r>
      <w:r>
        <w:t xml:space="preserve"> </w:t>
      </w:r>
      <w:r>
        <w:rPr>
          <w:b/>
          <w:bCs/>
        </w:rPr>
        <w:t xml:space="preserve">Authors</w:t>
      </w:r>
      <w:r>
        <w:t xml:space="preserve">: Bryan Alexander Buchorn</w:t>
      </w:r>
      <w:r>
        <w:t xml:space="preserve"> </w:t>
      </w:r>
      <w:r>
        <w:rPr>
          <w:b/>
          <w:bCs/>
        </w:rPr>
        <w:t xml:space="preserve">Date</w:t>
      </w:r>
      <w:r>
        <w:t xml:space="preserve">: March 2026</w:t>
      </w:r>
      <w:r>
        <w:t xml:space="preserve"> </w:t>
      </w:r>
      <w:r>
        <w:rPr>
          <w:b/>
          <w:bCs/>
        </w:rPr>
        <w:t xml:space="preserve">Version</w:t>
      </w:r>
      <w:r>
        <w:t xml:space="preserve">: v2.0.1 (Phase 57 COMPLETE)</w:t>
      </w:r>
    </w:p>
    <w:p>
      <w:pPr>
        <w:pStyle w:val="BlockText"/>
      </w:pPr>
      <w:r>
        <w:t xml:space="preserve">This document consolidates the novel technical contributions of the CEREBRUM framework for use in patent applications, academic priority claims, and commercial IP protection. Each claim is substantiated with prior art analysis and a statement of the specific technical distinction.</w:t>
      </w:r>
    </w:p>
    <w:p>
      <w:r>
        <w:pict>
          <v:rect style="width:0;height:1.5pt" o:hralign="center" o:hrstd="t" o:hr="t"/>
        </w:pict>
      </w:r>
    </w:p>
    <w:bookmarkEnd w:id="9"/>
    <w:bookmarkStart w:id="13" w:name="part-i-core-algorithm-claims"/>
    <w:p>
      <w:pPr>
        <w:pStyle w:val="Heading2"/>
      </w:pPr>
      <w:r>
        <w:t xml:space="preserve">Part I: Core Algorithm Claims</w:t>
      </w:r>
    </w:p>
    <w:bookmarkStart w:id="10" w:name="Xb91e21c9891c440e9c7f7b06523d6651bedd6dd"/>
    <w:p>
      <w:pPr>
        <w:pStyle w:val="Heading3"/>
      </w:pPr>
      <w:r>
        <w:t xml:space="preserve">Claim 1: Dual/Triple Signal Community Fusion (DSCF / TSC)</w:t>
      </w:r>
    </w:p>
    <w:p>
      <w:pPr>
        <w:pStyle w:val="FirstParagraph"/>
      </w:pPr>
      <w:r>
        <w:rPr>
          <w:b/>
          <w:bCs/>
        </w:rPr>
        <w:t xml:space="preserve">Description</w:t>
      </w:r>
      <w:r>
        <w:t xml:space="preserve">: A community detection algorithm that applies Local Propagation Algorithm (LPA), modularity gain (Louvain-style), and optionally Infomap flow signals</w:t>
      </w:r>
      <w:r>
        <w:t xml:space="preserve"> </w:t>
      </w:r>
      <w:r>
        <w:rPr>
          <w:b/>
          <w:bCs/>
        </w:rPr>
        <w:t xml:space="preserve">simultaneously at each node update</w:t>
      </w:r>
      <w:r>
        <w:t xml:space="preserve">, fusing them via a weighted consensus mechanism at each iteration. The Triple-Signal Community (TSC) variant is now selectable explicitly alongside DSCF, Leiden, and LPA via a unified community engine configuration interface.</w:t>
      </w:r>
    </w:p>
    <w:p>
      <w:pPr>
        <w:pStyle w:val="BodyText"/>
      </w:pPr>
      <w:r>
        <w:rPr>
          <w:b/>
          <w:bCs/>
        </w:rPr>
        <w:t xml:space="preserve">Novelty Statement</w:t>
      </w:r>
      <w:r>
        <w:t xml:space="preserve">: All prior community detection algorithms that combine multiple signals do so by operating on disjoint node subsets (e.g., apply LPA to low-degree nodes, Louvain to high-degree nodes [Sun et al., 2024]) or by running algorithms sequentially and merging results. DSCF is the first algorithm that applies all signals to every node at every update step. The simultaneous per-node fusion produces communities with distinct</w:t>
      </w:r>
      <w:r>
        <w:t xml:space="preserve"> </w:t>
      </w:r>
      <w:r>
        <w:t xml:space="preserve">“dual-signal”</w:t>
      </w:r>
      <w:r>
        <w:t xml:space="preserve"> </w:t>
      </w:r>
      <w:r>
        <w:t xml:space="preserve">structural character that is not achievable by sequential or partitioned combination.</w:t>
      </w:r>
    </w:p>
    <w:p>
      <w:pPr>
        <w:pStyle w:val="BodyText"/>
      </w:pPr>
      <w:r>
        <w:rPr>
          <w:b/>
          <w:bCs/>
        </w:rPr>
        <w:t xml:space="preserve">Closest Prior Art</w:t>
      </w:r>
      <w:r>
        <w:t xml:space="preserve">:</w:t>
      </w:r>
      <w:r>
        <w:t xml:space="preserve"> </w:t>
      </w:r>
      <w:r>
        <w:t xml:space="preserve">- Louvain (Blondel et al., 2008): Global modularity only, no LPA signal</w:t>
      </w:r>
      <w:r>
        <w:t xml:space="preserve"> </w:t>
      </w:r>
      <w:r>
        <w:t xml:space="preserve">- Leiden (Traag et al., 2019): Refinement phase + modularity, no LPA signal</w:t>
      </w:r>
      <w:r>
        <w:t xml:space="preserve"> </w:t>
      </w:r>
      <w:r>
        <w:t xml:space="preserve">- LPA (Raghavan et al., 2007): Local propagation only, no modularity signal</w:t>
      </w:r>
      <w:r>
        <w:t xml:space="preserve"> </w:t>
      </w:r>
      <w:r>
        <w:t xml:space="preserve">- LPA-Louvain hybrids (Sun et al., 2024): Apply signals to disjoint node subsets by degree threshold — categorically different from DSCF’s per-node simultaneous fusion</w:t>
      </w:r>
    </w:p>
    <w:p>
      <w:pPr>
        <w:pStyle w:val="BodyText"/>
      </w:pPr>
      <w:r>
        <w:rPr>
          <w:b/>
          <w:bCs/>
        </w:rPr>
        <w:t xml:space="preserve">Key Technical Differentiator</w:t>
      </w:r>
      <w:r>
        <w:t xml:space="preserve">: The specific architectural choice to compute both</w:t>
      </w:r>
      <w:r>
        <w:t xml:space="preserve"> </w:t>
      </w:r>
      <m:oMath>
        <m:r>
          <m:rPr>
            <m:sty m:val="p"/>
          </m:rPr>
          <m:t>Δ</m:t>
        </m:r>
        <m:sSub>
          <m:e>
            <m:r>
              <m:t>Q</m:t>
            </m:r>
          </m:e>
          <m:sub>
            <m:r>
              <m:t>m</m:t>
            </m:r>
            <m:r>
              <m:t>o</m:t>
            </m:r>
            <m:r>
              <m:t>d</m:t>
            </m:r>
            <m:r>
              <m:t>u</m:t>
            </m:r>
            <m:r>
              <m:t>l</m:t>
            </m:r>
            <m:r>
              <m:t>a</m:t>
            </m:r>
            <m:r>
              <m:t>r</m:t>
            </m:r>
            <m:r>
              <m:t>i</m:t>
            </m:r>
            <m:r>
              <m:t>t</m:t>
            </m:r>
            <m:r>
              <m:t>y</m:t>
            </m:r>
          </m:sub>
        </m:sSub>
        <m:r>
          <m:rPr>
            <m:sty m:val="p"/>
          </m:rPr>
          <m:t>(</m:t>
        </m:r>
        <m:r>
          <m:t>v</m:t>
        </m:r>
        <m:r>
          <m:rPr>
            <m:sty m:val="p"/>
          </m:rPr>
          <m:t>,</m:t>
        </m:r>
        <m:r>
          <m:t>c</m:t>
        </m:r>
        <m:r>
          <m:rPr>
            <m:sty m:val="p"/>
          </m:rPr>
          <m:t>)</m:t>
        </m:r>
      </m:oMath>
      <w:r>
        <w:t xml:space="preserve"> </w:t>
      </w:r>
      <w:r>
        <w:t xml:space="preserve">and</w:t>
      </w:r>
      <w:r>
        <w:t xml:space="preserve"> </w:t>
      </w:r>
      <m:oMath>
        <m:sSub>
          <m:e>
            <m:r>
              <m:t>f</m:t>
            </m:r>
          </m:e>
          <m:sub>
            <m:r>
              <m:t>L</m:t>
            </m:r>
            <m:r>
              <m:t>P</m:t>
            </m:r>
            <m:r>
              <m:t>A</m:t>
            </m:r>
          </m:sub>
        </m:sSub>
        <m:r>
          <m:rPr>
            <m:sty m:val="p"/>
          </m:rPr>
          <m:t>(</m:t>
        </m:r>
        <m:r>
          <m:t>v</m:t>
        </m:r>
        <m:r>
          <m:rPr>
            <m:sty m:val="p"/>
          </m:rPr>
          <m:t>,</m:t>
        </m:r>
        <m:r>
          <m:t>c</m:t>
        </m:r>
        <m:r>
          <m:rPr>
            <m:sty m:val="p"/>
          </m:rPr>
          <m:t>)</m:t>
        </m:r>
      </m:oMath>
      <w:r>
        <w:t xml:space="preserve"> </w:t>
      </w:r>
      <w:r>
        <w:t xml:space="preserve">for every candidate community</w:t>
      </w:r>
      <w:r>
        <w:t xml:space="preserve"> </w:t>
      </w:r>
      <m:oMath>
        <m:r>
          <m:t>c</m:t>
        </m:r>
      </m:oMath>
      <w:r>
        <w:t xml:space="preserve"> </w:t>
      </w:r>
      <w:r>
        <w:t xml:space="preserve">at every node</w:t>
      </w:r>
      <w:r>
        <w:t xml:space="preserve"> </w:t>
      </w:r>
      <m:oMath>
        <m:r>
          <m:t>v</m:t>
        </m:r>
      </m:oMath>
      <w:r>
        <w:t xml:space="preserve"> </w:t>
      </w:r>
      <w:r>
        <w:t xml:space="preserve">in every iteration, then fuse them via:</w:t>
      </w:r>
      <w:r>
        <w:t xml:space="preserve"> </w:t>
      </w:r>
      <m:oMath>
        <m:r>
          <m:rPr>
            <m:nor/>
            <m:sty m:val="p"/>
          </m:rPr>
          <m:t>score</m:t>
        </m:r>
        <m:r>
          <m:rPr>
            <m:sty m:val="p"/>
          </m:rPr>
          <m:t>(</m:t>
        </m:r>
        <m:r>
          <m:t>v</m:t>
        </m:r>
        <m:r>
          <m:rPr>
            <m:sty m:val="p"/>
          </m:rPr>
          <m:t>,</m:t>
        </m:r>
        <m:r>
          <m:t>c</m:t>
        </m:r>
        <m:r>
          <m:rPr>
            <m:sty m:val="p"/>
          </m:rPr>
          <m:t>)</m:t>
        </m:r>
        <m:r>
          <m:rPr>
            <m:sty m:val="p"/>
          </m:rPr>
          <m:t>=</m:t>
        </m:r>
        <m:r>
          <m:t>α</m:t>
        </m:r>
        <m:r>
          <m:rPr>
            <m:sty m:val="p"/>
          </m:rPr>
          <m:t>⋅</m:t>
        </m:r>
        <m:r>
          <m:rPr>
            <m:sty m:val="p"/>
          </m:rPr>
          <m:t>Δ</m:t>
        </m:r>
        <m:r>
          <m:t>Q</m:t>
        </m:r>
        <m:r>
          <m:rPr>
            <m:sty m:val="p"/>
          </m:rPr>
          <m:t>(</m:t>
        </m:r>
        <m:r>
          <m:t>v</m:t>
        </m:r>
        <m:r>
          <m:rPr>
            <m:sty m:val="p"/>
          </m:rPr>
          <m:t>,</m:t>
        </m:r>
        <m:r>
          <m:t>c</m:t>
        </m:r>
        <m:r>
          <m:rPr>
            <m:sty m:val="p"/>
          </m:rPr>
          <m:t>)</m:t>
        </m:r>
        <m:r>
          <m:rPr>
            <m:sty m:val="p"/>
          </m:rPr>
          <m:t>+</m:t>
        </m:r>
        <m:r>
          <m:t>β</m:t>
        </m:r>
        <m:r>
          <m:rPr>
            <m:sty m:val="p"/>
          </m:rPr>
          <m:t>⋅</m:t>
        </m:r>
        <m:sSub>
          <m:e>
            <m:r>
              <m:t>f</m:t>
            </m:r>
          </m:e>
          <m:sub>
            <m:r>
              <m:t>L</m:t>
            </m:r>
            <m:r>
              <m:t>P</m:t>
            </m:r>
            <m:r>
              <m:t>A</m:t>
            </m:r>
          </m:sub>
        </m:sSub>
        <m:r>
          <m:rPr>
            <m:sty m:val="p"/>
          </m:rPr>
          <m:t>(</m:t>
        </m:r>
        <m:r>
          <m:t>v</m:t>
        </m:r>
        <m:r>
          <m:rPr>
            <m:sty m:val="p"/>
          </m:rPr>
          <m:t>,</m:t>
        </m:r>
        <m:r>
          <m:t>c</m:t>
        </m:r>
        <m:r>
          <m:rPr>
            <m:sty m:val="p"/>
          </m:rPr>
          <m:t>)</m:t>
        </m:r>
        <m:r>
          <m:rPr>
            <m:sty m:val="p"/>
          </m:rPr>
          <m:t>+</m:t>
        </m:r>
        <m:r>
          <m:t>γ</m:t>
        </m:r>
        <m:r>
          <m:rPr>
            <m:sty m:val="p"/>
          </m:rPr>
          <m:t>⋅</m:t>
        </m:r>
        <m:r>
          <m:rPr>
            <m:nor/>
            <m:sty m:val="p"/>
          </m:rPr>
          <m:t>flow</m:t>
        </m:r>
        <m:r>
          <m:rPr>
            <m:sty m:val="p"/>
          </m:rPr>
          <m:t>(</m:t>
        </m:r>
        <m:r>
          <m:t>v</m:t>
        </m:r>
        <m:r>
          <m:rPr>
            <m:sty m:val="p"/>
          </m:rPr>
          <m:t>,</m:t>
        </m:r>
        <m:r>
          <m:t>c</m:t>
        </m:r>
        <m:r>
          <m:rPr>
            <m:sty m:val="p"/>
          </m:rPr>
          <m:t>)</m:t>
        </m:r>
      </m:oMath>
    </w:p>
    <w:p>
      <w:pPr>
        <w:pStyle w:val="BodyText"/>
      </w:pPr>
      <w:r>
        <w:rPr>
          <w:b/>
          <w:bCs/>
        </w:rPr>
        <w:t xml:space="preserve">Relevant files</w:t>
      </w:r>
      <w:r>
        <w:t xml:space="preserve">:</w:t>
      </w:r>
      <w:r>
        <w:t xml:space="preserve"> </w:t>
      </w:r>
      <w:r>
        <w:rPr>
          <w:rStyle w:val="VerbatimChar"/>
        </w:rPr>
        <w:t xml:space="preserve">core/community_engine.py</w:t>
      </w:r>
      <w:r>
        <w:t xml:space="preserve">,</w:t>
      </w:r>
      <w:r>
        <w:t xml:space="preserve"> </w:t>
      </w:r>
      <w:r>
        <w:rPr>
          <w:rStyle w:val="VerbatimChar"/>
        </w:rPr>
        <w:t xml:space="preserve">core/leiden_native.py</w:t>
      </w:r>
      <w:r>
        <w:t xml:space="preserve"> </w:t>
      </w:r>
      <w:r>
        <w:rPr>
          <w:b/>
          <w:bCs/>
        </w:rPr>
        <w:t xml:space="preserve">Documented in</w:t>
      </w:r>
      <w:r>
        <w:t xml:space="preserve">:</w:t>
      </w:r>
      <w:r>
        <w:t xml:space="preserve"> </w:t>
      </w:r>
      <w:r>
        <w:rPr>
          <w:rStyle w:val="VerbatimChar"/>
        </w:rPr>
        <w:t xml:space="preserve">docs/arxiv/PAPER_001_DSCF_TSC.md</w:t>
      </w:r>
      <w:r>
        <w:t xml:space="preserve">,</w:t>
      </w:r>
      <w:r>
        <w:t xml:space="preserve"> </w:t>
      </w:r>
      <w:r>
        <w:rPr>
          <w:rStyle w:val="VerbatimChar"/>
        </w:rPr>
        <w:t xml:space="preserve">docs/specifications/SPEC_001_DSCF_TSC.md</w:t>
      </w:r>
    </w:p>
    <w:p>
      <w:r>
        <w:pict>
          <v:rect style="width:0;height:1.5pt" o:hralign="center" o:hrstd="t" o:hr="t"/>
        </w:pict>
      </w:r>
    </w:p>
    <w:bookmarkEnd w:id="10"/>
    <w:bookmarkStart w:id="11" w:name="X78ebe7093aa9c8901dd1e14ca670524fd2d0d94"/>
    <w:p>
      <w:pPr>
        <w:pStyle w:val="Heading3"/>
      </w:pPr>
      <w:r>
        <w:t xml:space="preserve">Claim 2: Community-Structured Attention (CSA) Formula — 10-Parameter Extension</w:t>
      </w:r>
    </w:p>
    <w:p>
      <w:pPr>
        <w:pStyle w:val="FirstParagraph"/>
      </w:pPr>
      <w:r>
        <w:rPr>
          <w:b/>
          <w:bCs/>
        </w:rPr>
        <w:t xml:space="preserve">Description</w:t>
      </w:r>
      <w:r>
        <w:t xml:space="preserve">: A graph edge attention weight formula that incorporates community membership as a soft global constraint alongside semantic similarity, relation type, path length penalty, hop decay, PageRank centrality, temporal decay, node recency, synthesis-density penalty, and grounding confidence. The formula is training-free, computed analytically from graph topology at query time. The current formulation extends the original 6-parameter formula to 10 learnable parameters.</w:t>
      </w:r>
    </w:p>
    <w:p>
      <w:pPr>
        <w:pStyle w:val="BodyText"/>
      </w:pPr>
      <w:r>
        <w:rPr>
          <w:b/>
          <w:bCs/>
        </w:rPr>
        <w:t xml:space="preserve">The Formula</w:t>
      </w:r>
      <w:r>
        <w:t xml:space="preserve">:</w:t>
      </w:r>
    </w:p>
    <w:p>
      <w:pPr>
        <w:pStyle w:val="BodyText"/>
      </w:pPr>
      <m:oMathPara>
        <m:oMathParaPr>
          <m:jc m:val="center"/>
        </m:oMathParaPr>
        <m:oMath>
          <m:r>
            <m:t>a</m:t>
          </m:r>
          <m:r>
            <m:rPr>
              <m:sty m:val="p"/>
            </m:rPr>
            <m:t>(</m:t>
          </m:r>
          <m:r>
            <m:t>u</m:t>
          </m:r>
          <m:r>
            <m:rPr>
              <m:sty m:val="p"/>
            </m:rPr>
            <m:t>,</m:t>
          </m:r>
          <m:r>
            <m:t>v</m:t>
          </m:r>
          <m:r>
            <m:rPr>
              <m:sty m:val="p"/>
            </m:rPr>
            <m:t>,</m:t>
          </m:r>
          <m:r>
            <m:t>k</m:t>
          </m:r>
          <m:r>
            <m:rPr>
              <m:sty m:val="p"/>
            </m:rPr>
            <m:t>)</m:t>
          </m:r>
          <m:r>
            <m:rPr>
              <m:sty m:val="p"/>
            </m:rPr>
            <m:t>=</m:t>
          </m:r>
          <m:r>
            <m:t>σ</m:t>
          </m:r>
          <m:d>
            <m:dPr>
              <m:begChr m:val="("/>
              <m:sepChr m:val=""/>
              <m:endChr m:val=")"/>
              <m:grow/>
            </m:dPr>
            <m:e>
              <m:r>
                <m:t>α</m:t>
              </m:r>
              <m:r>
                <m:rPr>
                  <m:sty m:val="p"/>
                </m:rPr>
                <m:t>⋅</m:t>
              </m:r>
              <m:r>
                <m:rPr>
                  <m:nor/>
                  <m:sty m:val="p"/>
                </m:rPr>
                <m:t>sim</m:t>
              </m:r>
              <m:r>
                <m:rPr>
                  <m:sty m:val="p"/>
                </m:rPr>
                <m:t>+</m:t>
              </m:r>
              <m:r>
                <m:t>β</m:t>
              </m:r>
              <m:r>
                <m:rPr>
                  <m:sty m:val="p"/>
                </m:rPr>
                <m:t>⋅</m:t>
              </m:r>
              <m:r>
                <m:t>c</m:t>
              </m:r>
              <m:r>
                <m:t>s</m:t>
              </m:r>
              <m:r>
                <m:rPr>
                  <m:sty m:val="p"/>
                </m:rPr>
                <m:t>+</m:t>
              </m:r>
              <m:r>
                <m:t>γ</m:t>
              </m:r>
              <m:r>
                <m:rPr>
                  <m:sty m:val="p"/>
                </m:rPr>
                <m:t>⋅</m:t>
              </m:r>
              <m:r>
                <m:t>e</m:t>
              </m:r>
              <m:r>
                <m:t>t</m:t>
              </m:r>
              <m:r>
                <m:t>w</m:t>
              </m:r>
              <m:r>
                <m:rPr>
                  <m:sty m:val="p"/>
                </m:rPr>
                <m:t>−</m:t>
              </m:r>
              <m:r>
                <m:t>δ</m:t>
              </m:r>
              <m:r>
                <m:rPr>
                  <m:sty m:val="p"/>
                </m:rPr>
                <m:t>⋅</m:t>
              </m:r>
              <m:r>
                <m:t>n</m:t>
              </m:r>
              <m:r>
                <m:t>d</m:t>
              </m:r>
              <m:r>
                <m:rPr>
                  <m:sty m:val="p"/>
                </m:rPr>
                <m:t>+</m:t>
              </m:r>
              <m:r>
                <m:t>ε</m:t>
              </m:r>
              <m:r>
                <m:rPr>
                  <m:sty m:val="p"/>
                </m:rPr>
                <m:t>⋅</m:t>
              </m:r>
              <m:r>
                <m:t>h</m:t>
              </m:r>
              <m:r>
                <m:t>d</m:t>
              </m:r>
              <m:r>
                <m:rPr>
                  <m:sty m:val="p"/>
                </m:rPr>
                <m:t>+</m:t>
              </m:r>
              <m:r>
                <m:t>ζ</m:t>
              </m:r>
              <m:r>
                <m:rPr>
                  <m:sty m:val="p"/>
                </m:rPr>
                <m:t>⋅</m:t>
              </m:r>
              <m:r>
                <m:t>P</m:t>
              </m:r>
              <m:r>
                <m:t>R</m:t>
              </m:r>
              <m:r>
                <m:rPr>
                  <m:sty m:val="p"/>
                </m:rPr>
                <m:t>(</m:t>
              </m:r>
              <m:r>
                <m:t>v</m:t>
              </m:r>
              <m:r>
                <m:rPr>
                  <m:sty m:val="p"/>
                </m:rPr>
                <m:t>)</m:t>
              </m:r>
              <m:r>
                <m:rPr>
                  <m:sty m:val="p"/>
                </m:rPr>
                <m:t>+</m:t>
              </m:r>
              <m:r>
                <m:t>η</m:t>
              </m:r>
              <m:r>
                <m:rPr>
                  <m:sty m:val="p"/>
                </m:rPr>
                <m:t>⋅</m:t>
              </m:r>
              <m:r>
                <m:t>t</m:t>
              </m:r>
              <m:r>
                <m:t>d</m:t>
              </m:r>
              <m:r>
                <m:rPr>
                  <m:sty m:val="p"/>
                </m:rPr>
                <m:t>+</m:t>
              </m:r>
              <m:r>
                <m:t>ι</m:t>
              </m:r>
              <m:r>
                <m:rPr>
                  <m:sty m:val="p"/>
                </m:rPr>
                <m:t>⋅</m:t>
              </m:r>
              <m:r>
                <m:t>n</m:t>
              </m:r>
              <m:sSub>
                <m:e>
                  <m:r>
                    <m:t>r</m:t>
                  </m:r>
                </m:e>
                <m:sub>
                  <m:r>
                    <m:t>v</m:t>
                  </m:r>
                </m:sub>
              </m:sSub>
              <m:r>
                <m:rPr>
                  <m:sty m:val="p"/>
                </m:rPr>
                <m:t>−</m:t>
              </m:r>
              <m:r>
                <m:t>μ</m:t>
              </m:r>
              <m:r>
                <m:rPr>
                  <m:sty m:val="p"/>
                </m:rPr>
                <m:t>⋅</m:t>
              </m:r>
              <m:r>
                <m:t>s</m:t>
              </m:r>
              <m:r>
                <m:t>d</m:t>
              </m:r>
              <m:r>
                <m:rPr>
                  <m:sty m:val="p"/>
                </m:rPr>
                <m:t>+</m:t>
              </m:r>
              <m:r>
                <m:t>θ</m:t>
              </m:r>
              <m:r>
                <m:rPr>
                  <m:sty m:val="p"/>
                </m:rPr>
                <m:t>⋅</m:t>
              </m:r>
              <m:r>
                <m:t>g</m:t>
              </m:r>
              <m:r>
                <m:t>r</m:t>
              </m:r>
              <m:r>
                <m:t>o</m:t>
              </m:r>
              <m:r>
                <m:t>u</m:t>
              </m:r>
              <m:r>
                <m:t>n</m:t>
              </m:r>
              <m:r>
                <m:t>d</m:t>
              </m:r>
              <m:r>
                <m:t>i</m:t>
              </m:r>
              <m:r>
                <m:t>n</m:t>
              </m:r>
              <m:r>
                <m:t>g</m:t>
              </m:r>
            </m:e>
          </m:d>
        </m:oMath>
      </m:oMathPara>
    </w:p>
    <w:p>
      <w:pPr>
        <w:pStyle w:val="FirstParagraph"/>
      </w:pPr>
      <w:r>
        <w:t xml:space="preserve">Where:</w:t>
      </w:r>
      <w:r>
        <w:t xml:space="preserve"> </w:t>
      </w:r>
      <w:r>
        <w:t xml:space="preserve">-</w:t>
      </w:r>
      <w:r>
        <w:t xml:space="preserve"> </w:t>
      </w:r>
      <m:oMath>
        <m:r>
          <m:t>α</m:t>
        </m:r>
        <m:r>
          <m:rPr>
            <m:sty m:val="p"/>
          </m:rPr>
          <m:t>⋅</m:t>
        </m:r>
        <m:r>
          <m:rPr>
            <m:nor/>
            <m:sty m:val="p"/>
          </m:rPr>
          <m:t>sim</m:t>
        </m:r>
      </m:oMath>
      <w:r>
        <w:t xml:space="preserve">: Semantic similarity (cosine distance between entity embeddings)</w:t>
      </w:r>
      <w:r>
        <w:t xml:space="preserve"> </w:t>
      </w:r>
      <w:r>
        <w:t xml:space="preserve">-</w:t>
      </w:r>
      <w:r>
        <w:t xml:space="preserve"> </w:t>
      </w:r>
      <m:oMath>
        <m:r>
          <m:t>β</m:t>
        </m:r>
        <m:r>
          <m:rPr>
            <m:sty m:val="p"/>
          </m:rPr>
          <m:t>⋅</m:t>
        </m:r>
        <m:r>
          <m:t>c</m:t>
        </m:r>
        <m:r>
          <m:t>s</m:t>
        </m:r>
      </m:oMath>
      <w:r>
        <w:t xml:space="preserve">: Community score (live DSCF community co-membership)</w:t>
      </w:r>
      <w:r>
        <w:t xml:space="preserve"> </w:t>
      </w:r>
      <w:r>
        <w:t xml:space="preserve">-</w:t>
      </w:r>
      <w:r>
        <w:t xml:space="preserve"> </w:t>
      </w:r>
      <m:oMath>
        <m:r>
          <m:t>γ</m:t>
        </m:r>
        <m:r>
          <m:rPr>
            <m:sty m:val="p"/>
          </m:rPr>
          <m:t>⋅</m:t>
        </m:r>
        <m:r>
          <m:t>e</m:t>
        </m:r>
        <m:r>
          <m:t>t</m:t>
        </m:r>
        <m:r>
          <m:t>w</m:t>
        </m:r>
      </m:oMath>
      <w:r>
        <w:t xml:space="preserve">: Edge-type weight (relation-specific strength)</w:t>
      </w:r>
      <w:r>
        <w:t xml:space="preserve"> </w:t>
      </w:r>
      <w:r>
        <w:t xml:space="preserve">-</w:t>
      </w:r>
      <w:r>
        <w:t xml:space="preserve"> </w:t>
      </w:r>
      <m:oMath>
        <m:r>
          <m:t>δ</m:t>
        </m:r>
        <m:r>
          <m:rPr>
            <m:sty m:val="p"/>
          </m:rPr>
          <m:t>⋅</m:t>
        </m:r>
        <m:r>
          <m:t>n</m:t>
        </m:r>
        <m:r>
          <m:t>d</m:t>
        </m:r>
      </m:oMath>
      <w:r>
        <w:t xml:space="preserve">: Normalized distance penalty</w:t>
      </w:r>
      <w:r>
        <w:t xml:space="preserve"> </w:t>
      </w:r>
      <w:r>
        <w:t xml:space="preserve">-</w:t>
      </w:r>
      <w:r>
        <w:t xml:space="preserve"> </w:t>
      </w:r>
      <m:oMath>
        <m:r>
          <m:t>ε</m:t>
        </m:r>
        <m:r>
          <m:rPr>
            <m:sty m:val="p"/>
          </m:rPr>
          <m:t>⋅</m:t>
        </m:r>
        <m:r>
          <m:t>h</m:t>
        </m:r>
        <m:r>
          <m:t>d</m:t>
        </m:r>
      </m:oMath>
      <w:r>
        <w:t xml:space="preserve">: Hop decay (exponential confidence reduction per hop)</w:t>
      </w:r>
      <w:r>
        <w:t xml:space="preserve"> </w:t>
      </w:r>
      <w:r>
        <w:t xml:space="preserve">-</w:t>
      </w:r>
      <w:r>
        <w:t xml:space="preserve"> </w:t>
      </w:r>
      <m:oMath>
        <m:r>
          <m:t>ζ</m:t>
        </m:r>
        <m:r>
          <m:rPr>
            <m:sty m:val="p"/>
          </m:rPr>
          <m:t>⋅</m:t>
        </m:r>
        <m:r>
          <m:t>P</m:t>
        </m:r>
        <m:r>
          <m:t>R</m:t>
        </m:r>
        <m:r>
          <m:rPr>
            <m:sty m:val="p"/>
          </m:rPr>
          <m:t>(</m:t>
        </m:r>
        <m:r>
          <m:t>v</m:t>
        </m:r>
        <m:r>
          <m:rPr>
            <m:sty m:val="p"/>
          </m:rPr>
          <m:t>)</m:t>
        </m:r>
      </m:oMath>
      <w:r>
        <w:t xml:space="preserve">: Global PageRank authority prior</w:t>
      </w:r>
      <w:r>
        <w:t xml:space="preserve"> </w:t>
      </w:r>
      <w:r>
        <w:t xml:space="preserve">-</w:t>
      </w:r>
      <w:r>
        <w:t xml:space="preserve"> </w:t>
      </w:r>
      <m:oMath>
        <m:r>
          <m:t>η</m:t>
        </m:r>
        <m:r>
          <m:rPr>
            <m:sty m:val="p"/>
          </m:rPr>
          <m:t>⋅</m:t>
        </m:r>
        <m:r>
          <m:t>t</m:t>
        </m:r>
        <m:r>
          <m:t>d</m:t>
        </m:r>
      </m:oMath>
      <w:r>
        <w:t xml:space="preserve">: Temporal decay (time since edge creation)</w:t>
      </w:r>
      <w:r>
        <w:t xml:space="preserve"> </w:t>
      </w:r>
      <w:r>
        <w:t xml:space="preserve">-</w:t>
      </w:r>
      <w:r>
        <w:t xml:space="preserve"> </w:t>
      </w:r>
      <m:oMath>
        <m:r>
          <m:t>ι</m:t>
        </m:r>
        <m:r>
          <m:rPr>
            <m:sty m:val="p"/>
          </m:rPr>
          <m:t>⋅</m:t>
        </m:r>
        <m:r>
          <m:t>n</m:t>
        </m:r>
        <m:sSub>
          <m:e>
            <m:r>
              <m:t>r</m:t>
            </m:r>
          </m:e>
          <m:sub>
            <m:r>
              <m:t>v</m:t>
            </m:r>
          </m:sub>
        </m:sSub>
      </m:oMath>
      <w:r>
        <w:t xml:space="preserve">: Node recency (recency of traversal visits)</w:t>
      </w:r>
      <w:r>
        <w:t xml:space="preserve"> </w:t>
      </w:r>
      <w:r>
        <w:t xml:space="preserve">-</w:t>
      </w:r>
      <w:r>
        <w:t xml:space="preserve"> </w:t>
      </w:r>
      <m:oMath>
        <m:r>
          <m:t>μ</m:t>
        </m:r>
        <m:r>
          <m:rPr>
            <m:sty m:val="p"/>
          </m:rPr>
          <m:t>⋅</m:t>
        </m:r>
        <m:r>
          <m:t>s</m:t>
        </m:r>
        <m:r>
          <m:t>d</m:t>
        </m:r>
      </m:oMath>
      <w:r>
        <w:t xml:space="preserve">: Synthesis-density penalty (fraction of synthetic edges in path)</w:t>
      </w:r>
      <w:r>
        <w:t xml:space="preserve"> </w:t>
      </w:r>
      <w:r>
        <w:t xml:space="preserve">-</w:t>
      </w:r>
      <w:r>
        <w:t xml:space="preserve"> </w:t>
      </w:r>
      <m:oMath>
        <m:r>
          <m:t>θ</m:t>
        </m:r>
        <m:r>
          <m:rPr>
            <m:sty m:val="p"/>
          </m:rPr>
          <m:t>⋅</m:t>
        </m:r>
        <m:r>
          <m:t>g</m:t>
        </m:r>
        <m:r>
          <m:t>r</m:t>
        </m:r>
        <m:r>
          <m:t>o</m:t>
        </m:r>
        <m:r>
          <m:t>u</m:t>
        </m:r>
        <m:r>
          <m:t>n</m:t>
        </m:r>
        <m:r>
          <m:t>d</m:t>
        </m:r>
        <m:r>
          <m:t>i</m:t>
        </m:r>
        <m:r>
          <m:t>n</m:t>
        </m:r>
        <m:r>
          <m:t>g</m:t>
        </m:r>
      </m:oMath>
      <w:r>
        <w:t xml:space="preserve">: Grounding confidence (provenance and verification score)</w:t>
      </w:r>
    </w:p>
    <w:p>
      <w:pPr>
        <w:pStyle w:val="BodyText"/>
      </w:pPr>
      <w:r>
        <w:t xml:space="preserve">Default weights:</w:t>
      </w:r>
      <w:r>
        <w:t xml:space="preserve"> </w:t>
      </w:r>
      <m:oMath>
        <m:r>
          <m:rPr>
            <m:sty m:val="p"/>
          </m:rPr>
          <m:t>(</m:t>
        </m:r>
        <m:r>
          <m:t>0.4</m:t>
        </m:r>
        <m:r>
          <m:rPr>
            <m:sty m:val="p"/>
          </m:rPr>
          <m:t>,</m:t>
        </m:r>
        <m:r>
          <m:t>0.4</m:t>
        </m:r>
        <m:r>
          <m:rPr>
            <m:sty m:val="p"/>
          </m:rPr>
          <m:t>,</m:t>
        </m:r>
        <m:r>
          <m:t>0.1</m:t>
        </m:r>
        <m:r>
          <m:rPr>
            <m:sty m:val="p"/>
          </m:rPr>
          <m:t>,</m:t>
        </m:r>
        <m:r>
          <m:t>0.05</m:t>
        </m:r>
        <m:r>
          <m:rPr>
            <m:sty m:val="p"/>
          </m:rPr>
          <m:t>,</m:t>
        </m:r>
        <m:r>
          <m:t>0.05</m:t>
        </m:r>
        <m:r>
          <m:rPr>
            <m:sty m:val="p"/>
          </m:rPr>
          <m:t>,</m:t>
        </m:r>
        <m:r>
          <m:t>0.1</m:t>
        </m:r>
        <m:r>
          <m:rPr>
            <m:sty m:val="p"/>
          </m:rPr>
          <m:t>,</m:t>
        </m:r>
        <m:r>
          <m:t>0.1</m:t>
        </m:r>
        <m:r>
          <m:rPr>
            <m:sty m:val="p"/>
          </m:rPr>
          <m:t>,</m:t>
        </m:r>
        <m:r>
          <m:t>0.05</m:t>
        </m:r>
        <m:r>
          <m:rPr>
            <m:sty m:val="p"/>
          </m:rPr>
          <m:t>,</m:t>
        </m:r>
        <m:r>
          <m:t>0.1</m:t>
        </m:r>
        <m:r>
          <m:rPr>
            <m:sty m:val="p"/>
          </m:rPr>
          <m:t>,</m:t>
        </m:r>
        <m:r>
          <m:t>1.0</m:t>
        </m:r>
        <m:r>
          <m:rPr>
            <m:sty m:val="p"/>
          </m:rPr>
          <m:t>)</m:t>
        </m:r>
      </m:oMath>
    </w:p>
    <w:p>
      <w:pPr>
        <w:pStyle w:val="BodyText"/>
      </w:pPr>
      <w:r>
        <w:rPr>
          <w:b/>
          <w:bCs/>
        </w:rPr>
        <w:t xml:space="preserve">Novelty Statement</w:t>
      </w:r>
      <w:r>
        <w:t xml:space="preserve">: Graph Attention Networks (GAT, HAN, HGT) compute local attention over immediate neighborhoods using learned weight matrices. CSA is the first attention formulation that includes global community membership (</w:t>
      </w:r>
      <m:oMath>
        <m:sSub>
          <m:e>
            <m:r>
              <m:t>S</m:t>
            </m:r>
          </m:e>
          <m:sub>
            <m:r>
              <m:t>C</m:t>
            </m:r>
          </m:sub>
        </m:sSub>
        <m:r>
          <m:rPr>
            <m:sty m:val="p"/>
          </m:rPr>
          <m:t>(</m:t>
        </m:r>
        <m:r>
          <m:t>u</m:t>
        </m:r>
        <m:r>
          <m:rPr>
            <m:sty m:val="p"/>
          </m:rPr>
          <m:t>,</m:t>
        </m:r>
        <m:r>
          <m:t>v</m:t>
        </m:r>
        <m:r>
          <m:rPr>
            <m:sty m:val="p"/>
          </m:rPr>
          <m:t>)</m:t>
        </m:r>
      </m:oMath>
      <w:r>
        <w:t xml:space="preserve">) as a term. The 10-parameter extension further adds temporal, recency, synthesis-quality, and grounding dimensions — none of which appear in any published GNN attention formula.</w:t>
      </w:r>
    </w:p>
    <w:p>
      <w:pPr>
        <w:pStyle w:val="BodyText"/>
      </w:pPr>
      <w:r>
        <w:rPr>
          <w:b/>
          <w:bCs/>
        </w:rPr>
        <w:t xml:space="preserve">Closest Prior Art</w:t>
      </w:r>
      <w:r>
        <w:t xml:space="preserve">:</w:t>
      </w:r>
      <w:r>
        <w:t xml:space="preserve"> </w:t>
      </w:r>
      <w:r>
        <w:t xml:space="preserve">- GAT (Veličković et al., 2018): Local neighborhood attention, learned weights, no community term</w:t>
      </w:r>
      <w:r>
        <w:t xml:space="preserve"> </w:t>
      </w:r>
      <w:r>
        <w:t xml:space="preserve">- HAN (Wang et al., 2019): Meta-path attention, no community term</w:t>
      </w:r>
      <w:r>
        <w:t xml:space="preserve"> </w:t>
      </w:r>
      <w:r>
        <w:t xml:space="preserve">- HGT (Hu et al., 2020): Heterogeneous attention, learned, no community term</w:t>
      </w:r>
      <w:r>
        <w:t xml:space="preserve"> </w:t>
      </w:r>
      <w:r>
        <w:t xml:space="preserve">- GraphRAG (Microsoft, Edge et al., 2024): Communities used for LLM summarization, not as attention weights in traversal</w:t>
      </w:r>
    </w:p>
    <w:p>
      <w:pPr>
        <w:pStyle w:val="BodyText"/>
      </w:pPr>
      <w:r>
        <w:rPr>
          <w:b/>
          <w:bCs/>
        </w:rPr>
        <w:t xml:space="preserve">Key Technical Differentiator</w:t>
      </w:r>
      <w:r>
        <w:t xml:space="preserve">: The</w:t>
      </w:r>
      <w:r>
        <w:t xml:space="preserve"> </w:t>
      </w:r>
      <m:oMath>
        <m:r>
          <m:t>β</m:t>
        </m:r>
        <m:r>
          <m:rPr>
            <m:sty m:val="p"/>
          </m:rPr>
          <m:t>⋅</m:t>
        </m:r>
        <m:sSub>
          <m:e>
            <m:r>
              <m:t>S</m:t>
            </m:r>
          </m:e>
          <m:sub>
            <m:r>
              <m:t>C</m:t>
            </m:r>
          </m:sub>
        </m:sSub>
        <m:r>
          <m:rPr>
            <m:sty m:val="p"/>
          </m:rPr>
          <m:t>(</m:t>
        </m:r>
        <m:r>
          <m:t>u</m:t>
        </m:r>
        <m:r>
          <m:rPr>
            <m:sty m:val="p"/>
          </m:rPr>
          <m:t>,</m:t>
        </m:r>
        <m:r>
          <m:t>v</m:t>
        </m:r>
        <m:r>
          <m:rPr>
            <m:sty m:val="p"/>
          </m:rPr>
          <m:t>)</m:t>
        </m:r>
      </m:oMath>
      <w:r>
        <w:t xml:space="preserve"> </w:t>
      </w:r>
      <w:r>
        <w:t xml:space="preserve">term (community co-membership from live DSCF partitions, not learned parameters), extended with four novel dimensions: temporal decay, node recency, synthesis-density penalty, and grounding confidence — producing the first 10-dimensional analytically-computed KG attention formula.</w:t>
      </w:r>
    </w:p>
    <w:p>
      <w:pPr>
        <w:pStyle w:val="BodyText"/>
      </w:pPr>
      <w:r>
        <w:rPr>
          <w:b/>
          <w:bCs/>
        </w:rPr>
        <w:t xml:space="preserve">Relevant files</w:t>
      </w:r>
      <w:r>
        <w:t xml:space="preserve">:</w:t>
      </w:r>
      <w:r>
        <w:t xml:space="preserve"> </w:t>
      </w:r>
      <w:r>
        <w:rPr>
          <w:rStyle w:val="VerbatimChar"/>
        </w:rPr>
        <w:t xml:space="preserve">core/attention_engine.py</w:t>
      </w:r>
      <w:r>
        <w:t xml:space="preserve">,</w:t>
      </w:r>
      <w:r>
        <w:t xml:space="preserve"> </w:t>
      </w:r>
      <w:r>
        <w:rPr>
          <w:rStyle w:val="VerbatimChar"/>
        </w:rPr>
        <w:t xml:space="preserve">core/reasoning_logit.py</w:t>
      </w:r>
      <w:r>
        <w:t xml:space="preserve"> </w:t>
      </w:r>
      <w:r>
        <w:rPr>
          <w:b/>
          <w:bCs/>
        </w:rPr>
        <w:t xml:space="preserve">Documented in</w:t>
      </w:r>
      <w:r>
        <w:t xml:space="preserve">:</w:t>
      </w:r>
      <w:r>
        <w:t xml:space="preserve"> </w:t>
      </w:r>
      <w:r>
        <w:rPr>
          <w:rStyle w:val="VerbatimChar"/>
        </w:rPr>
        <w:t xml:space="preserve">docs/arxiv/PAPER_002_CSA.md</w:t>
      </w:r>
      <w:r>
        <w:t xml:space="preserve">,</w:t>
      </w:r>
      <w:r>
        <w:t xml:space="preserve"> </w:t>
      </w:r>
      <w:r>
        <w:rPr>
          <w:rStyle w:val="VerbatimChar"/>
        </w:rPr>
        <w:t xml:space="preserve">docs/specifications/SPEC_002_CSA.md</w:t>
      </w:r>
    </w:p>
    <w:p>
      <w:r>
        <w:pict>
          <v:rect style="width:0;height:1.5pt" o:hralign="center" o:hrstd="t" o:hr="t"/>
        </w:pict>
      </w:r>
    </w:p>
    <w:bookmarkEnd w:id="11"/>
    <w:bookmarkStart w:id="12" w:name="Xd3ad1066b2f9d0aa8c98cdb06e61d9e02cc2357"/>
    <w:p>
      <w:pPr>
        <w:pStyle w:val="Heading3"/>
      </w:pPr>
      <w:r>
        <w:t xml:space="preserve">Claim 3: CSA-Guided Multi-Hop Beam Search (Glass-Box Reasoning)</w:t>
      </w:r>
    </w:p>
    <w:p>
      <w:pPr>
        <w:pStyle w:val="FirstParagraph"/>
      </w:pPr>
      <w:r>
        <w:rPr>
          <w:b/>
          <w:bCs/>
        </w:rPr>
        <w:t xml:space="preserve">Description</w:t>
      </w:r>
      <w:r>
        <w:t xml:space="preserve">: A multi-hop KG traversal architecture where beam search is guided exclusively by CSA attention weights derived from graph topology, producing a complete verifiable reasoning trace at zero inference cost (no trained model, no LLM).</w:t>
      </w:r>
    </w:p>
    <w:p>
      <w:pPr>
        <w:pStyle w:val="BodyText"/>
      </w:pPr>
      <w:r>
        <w:rPr>
          <w:b/>
          <w:bCs/>
        </w:rPr>
        <w:t xml:space="preserve">Novelty Statement</w:t>
      </w:r>
      <w:r>
        <w:t xml:space="preserve">: All published multi-hop KG reasoning systems using beam search (MINERVA, DeepPath, BeamQA) require training on labeled question-answer pairs. CEREBRUM’s BeamTraversal uses CSA weights computed analytically from graph structure — achieving competitive H@10 on MetaQA zero-shot, with no training data.</w:t>
      </w:r>
    </w:p>
    <w:p>
      <w:pPr>
        <w:pStyle w:val="BodyText"/>
      </w:pPr>
      <w:r>
        <w:rPr>
          <w:b/>
          <w:bCs/>
        </w:rPr>
        <w:t xml:space="preserve">Closest Prior Art</w:t>
      </w:r>
      <w:r>
        <w:t xml:space="preserve">:</w:t>
      </w:r>
      <w:r>
        <w:t xml:space="preserve"> </w:t>
      </w:r>
      <w:r>
        <w:t xml:space="preserve">- MINERVA (Das et al., 2018): RL-trained path agent, requires labeled QA pairs</w:t>
      </w:r>
      <w:r>
        <w:t xml:space="preserve"> </w:t>
      </w:r>
      <w:r>
        <w:t xml:space="preserve">- DeepPath (Xiong et al., 2017): RL, requires training</w:t>
      </w:r>
      <w:r>
        <w:t xml:space="preserve"> </w:t>
      </w:r>
      <w:r>
        <w:t xml:space="preserve">- BeamQA (Atif et al., 2023): Supervised sequence-to-sequence beam search</w:t>
      </w:r>
    </w:p>
    <w:p>
      <w:pPr>
        <w:pStyle w:val="BodyText"/>
      </w:pPr>
      <w:r>
        <w:rPr>
          <w:b/>
          <w:bCs/>
        </w:rPr>
        <w:t xml:space="preserve">Key Technical Differentiator</w:t>
      </w:r>
      <w:r>
        <w:t xml:space="preserve">: Zero-shot multi-hop reasoning at competitive H@10 using only graph topology.</w:t>
      </w:r>
    </w:p>
    <w:p>
      <w:pPr>
        <w:pStyle w:val="BodyText"/>
      </w:pPr>
      <w:r>
        <w:rPr>
          <w:b/>
          <w:bCs/>
        </w:rPr>
        <w:t xml:space="preserve">Relevant files</w:t>
      </w:r>
      <w:r>
        <w:t xml:space="preserve">:</w:t>
      </w:r>
      <w:r>
        <w:t xml:space="preserve"> </w:t>
      </w:r>
      <w:r>
        <w:rPr>
          <w:rStyle w:val="VerbatimChar"/>
        </w:rPr>
        <w:t xml:space="preserve">reasoning/traversal.py</w:t>
      </w:r>
      <w:r>
        <w:t xml:space="preserve">,</w:t>
      </w:r>
      <w:r>
        <w:t xml:space="preserve"> </w:t>
      </w:r>
      <w:r>
        <w:rPr>
          <w:rStyle w:val="VerbatimChar"/>
        </w:rPr>
        <w:t xml:space="preserve">reasoning/path_scorer.py</w:t>
      </w:r>
    </w:p>
    <w:p>
      <w:r>
        <w:pict>
          <v:rect style="width:0;height:1.5pt" o:hralign="center" o:hrstd="t" o:hr="t"/>
        </w:pict>
      </w:r>
    </w:p>
    <w:bookmarkEnd w:id="12"/>
    <w:bookmarkEnd w:id="13"/>
    <w:bookmarkStart w:id="17" w:name="part-ii-neuromorphic-architecture-claims"/>
    <w:p>
      <w:pPr>
        <w:pStyle w:val="Heading2"/>
      </w:pPr>
      <w:r>
        <w:t xml:space="preserve">Part II: Neuromorphic Architecture Claims</w:t>
      </w:r>
    </w:p>
    <w:bookmarkStart w:id="14" w:name="X290018931ca6831c6fb16cc7835b7f33e2d25ec"/>
    <w:p>
      <w:pPr>
        <w:pStyle w:val="Heading3"/>
      </w:pPr>
      <w:r>
        <w:t xml:space="preserve">Claim 4: Experience-Dependent Bridge Twin Nodes (LTP/LTD Analog for KG)</w:t>
      </w:r>
    </w:p>
    <w:p>
      <w:pPr>
        <w:pStyle w:val="FirstParagraph"/>
      </w:pPr>
      <w:r>
        <w:rPr>
          <w:b/>
          <w:bCs/>
        </w:rPr>
        <w:t xml:space="preserve">Description</w:t>
      </w:r>
      <w:r>
        <w:t xml:space="preserve">: A mechanism that materializes structural relay nodes (bridge twins) between graph communities based on traversal co-occurrence frequency, analogous to synaptic LTP/LTD in hippocampal circuits. Bridge twins form when crossing count exceeds a threshold and are pruned when crossings decay below a threshold.</w:t>
      </w:r>
    </w:p>
    <w:p>
      <w:pPr>
        <w:pStyle w:val="BodyText"/>
      </w:pPr>
      <w:r>
        <w:rPr>
          <w:b/>
          <w:bCs/>
        </w:rPr>
        <w:t xml:space="preserve">Novelty Statement</w:t>
      </w:r>
      <w:r>
        <w:t xml:space="preserve">: No published KG system uses experience-dependent structural modification inspired by LTP/LTD. Static graph shortcuts (agentic LLM expansion, shortcut edges in GNNs) are added by external agents or hand-coded rules, not by the reasoning engine’s own traversal history. The specific mechanism of counting traversal co-occurrences and triggering structural node materialization from those counts is, to our knowledge, original.</w:t>
      </w:r>
    </w:p>
    <w:p>
      <w:pPr>
        <w:pStyle w:val="BodyText"/>
      </w:pPr>
      <w:r>
        <w:rPr>
          <w:b/>
          <w:bCs/>
        </w:rPr>
        <w:t xml:space="preserve">Relevant files</w:t>
      </w:r>
      <w:r>
        <w:t xml:space="preserve">:</w:t>
      </w:r>
      <w:r>
        <w:t xml:space="preserve"> </w:t>
      </w:r>
      <w:r>
        <w:rPr>
          <w:rStyle w:val="VerbatimChar"/>
        </w:rPr>
        <w:t xml:space="preserve">core/bridge_engine.py</w:t>
      </w:r>
      <w:r>
        <w:t xml:space="preserve"> </w:t>
      </w:r>
      <w:r>
        <w:rPr>
          <w:b/>
          <w:bCs/>
        </w:rPr>
        <w:t xml:space="preserve">Documented in</w:t>
      </w:r>
      <w:r>
        <w:t xml:space="preserve">:</w:t>
      </w:r>
      <w:r>
        <w:t xml:space="preserve"> </w:t>
      </w:r>
      <w:r>
        <w:rPr>
          <w:rStyle w:val="VerbatimChar"/>
        </w:rPr>
        <w:t xml:space="preserve">docs/arxiv/PAPER_003_BRIDGE_TWINS.md</w:t>
      </w:r>
    </w:p>
    <w:p>
      <w:r>
        <w:pict>
          <v:rect style="width:0;height:1.5pt" o:hralign="center" o:hrstd="t" o:hr="t"/>
        </w:pict>
      </w:r>
    </w:p>
    <w:bookmarkEnd w:id="14"/>
    <w:bookmarkStart w:id="15" w:name="X69b70936360996f999556ca58fde63435a28f1d"/>
    <w:p>
      <w:pPr>
        <w:pStyle w:val="Heading3"/>
      </w:pPr>
      <w:r>
        <w:t xml:space="preserve">Claim 5: STDP-Inspired Directional Causal Edge Inference</w:t>
      </w:r>
    </w:p>
    <w:p>
      <w:pPr>
        <w:pStyle w:val="FirstParagraph"/>
      </w:pPr>
      <w:r>
        <w:rPr>
          <w:b/>
          <w:bCs/>
        </w:rPr>
        <w:t xml:space="preserve">Description</w:t>
      </w:r>
      <w:r>
        <w:t xml:space="preserve">: A streaming discretizer that materializes directional</w:t>
      </w:r>
      <w:r>
        <w:t xml:space="preserve"> </w:t>
      </w:r>
      <w:r>
        <w:rPr>
          <w:rStyle w:val="VerbatimChar"/>
        </w:rPr>
        <w:t xml:space="preserve">CAUSES</w:t>
      </w:r>
      <w:r>
        <w:t xml:space="preserve"> </w:t>
      </w:r>
      <w:r>
        <w:t xml:space="preserve">edges in a Knowledge Graph from event timing patterns, using Hebbian-inspired weight accumulation with configurable LTP/LTD asymmetry and lazy O(1) weight decay.</w:t>
      </w:r>
    </w:p>
    <w:p>
      <w:pPr>
        <w:pStyle w:val="BodyText"/>
      </w:pPr>
      <w:r>
        <w:rPr>
          <w:b/>
          <w:bCs/>
        </w:rPr>
        <w:t xml:space="preserve">Novelty Statement</w:t>
      </w:r>
      <w:r>
        <w:t xml:space="preserve">: STDP has been applied to spiking neural network learning rules extensively, but no published work applies STDP mechanics to dynamic causal edge discovery in Knowledge Graphs. The combination of: (1) Hebbian co-occurrence weighting, (2) directional edge materialization (pre→post), (3) lazy weight decay reducing per-event complexity from O(N) to O(1), and (4) adversarial causal flood protection (min_causal_span, chi-squared) is an original contribution.</w:t>
      </w:r>
    </w:p>
    <w:p>
      <w:pPr>
        <w:pStyle w:val="BodyText"/>
      </w:pPr>
      <w:r>
        <w:rPr>
          <w:b/>
          <w:bCs/>
        </w:rPr>
        <w:t xml:space="preserve">Relevant files</w:t>
      </w:r>
      <w:r>
        <w:t xml:space="preserve">:</w:t>
      </w:r>
      <w:r>
        <w:t xml:space="preserve"> </w:t>
      </w:r>
      <w:r>
        <w:rPr>
          <w:rStyle w:val="VerbatimChar"/>
        </w:rPr>
        <w:t xml:space="preserve">core/discretizer.py</w:t>
      </w:r>
      <w:r>
        <w:t xml:space="preserve"> </w:t>
      </w:r>
      <w:r>
        <w:rPr>
          <w:b/>
          <w:bCs/>
        </w:rPr>
        <w:t xml:space="preserve">Documented in</w:t>
      </w:r>
      <w:r>
        <w:t xml:space="preserve">:</w:t>
      </w:r>
      <w:r>
        <w:t xml:space="preserve"> </w:t>
      </w:r>
      <w:r>
        <w:rPr>
          <w:rStyle w:val="VerbatimChar"/>
        </w:rPr>
        <w:t xml:space="preserve">docs/arxiv/PAPER_004_STDP_CAUSAL.md</w:t>
      </w:r>
    </w:p>
    <w:p>
      <w:r>
        <w:pict>
          <v:rect style="width:0;height:1.5pt" o:hralign="center" o:hrstd="t" o:hr="t"/>
        </w:pict>
      </w:r>
    </w:p>
    <w:bookmarkEnd w:id="15"/>
    <w:bookmarkStart w:id="16" w:name="Xf9a2f9c4e21491b0be155ee64069359b48ac0dd"/>
    <w:p>
      <w:pPr>
        <w:pStyle w:val="Heading3"/>
      </w:pPr>
      <w:r>
        <w:t xml:space="preserve">Claim 6: REM Cycle — Sleep-Inspired KG Maintenance</w:t>
      </w:r>
    </w:p>
    <w:p>
      <w:pPr>
        <w:pStyle w:val="FirstParagraph"/>
      </w:pPr>
      <w:r>
        <w:rPr>
          <w:b/>
          <w:bCs/>
        </w:rPr>
        <w:t xml:space="preserve">Description</w:t>
      </w:r>
      <w:r>
        <w:t xml:space="preserve">: A three-phase background maintenance loop (Prune → Consolidate → Synthesize) for autonomous KG quality management, inspired by the biological sleep-cycle memory consolidation model (synaptic homeostasis, NREM slow-wave, hippocampal replay).</w:t>
      </w:r>
    </w:p>
    <w:p>
      <w:pPr>
        <w:pStyle w:val="BodyText"/>
      </w:pPr>
      <w:r>
        <w:rPr>
          <w:b/>
          <w:bCs/>
        </w:rPr>
        <w:t xml:space="preserve">Novelty Statement</w:t>
      </w:r>
      <w:r>
        <w:t xml:space="preserve">: KG maintenance systems (NELL, ATOMIC) focus on</w:t>
      </w:r>
      <w:r>
        <w:t xml:space="preserve"> </w:t>
      </w:r>
      <w:r>
        <w:rPr>
          <w:i/>
          <w:iCs/>
        </w:rPr>
        <w:t xml:space="preserve">adding</w:t>
      </w:r>
      <w:r>
        <w:t xml:space="preserve"> </w:t>
      </w:r>
      <w:r>
        <w:t xml:space="preserve">new facts. The REM Cycle’s three-phase design for autonomous removal, structural consolidation, and proactive synthesis with differential decay rates per edge relation type has no precedent in the KG maintenance literature.</w:t>
      </w:r>
    </w:p>
    <w:p>
      <w:pPr>
        <w:pStyle w:val="BodyText"/>
      </w:pPr>
      <w:r>
        <w:rPr>
          <w:b/>
          <w:bCs/>
        </w:rPr>
        <w:t xml:space="preserve">Relevant files</w:t>
      </w:r>
      <w:r>
        <w:t xml:space="preserve">:</w:t>
      </w:r>
      <w:r>
        <w:t xml:space="preserve"> </w:t>
      </w:r>
      <w:r>
        <w:rPr>
          <w:rStyle w:val="VerbatimChar"/>
        </w:rPr>
        <w:t xml:space="preserve">core/rem_engine.py</w:t>
      </w:r>
      <w:r>
        <w:t xml:space="preserve"> </w:t>
      </w:r>
      <w:r>
        <w:rPr>
          <w:b/>
          <w:bCs/>
        </w:rPr>
        <w:t xml:space="preserve">Documented in</w:t>
      </w:r>
      <w:r>
        <w:t xml:space="preserve">:</w:t>
      </w:r>
      <w:r>
        <w:t xml:space="preserve"> </w:t>
      </w:r>
      <w:r>
        <w:rPr>
          <w:rStyle w:val="VerbatimChar"/>
        </w:rPr>
        <w:t xml:space="preserve">docs/arxiv/PAPER_007_REM_CYCLE.md</w:t>
      </w:r>
    </w:p>
    <w:p>
      <w:r>
        <w:pict>
          <v:rect style="width:0;height:1.5pt" o:hralign="center" o:hrstd="t" o:hr="t"/>
        </w:pict>
      </w:r>
    </w:p>
    <w:bookmarkEnd w:id="16"/>
    <w:bookmarkEnd w:id="17"/>
    <w:bookmarkStart w:id="20" w:name="X946730f42f3069830e64bdd35418bb41e06aae3"/>
    <w:p>
      <w:pPr>
        <w:pStyle w:val="Heading2"/>
      </w:pPr>
      <w:r>
        <w:t xml:space="preserve">Part III: Cross-Modal and Federated Claims</w:t>
      </w:r>
    </w:p>
    <w:bookmarkStart w:id="18" w:name="Xcdc31aa4d6ac7c0c13fcfbc7f1c150f8c84a923"/>
    <w:p>
      <w:pPr>
        <w:pStyle w:val="Heading3"/>
      </w:pPr>
      <w:r>
        <w:t xml:space="preserve">Claim 7: Procrustes SVD Sensor-to-KG Alignment with Canonical Basis Anchor</w:t>
      </w:r>
    </w:p>
    <w:p>
      <w:pPr>
        <w:pStyle w:val="FirstParagraph"/>
      </w:pPr>
      <w:r>
        <w:rPr>
          <w:b/>
          <w:bCs/>
        </w:rPr>
        <w:t xml:space="preserve">Description</w:t>
      </w:r>
      <w:r>
        <w:t xml:space="preserve">: A cross-modal alignment system that projects heterogeneous sensor signals (time-series, waveforms) into the same embedding space as Knowledge Graph text entities via Procrustes SVD rotation, with a canonical embedding basis that prevents geometric drift accumulation across federated hops.</w:t>
      </w:r>
    </w:p>
    <w:p>
      <w:pPr>
        <w:pStyle w:val="BodyText"/>
      </w:pPr>
      <w:r>
        <w:rPr>
          <w:b/>
          <w:bCs/>
        </w:rPr>
        <w:t xml:space="preserve">Novelty Statement</w:t>
      </w:r>
      <w:r>
        <w:t xml:space="preserve">: Multimodal KG papers (MMKG, MKGFormer) integrate images and text but not continuous sensor signals. The specific combination of: (1) statistical/spectral signal feature extraction, (2) Procrustes SVD alignment to KG embedding space, (3) a canonical root basis shared across all federation participants, and (4) namespace isolation preventing cross-modal entity collisions, is original.</w:t>
      </w:r>
    </w:p>
    <w:p>
      <w:pPr>
        <w:pStyle w:val="BodyText"/>
      </w:pPr>
      <w:r>
        <w:rPr>
          <w:b/>
          <w:bCs/>
        </w:rPr>
        <w:t xml:space="preserve">Relevant files</w:t>
      </w:r>
      <w:r>
        <w:t xml:space="preserve">:</w:t>
      </w:r>
      <w:r>
        <w:t xml:space="preserve"> </w:t>
      </w:r>
      <w:r>
        <w:rPr>
          <w:rStyle w:val="VerbatimChar"/>
        </w:rPr>
        <w:t xml:space="preserve">core/signal_encoder.py</w:t>
      </w:r>
      <w:r>
        <w:t xml:space="preserve"> </w:t>
      </w:r>
      <w:r>
        <w:rPr>
          <w:b/>
          <w:bCs/>
        </w:rPr>
        <w:t xml:space="preserve">Documented in</w:t>
      </w:r>
      <w:r>
        <w:t xml:space="preserve">:</w:t>
      </w:r>
      <w:r>
        <w:t xml:space="preserve"> </w:t>
      </w:r>
      <w:r>
        <w:rPr>
          <w:rStyle w:val="VerbatimChar"/>
        </w:rPr>
        <w:t xml:space="preserve">docs/arxiv/PAPER_008_SIGNAL_ENCODER.md</w:t>
      </w:r>
    </w:p>
    <w:p>
      <w:r>
        <w:pict>
          <v:rect style="width:0;height:1.5pt" o:hralign="center" o:hrstd="t" o:hr="t"/>
        </w:pict>
      </w:r>
    </w:p>
    <w:bookmarkEnd w:id="18"/>
    <w:bookmarkStart w:id="19" w:name="X8301bbbf401ab19047662d95744b480b2491c4e"/>
    <w:p>
      <w:pPr>
        <w:pStyle w:val="Heading3"/>
      </w:pPr>
      <w:r>
        <w:t xml:space="preserve">Claim 8: Holographic Index for Privacy-Preserving Federated Discovery</w:t>
      </w:r>
    </w:p>
    <w:p>
      <w:pPr>
        <w:pStyle w:val="FirstParagraph"/>
      </w:pPr>
      <w:r>
        <w:rPr>
          <w:b/>
          <w:bCs/>
        </w:rPr>
        <w:t xml:space="preserve">Description</w:t>
      </w:r>
      <w:r>
        <w:t xml:space="preserve">: A federated graph discovery system using Bloom filter sketches (probabilistic membership) and community centroid vectors (structural fingerprints) to enable two CEREBRUM nodes to identify likely-relevant shared content without revealing individual entity identities.</w:t>
      </w:r>
    </w:p>
    <w:p>
      <w:pPr>
        <w:pStyle w:val="BodyText"/>
      </w:pPr>
      <w:r>
        <w:rPr>
          <w:b/>
          <w:bCs/>
        </w:rPr>
        <w:t xml:space="preserve">Novelty Statement</w:t>
      </w:r>
      <w:r>
        <w:t xml:space="preserve">: Federated learning (McMahan et al., 2017) aggregates model gradients, not graph structure. SPARQL federation requires full query exposure. The Holographic Index is the first KG-specific privacy-preserving discovery mechanism using the combination of Bloom filters and community centroid structural fingerprints.</w:t>
      </w:r>
    </w:p>
    <w:p>
      <w:pPr>
        <w:pStyle w:val="BodyText"/>
      </w:pPr>
      <w:r>
        <w:rPr>
          <w:b/>
          <w:bCs/>
        </w:rPr>
        <w:t xml:space="preserve">Relevant files</w:t>
      </w:r>
      <w:r>
        <w:t xml:space="preserve">:</w:t>
      </w:r>
      <w:r>
        <w:t xml:space="preserve"> </w:t>
      </w:r>
      <w:r>
        <w:rPr>
          <w:rStyle w:val="VerbatimChar"/>
        </w:rPr>
        <w:t xml:space="preserve">core/hologram.py</w:t>
      </w:r>
      <w:r>
        <w:t xml:space="preserve"> </w:t>
      </w:r>
      <w:r>
        <w:rPr>
          <w:b/>
          <w:bCs/>
        </w:rPr>
        <w:t xml:space="preserve">Documented in</w:t>
      </w:r>
      <w:r>
        <w:t xml:space="preserve">:</w:t>
      </w:r>
      <w:r>
        <w:t xml:space="preserve"> </w:t>
      </w:r>
      <w:r>
        <w:rPr>
          <w:rStyle w:val="VerbatimChar"/>
        </w:rPr>
        <w:t xml:space="preserve">docs/arxiv/PAPER_005_HOLOGRAPHIC_INDEXING.md</w:t>
      </w:r>
    </w:p>
    <w:p>
      <w:r>
        <w:pict>
          <v:rect style="width:0;height:1.5pt" o:hralign="center" o:hrstd="t" o:hr="t"/>
        </w:pict>
      </w:r>
    </w:p>
    <w:bookmarkEnd w:id="19"/>
    <w:bookmarkEnd w:id="20"/>
    <w:bookmarkStart w:id="23" w:name="part-iv-production-hardening-claims"/>
    <w:p>
      <w:pPr>
        <w:pStyle w:val="Heading2"/>
      </w:pPr>
      <w:r>
        <w:t xml:space="preserve">Part IV: Production Hardening Claims</w:t>
      </w:r>
    </w:p>
    <w:bookmarkStart w:id="21" w:name="Xee7443b9d40ced76953d7ffb6b31c4cedc416cb"/>
    <w:p>
      <w:pPr>
        <w:pStyle w:val="Heading3"/>
      </w:pPr>
      <w:r>
        <w:t xml:space="preserve">Claim 9: Bayesian Beam Search with Warm-Start Prior Seeding for KG Traversal</w:t>
      </w:r>
    </w:p>
    <w:p>
      <w:pPr>
        <w:pStyle w:val="FirstParagraph"/>
      </w:pPr>
      <w:r>
        <w:rPr>
          <w:b/>
          <w:bCs/>
        </w:rPr>
        <w:t xml:space="preserve">Description</w:t>
      </w:r>
      <w:r>
        <w:t xml:space="preserve">: Application of Beta-distribution path modeling and Thompson sampling to multi-hop KG beam search, with a warm-start mechanism that seeds the first-hop Beta prior from the CSA attention weight to reduce cold-start variance.</w:t>
      </w:r>
    </w:p>
    <w:p>
      <w:pPr>
        <w:pStyle w:val="BodyText"/>
      </w:pPr>
      <w:r>
        <w:rPr>
          <w:b/>
          <w:bCs/>
        </w:rPr>
        <w:t xml:space="preserve">Novelty Statement</w:t>
      </w:r>
      <w:r>
        <w:t xml:space="preserve">: Bayesian bandits and Thompson sampling are well-established in recommendation and exploration-exploitation literature. Their application to</w:t>
      </w:r>
      <w:r>
        <w:t xml:space="preserve"> </w:t>
      </w:r>
      <w:r>
        <w:rPr>
          <w:i/>
          <w:iCs/>
        </w:rPr>
        <w:t xml:space="preserve">multi-hop KG beam search with path-level Beta distributions</w:t>
      </w:r>
      <w:r>
        <w:t xml:space="preserve"> </w:t>
      </w:r>
      <w:r>
        <w:t xml:space="preserve">seeded from graph-structural attention weights is novel — no prior KG reasoning paper uses this formulation.</w:t>
      </w:r>
    </w:p>
    <w:p>
      <w:pPr>
        <w:pStyle w:val="BodyText"/>
      </w:pPr>
      <w:r>
        <w:rPr>
          <w:b/>
          <w:bCs/>
        </w:rPr>
        <w:t xml:space="preserve">Relevant files</w:t>
      </w:r>
      <w:r>
        <w:t xml:space="preserve">:</w:t>
      </w:r>
      <w:r>
        <w:t xml:space="preserve"> </w:t>
      </w:r>
      <w:r>
        <w:rPr>
          <w:rStyle w:val="VerbatimChar"/>
        </w:rPr>
        <w:t xml:space="preserve">reasoning/traversal.py</w:t>
      </w:r>
      <w:r>
        <w:t xml:space="preserve"> </w:t>
      </w:r>
      <w:r>
        <w:rPr>
          <w:b/>
          <w:bCs/>
        </w:rPr>
        <w:t xml:space="preserve">Documented in</w:t>
      </w:r>
      <w:r>
        <w:t xml:space="preserve">:</w:t>
      </w:r>
      <w:r>
        <w:t xml:space="preserve"> </w:t>
      </w:r>
      <w:r>
        <w:rPr>
          <w:rStyle w:val="VerbatimChar"/>
        </w:rPr>
        <w:t xml:space="preserve">docs/arxiv/PAPER_006_BAYESIAN_BEAM.md</w:t>
      </w:r>
    </w:p>
    <w:p>
      <w:r>
        <w:pict>
          <v:rect style="width:0;height:1.5pt" o:hralign="center" o:hrstd="t" o:hr="t"/>
        </w:pict>
      </w:r>
    </w:p>
    <w:bookmarkEnd w:id="21"/>
    <w:bookmarkStart w:id="22" w:name="Xef771e7a5ff63333f7fe8379c7f5f0b5eeed1a3"/>
    <w:p>
      <w:pPr>
        <w:pStyle w:val="Heading3"/>
      </w:pPr>
      <w:r>
        <w:t xml:space="preserve">Claim 10: Eight-Hole Structural Hardening Taxonomy for KG Systems</w:t>
      </w:r>
    </w:p>
    <w:p>
      <w:pPr>
        <w:pStyle w:val="FirstParagraph"/>
      </w:pPr>
      <w:r>
        <w:rPr>
          <w:b/>
          <w:bCs/>
        </w:rPr>
        <w:t xml:space="preserve">Description</w:t>
      </w:r>
      <w:r>
        <w:t xml:space="preserve">: A systematic methodology for identifying and patching cross-feature interaction bugs (</w:t>
      </w:r>
      <w:r>
        <w:t xml:space="preserve">“structural holes”</w:t>
      </w:r>
      <w:r>
        <w:t xml:space="preserve">) in complex KG systems, covering five taxonomic categories: stale reference, adversarial input, namespace collision, bias/saturation, and evaluation artifacts.</w:t>
      </w:r>
    </w:p>
    <w:p>
      <w:pPr>
        <w:pStyle w:val="BodyText"/>
      </w:pPr>
      <w:r>
        <w:rPr>
          <w:b/>
          <w:bCs/>
        </w:rPr>
        <w:t xml:space="preserve">Novelty Statement</w:t>
      </w:r>
      <w:r>
        <w:t xml:space="preserve">: The specific taxonomy of structural hole categories as applied to KG reasoning systems — and the complete set of eight patched holes with backward-compatible fixes — constitutes a novel engineering contribution for production KG deployment.</w:t>
      </w:r>
    </w:p>
    <w:p>
      <w:pPr>
        <w:pStyle w:val="BodyText"/>
      </w:pPr>
      <w:r>
        <w:rPr>
          <w:b/>
          <w:bCs/>
        </w:rPr>
        <w:t xml:space="preserve">Documented in</w:t>
      </w:r>
      <w:r>
        <w:t xml:space="preserve">:</w:t>
      </w:r>
      <w:r>
        <w:t xml:space="preserve"> </w:t>
      </w:r>
      <w:r>
        <w:rPr>
          <w:rStyle w:val="VerbatimChar"/>
        </w:rPr>
        <w:t xml:space="preserve">docs/arxiv/PAPER_016_PRODUCTION_HARDENING.md</w:t>
      </w:r>
    </w:p>
    <w:p>
      <w:r>
        <w:pict>
          <v:rect style="width:0;height:1.5pt" o:hralign="center" o:hrstd="t" o:hr="t"/>
        </w:pict>
      </w:r>
    </w:p>
    <w:bookmarkEnd w:id="22"/>
    <w:bookmarkEnd w:id="23"/>
    <w:bookmarkStart w:id="25" w:name="part-v-composite-system-claims"/>
    <w:p>
      <w:pPr>
        <w:pStyle w:val="Heading2"/>
      </w:pPr>
      <w:r>
        <w:t xml:space="preserve">Part V: Composite System Claims</w:t>
      </w:r>
    </w:p>
    <w:bookmarkStart w:id="24" w:name="Xb5634f29e6a9fa0fcb9c765eb93242c1d1f235d"/>
    <w:p>
      <w:pPr>
        <w:pStyle w:val="Heading3"/>
      </w:pPr>
      <w:r>
        <w:t xml:space="preserve">Claim 11: CEREBRUM as an Integrated Zero-Shot KG Reasoning System</w:t>
      </w:r>
    </w:p>
    <w:p>
      <w:pPr>
        <w:pStyle w:val="FirstParagraph"/>
      </w:pPr>
      <w:r>
        <w:rPr>
          <w:b/>
          <w:bCs/>
        </w:rPr>
        <w:t xml:space="preserve">Description</w:t>
      </w:r>
      <w:r>
        <w:t xml:space="preserve">: The complete CEREBRUM system integrating DSCF community detection, CSA attention, zero-shot beam traversal, LTP/LTD bridge twins, STDP causal inference, REM Cycle maintenance, Bayesian beam search, cross-modal alignment, federated discovery, streaming ingest, metacognitive verification, and production hardening into a single coherent framework with zero training data requirements and complete reasoning transparency.</w:t>
      </w:r>
    </w:p>
    <w:p>
      <w:pPr>
        <w:pStyle w:val="BodyText"/>
      </w:pPr>
      <w:r>
        <w:rPr>
          <w:b/>
          <w:bCs/>
        </w:rPr>
        <w:t xml:space="preserve">Novelty Statement</w:t>
      </w:r>
      <w:r>
        <w:t xml:space="preserve">: No prior work integrates this combination of capabilities in a single KG reasoning framework. The specific architectural choices — using communities as attention heads, using traversal co-occurrence for structural modification, using STDP timing for causal discovery, and composing these into a sleep-cycle maintenance loop — represent a novel systems-level contribution.</w:t>
      </w:r>
    </w:p>
    <w:p>
      <w:r>
        <w:pict>
          <v:rect style="width:0;height:1.5pt" o:hralign="center" o:hrstd="t" o:hr="t"/>
        </w:pict>
      </w:r>
    </w:p>
    <w:bookmarkEnd w:id="24"/>
    <w:bookmarkEnd w:id="25"/>
    <w:bookmarkStart w:id="37" w:name="X2b420bb3c1238283aa0362b15f37191c68abb06"/>
    <w:p>
      <w:pPr>
        <w:pStyle w:val="Heading2"/>
      </w:pPr>
      <w:r>
        <w:t xml:space="preserve">Part VI: Advanced Reasoning and Discovery Claims</w:t>
      </w:r>
    </w:p>
    <w:bookmarkStart w:id="26" w:name="X4b2ab316e9dd3a93a60e5cd88fc93833f45831b"/>
    <w:p>
      <w:pPr>
        <w:pStyle w:val="Heading3"/>
      </w:pPr>
      <w:r>
        <w:t xml:space="preserve">Claim 12: Multi-Path Abductive Reasoning via Noisy-OR Confidence Fusion (HypothesisEngine)</w:t>
      </w:r>
    </w:p>
    <w:p>
      <w:pPr>
        <w:pStyle w:val="FirstParagraph"/>
      </w:pPr>
      <w:r>
        <w:rPr>
          <w:b/>
          <w:bCs/>
        </w:rPr>
        <w:t xml:space="preserve">Description</w:t>
      </w:r>
      <w:r>
        <w:t xml:space="preserve">: A reasoning module that accepts an observed graph state (a set of present or absent edges/nodes) and generates ranked explanatory hypotheses by running multiple reverse-traversal paths from the observation, then fusing path-level confidence scores using Noisy-OR probability aggregation. The resulting hypotheses are ranked by posterior plausibility and can be materialized as provisional graph edges.</w:t>
      </w:r>
    </w:p>
    <w:p>
      <w:pPr>
        <w:pStyle w:val="BodyText"/>
      </w:pPr>
      <w:r>
        <w:rPr>
          <w:b/>
          <w:bCs/>
        </w:rPr>
        <w:t xml:space="preserve">Novelty Statement</w:t>
      </w:r>
      <w:r>
        <w:t xml:space="preserve">: Forward multi-hop KG reasoning (given A, find B) is well-studied. Abductive KG reasoning (given B, infer most plausible cause A) is addressed in recent work (e.g., Abdul-Mageed et al., 2023) but exclusively with trained neural models. The CEREBRUM HypothesisEngine performs abductive reasoning without training: it relies solely on graph topology and CSA-weighted reverse traversal. The specific combination of (1) multi-path reverse traversal, (2) Noisy-OR path fusion, (3) training-free execution, and (4) materialization of hypotheses as provisional graph structure is, to our knowledge, entirely novel.</w:t>
      </w:r>
    </w:p>
    <w:p>
      <w:pPr>
        <w:pStyle w:val="BodyText"/>
      </w:pPr>
      <w:r>
        <w:rPr>
          <w:b/>
          <w:bCs/>
        </w:rPr>
        <w:t xml:space="preserve">Closest Prior Art</w:t>
      </w:r>
      <w:r>
        <w:t xml:space="preserve">:</w:t>
      </w:r>
      <w:r>
        <w:t xml:space="preserve"> </w:t>
      </w:r>
      <w:r>
        <w:t xml:space="preserve">- Abductive NLI (Bhagavatula et al., 2020): Hypothesis generation from text, requires fine-tuned language model</w:t>
      </w:r>
      <w:r>
        <w:t xml:space="preserve"> </w:t>
      </w:r>
      <w:r>
        <w:t xml:space="preserve">- LEGO (Shi et al., 2021): Logical abduction on KGs, requires symbolic rules and training</w:t>
      </w:r>
      <w:r>
        <w:t xml:space="preserve"> </w:t>
      </w:r>
      <w:r>
        <w:t xml:space="preserve">- Generative KGC models: Produce new triples but do not perform abductive reasoning over observation sets</w:t>
      </w:r>
    </w:p>
    <w:p>
      <w:pPr>
        <w:pStyle w:val="BodyText"/>
      </w:pPr>
      <w:r>
        <w:rPr>
          <w:b/>
          <w:bCs/>
        </w:rPr>
        <w:t xml:space="preserve">Key Technical Differentiator</w:t>
      </w:r>
      <w:r>
        <w:t xml:space="preserve">: Training-free abductive reasoning via Noisy-OR fusion of reverse-traversal CSA scores, with hypothesis materialization into graph structure.</w:t>
      </w:r>
    </w:p>
    <w:p>
      <w:pPr>
        <w:pStyle w:val="BodyText"/>
      </w:pPr>
      <w:r>
        <w:rPr>
          <w:b/>
          <w:bCs/>
        </w:rPr>
        <w:t xml:space="preserve">Relevant files</w:t>
      </w:r>
      <w:r>
        <w:t xml:space="preserve">:</w:t>
      </w:r>
      <w:r>
        <w:t xml:space="preserve"> </w:t>
      </w:r>
      <w:r>
        <w:rPr>
          <w:rStyle w:val="VerbatimChar"/>
        </w:rPr>
        <w:t xml:space="preserve">core/hypothesis_engine.py</w:t>
      </w:r>
      <w:r>
        <w:t xml:space="preserve"> </w:t>
      </w:r>
      <w:r>
        <w:rPr>
          <w:b/>
          <w:bCs/>
        </w:rPr>
        <w:t xml:space="preserve">API endpoints</w:t>
      </w:r>
      <w:r>
        <w:t xml:space="preserve">:</w:t>
      </w:r>
      <w:r>
        <w:t xml:space="preserve"> </w:t>
      </w:r>
      <w:r>
        <w:rPr>
          <w:rStyle w:val="VerbatimChar"/>
        </w:rPr>
        <w:t xml:space="preserve">POST /hypothesize</w:t>
      </w:r>
      <w:r>
        <w:t xml:space="preserve">,</w:t>
      </w:r>
      <w:r>
        <w:t xml:space="preserve"> </w:t>
      </w:r>
      <w:r>
        <w:rPr>
          <w:rStyle w:val="VerbatimChar"/>
        </w:rPr>
        <w:t xml:space="preserve">POST /hypothesize/materialize</w:t>
      </w:r>
    </w:p>
    <w:p>
      <w:r>
        <w:pict>
          <v:rect style="width:0;height:1.5pt" o:hralign="center" o:hrstd="t" o:hr="t"/>
        </w:pict>
      </w:r>
    </w:p>
    <w:bookmarkEnd w:id="26"/>
    <w:bookmarkStart w:id="27" w:name="X9ea73c4e908281678ca6fb464fed7186c6bfcc0"/>
    <w:p>
      <w:pPr>
        <w:pStyle w:val="Heading3"/>
      </w:pPr>
      <w:r>
        <w:t xml:space="preserve">Claim 13: Autonomous Missing-Link Discovery with Human-in-the-Loop Approval Queue (ResearchAgent)</w:t>
      </w:r>
    </w:p>
    <w:p>
      <w:pPr>
        <w:pStyle w:val="FirstParagraph"/>
      </w:pPr>
      <w:r>
        <w:rPr>
          <w:b/>
          <w:bCs/>
        </w:rPr>
        <w:t xml:space="preserve">Description</w:t>
      </w:r>
      <w:r>
        <w:t xml:space="preserve">: An autonomous background daemon that continuously monitors graph connectivity metrics (degree distribution, betweenness centrality, community bridge density) to identify candidate under-connected nodes, then proposes novel edges connecting those nodes via multi-hop bridge analysis. All proposals are queued for human review before materialization — no edge is added to the graph without explicit human approval.</w:t>
      </w:r>
    </w:p>
    <w:p>
      <w:pPr>
        <w:pStyle w:val="BodyText"/>
      </w:pPr>
      <w:r>
        <w:rPr>
          <w:b/>
          <w:bCs/>
        </w:rPr>
        <w:t xml:space="preserve">Novelty Statement</w:t>
      </w:r>
      <w:r>
        <w:t xml:space="preserve">: Automated KG completion (TransE, RotatE, ComplEx) predicts missing links using trained embedding models and applies them automatically. The CEREBRUM ResearchAgent differs in three respects: (1) it operates without training, using structural graph analysis only; (2) it targets systematically under-connected nodes rather than random triple prediction; (3) it enforces a mandatory human-in-the-loop approval stage before any graph modification. The combination of training-free structural gap detection and supervised materialization is original.</w:t>
      </w:r>
    </w:p>
    <w:p>
      <w:pPr>
        <w:pStyle w:val="BodyText"/>
      </w:pPr>
      <w:r>
        <w:rPr>
          <w:b/>
          <w:bCs/>
        </w:rPr>
        <w:t xml:space="preserve">Closest Prior Art</w:t>
      </w:r>
      <w:r>
        <w:t xml:space="preserve">:</w:t>
      </w:r>
      <w:r>
        <w:t xml:space="preserve"> </w:t>
      </w:r>
      <w:r>
        <w:t xml:space="preserve">- TransE/RotatE (Bordes et al., 2013; Sun et al., 2019): Trained KG embedding completion, no human approval step</w:t>
      </w:r>
      <w:r>
        <w:t xml:space="preserve"> </w:t>
      </w:r>
      <w:r>
        <w:t xml:space="preserve">- NELL (Carlson et al., 2010): Automated belief extraction and addition, no structural gap targeting</w:t>
      </w:r>
      <w:r>
        <w:t xml:space="preserve"> </w:t>
      </w:r>
      <w:r>
        <w:t xml:space="preserve">- ATOMIC (Sap et al., 2019): Crowdsourced commonsense KG extension, human-authored rather than autonomously proposed</w:t>
      </w:r>
    </w:p>
    <w:p>
      <w:pPr>
        <w:pStyle w:val="BodyText"/>
      </w:pPr>
      <w:r>
        <w:rPr>
          <w:b/>
          <w:bCs/>
        </w:rPr>
        <w:t xml:space="preserve">Key Technical Differentiator</w:t>
      </w:r>
      <w:r>
        <w:t xml:space="preserve">: Unsupervised structural gap detection + training-free bridge proposal + mandatory human approval gate.</w:t>
      </w:r>
    </w:p>
    <w:p>
      <w:pPr>
        <w:pStyle w:val="BodyText"/>
      </w:pPr>
      <w:r>
        <w:rPr>
          <w:b/>
          <w:bCs/>
        </w:rPr>
        <w:t xml:space="preserve">Relevant files</w:t>
      </w:r>
      <w:r>
        <w:t xml:space="preserve">:</w:t>
      </w:r>
      <w:r>
        <w:t xml:space="preserve"> </w:t>
      </w:r>
      <w:r>
        <w:rPr>
          <w:rStyle w:val="VerbatimChar"/>
        </w:rPr>
        <w:t xml:space="preserve">core/research_agent.py</w:t>
      </w:r>
    </w:p>
    <w:p>
      <w:r>
        <w:pict>
          <v:rect style="width:0;height:1.5pt" o:hralign="center" o:hrstd="t" o:hr="t"/>
        </w:pict>
      </w:r>
    </w:p>
    <w:bookmarkEnd w:id="27"/>
    <w:bookmarkStart w:id="28" w:name="X5b1a65641086a8816967f8a8d931d9710f097a0"/>
    <w:p>
      <w:pPr>
        <w:pStyle w:val="Heading3"/>
      </w:pPr>
      <w:r>
        <w:t xml:space="preserve">Claim 14: Automated Literature Validation of Graph Hypotheses Against Live Scientific Databases (ExternalValidator)</w:t>
      </w:r>
    </w:p>
    <w:p>
      <w:pPr>
        <w:pStyle w:val="FirstParagraph"/>
      </w:pPr>
      <w:r>
        <w:rPr>
          <w:b/>
          <w:bCs/>
        </w:rPr>
        <w:t xml:space="preserve">Description</w:t>
      </w:r>
      <w:r>
        <w:t xml:space="preserve">: A validation layer that accepts proposed KG edges (from ResearchAgent or HypothesisEngine) and automatically queries live scientific literature databases — PubMed, ClinicalTrials.gov, arXiv, and OpenAlex — to retrieve relevant publications. Each proposal is scored by literature support density and annotated with specific citations. The validator returns a structured evidence report per proposal.</w:t>
      </w:r>
    </w:p>
    <w:p>
      <w:pPr>
        <w:pStyle w:val="BodyText"/>
      </w:pPr>
      <w:r>
        <w:rPr>
          <w:b/>
          <w:bCs/>
        </w:rPr>
        <w:t xml:space="preserve">Novelty Statement</w:t>
      </w:r>
      <w:r>
        <w:t xml:space="preserve">: KG systems with external validation (e.g., Google’s KG with Freebase provenance, Wikidata with reference citations) rely on pre-linked static provenance. The ExternalValidator performs dynamic, query-time validation against multiple heterogeneous live databases. No published KG system performs automated multi-database literature retrieval as a first-class validation step in the hypothesis/edge proposal pipeline.</w:t>
      </w:r>
    </w:p>
    <w:p>
      <w:pPr>
        <w:pStyle w:val="BodyText"/>
      </w:pPr>
      <w:r>
        <w:rPr>
          <w:b/>
          <w:bCs/>
        </w:rPr>
        <w:t xml:space="preserve">Closest Prior Art</w:t>
      </w:r>
      <w:r>
        <w:t xml:space="preserve">:</w:t>
      </w:r>
      <w:r>
        <w:t xml:space="preserve"> </w:t>
      </w:r>
      <w:r>
        <w:t xml:space="preserve">- Wikidata provenance citations: Static, human-curated, not automated query-time retrieval</w:t>
      </w:r>
      <w:r>
        <w:t xml:space="preserve"> </w:t>
      </w:r>
      <w:r>
        <w:t xml:space="preserve">- SciGraph (Springer Nature): Domain-specific static linking between publications and entities, no dynamic proposal validation</w:t>
      </w:r>
      <w:r>
        <w:t xml:space="preserve"> </w:t>
      </w:r>
      <w:r>
        <w:t xml:space="preserve">- BioKG systems: Literature-linked KGs, but validation is done at ingest time, not for dynamically proposed edges</w:t>
      </w:r>
    </w:p>
    <w:p>
      <w:pPr>
        <w:pStyle w:val="BodyText"/>
      </w:pPr>
      <w:r>
        <w:rPr>
          <w:b/>
          <w:bCs/>
        </w:rPr>
        <w:t xml:space="preserve">Key Technical Differentiator</w:t>
      </w:r>
      <w:r>
        <w:t xml:space="preserve">: Real-time, multi-database literature scoring of dynamically proposed graph edges, returning per-proposal citation evidence reports.</w:t>
      </w:r>
    </w:p>
    <w:p>
      <w:pPr>
        <w:pStyle w:val="BodyText"/>
      </w:pPr>
      <w:r>
        <w:rPr>
          <w:b/>
          <w:bCs/>
        </w:rPr>
        <w:t xml:space="preserve">Relevant files</w:t>
      </w:r>
      <w:r>
        <w:t xml:space="preserve">:</w:t>
      </w:r>
      <w:r>
        <w:t xml:space="preserve"> </w:t>
      </w:r>
      <w:r>
        <w:rPr>
          <w:rStyle w:val="VerbatimChar"/>
        </w:rPr>
        <w:t xml:space="preserve">core/external_validator.py</w:t>
      </w:r>
    </w:p>
    <w:p>
      <w:r>
        <w:pict>
          <v:rect style="width:0;height:1.5pt" o:hralign="center" o:hrstd="t" o:hr="t"/>
        </w:pict>
      </w:r>
    </w:p>
    <w:bookmarkEnd w:id="28"/>
    <w:bookmarkStart w:id="29" w:name="X94daf3a767ce5e900b7f8924a35394a95b57a09"/>
    <w:p>
      <w:pPr>
        <w:pStyle w:val="Heading3"/>
      </w:pPr>
      <w:r>
        <w:t xml:space="preserve">Claim 15: Density-Driven Dynamic Beam Parameter Selection (Adaptive Search Strategy)</w:t>
      </w:r>
    </w:p>
    <w:p>
      <w:pPr>
        <w:pStyle w:val="FirstParagraph"/>
      </w:pPr>
      <w:r>
        <w:rPr>
          <w:b/>
          <w:bCs/>
        </w:rPr>
        <w:t xml:space="preserve">Description</w:t>
      </w:r>
      <w:r>
        <w:t xml:space="preserve">: A pre-traversal analysis module that measures local graph density around seed entities (node degree, edge density in the k-hop ego network, average community size) and uses this measurement to dynamically select beam_width and max_hop parameters before initiating beam search. Dense neighborhoods receive narrower, shallower beams; sparse neighborhoods receive wider, deeper beams.</w:t>
      </w:r>
    </w:p>
    <w:p>
      <w:pPr>
        <w:pStyle w:val="BodyText"/>
      </w:pPr>
      <w:r>
        <w:rPr>
          <w:b/>
          <w:bCs/>
        </w:rPr>
        <w:t xml:space="preserve">Novelty Statement</w:t>
      </w:r>
      <w:r>
        <w:t xml:space="preserve">: Beam search in KG reasoning systems uses fixed hyperparameters set at system startup (MINERVA uses fixed beam width; CEREBRUM prior to this phase used fixed beam_width=10, max_hop=3). No published KG traversal system dynamically adapts beam parameters to local graph topology at query time. Dynamic beam width in NLP sequence models (e.g., adaptive beam in neural machine translation) adapts to sequence length, not to graph structural properties.</w:t>
      </w:r>
    </w:p>
    <w:p>
      <w:pPr>
        <w:pStyle w:val="BodyText"/>
      </w:pPr>
      <w:r>
        <w:rPr>
          <w:b/>
          <w:bCs/>
        </w:rPr>
        <w:t xml:space="preserve">Closest Prior Art</w:t>
      </w:r>
      <w:r>
        <w:t xml:space="preserve">:</w:t>
      </w:r>
      <w:r>
        <w:t xml:space="preserve"> </w:t>
      </w:r>
      <w:r>
        <w:t xml:space="preserve">- Adaptive beam search in NMT (Huang et al., 2017): Adapts to sequence length/complexity, not graph density</w:t>
      </w:r>
      <w:r>
        <w:t xml:space="preserve"> </w:t>
      </w:r>
      <w:r>
        <w:t xml:space="preserve">- MINERVA (Das et al., 2018): Fixed beam width, fixed depth</w:t>
      </w:r>
      <w:r>
        <w:t xml:space="preserve"> </w:t>
      </w:r>
      <w:r>
        <w:t xml:space="preserve">- All CEREBRUM prior phases: Fixed beam_width, fixed max_hop</w:t>
      </w:r>
    </w:p>
    <w:p>
      <w:pPr>
        <w:pStyle w:val="BodyText"/>
      </w:pPr>
      <w:r>
        <w:rPr>
          <w:b/>
          <w:bCs/>
        </w:rPr>
        <w:t xml:space="preserve">Key Technical Differentiator</w:t>
      </w:r>
      <w:r>
        <w:t xml:space="preserve">: First KG traversal system to adapt beam parameters to local structural density measured at query time.</w:t>
      </w:r>
    </w:p>
    <w:p>
      <w:pPr>
        <w:pStyle w:val="BodyText"/>
      </w:pPr>
      <w:r>
        <w:rPr>
          <w:b/>
          <w:bCs/>
        </w:rPr>
        <w:t xml:space="preserve">Relevant files</w:t>
      </w:r>
      <w:r>
        <w:t xml:space="preserve">:</w:t>
      </w:r>
      <w:r>
        <w:t xml:space="preserve"> </w:t>
      </w:r>
      <w:r>
        <w:rPr>
          <w:rStyle w:val="VerbatimChar"/>
        </w:rPr>
        <w:t xml:space="preserve">reasoning/traversal.py</w:t>
      </w:r>
      <w:r>
        <w:t xml:space="preserve"> </w:t>
      </w:r>
      <w:r>
        <w:t xml:space="preserve">(density analysis),</w:t>
      </w:r>
      <w:r>
        <w:t xml:space="preserve"> </w:t>
      </w:r>
      <w:r>
        <w:rPr>
          <w:rStyle w:val="VerbatimChar"/>
        </w:rPr>
        <w:t xml:space="preserve">core/community_engine.py</w:t>
      </w:r>
      <w:r>
        <w:t xml:space="preserve"> </w:t>
      </w:r>
      <w:r>
        <w:t xml:space="preserve">(density measurement)</w:t>
      </w:r>
    </w:p>
    <w:p>
      <w:r>
        <w:pict>
          <v:rect style="width:0;height:1.5pt" o:hralign="center" o:hrstd="t" o:hr="t"/>
        </w:pict>
      </w:r>
    </w:p>
    <w:bookmarkEnd w:id="29"/>
    <w:bookmarkStart w:id="30" w:name="Xd60db5e932f6847434462d9b3edcd106d6795cc"/>
    <w:p>
      <w:pPr>
        <w:pStyle w:val="Heading3"/>
      </w:pPr>
      <w:r>
        <w:t xml:space="preserve">Claim 16: Ring Buffer Log Capture with REST Query Interface for Production KG Monitoring (Observability Architecture)</w:t>
      </w:r>
    </w:p>
    <w:p>
      <w:pPr>
        <w:pStyle w:val="FirstParagraph"/>
      </w:pPr>
      <w:r>
        <w:rPr>
          <w:b/>
          <w:bCs/>
        </w:rPr>
        <w:t xml:space="preserve">Description</w:t>
      </w:r>
      <w:r>
        <w:t xml:space="preserve">: An in-process circular log capture system (RingBufferHandler) that intercepts all reasoning-layer log events, stores them in a fixed-size in-memory ring buffer (5,000 entries), and exposes the buffer contents via authenticated REST endpoints (</w:t>
      </w:r>
      <w:r>
        <w:rPr>
          <w:rStyle w:val="VerbatimChar"/>
        </w:rPr>
        <w:t xml:space="preserve">GET /logs</w:t>
      </w:r>
      <w:r>
        <w:t xml:space="preserve">,</w:t>
      </w:r>
      <w:r>
        <w:t xml:space="preserve"> </w:t>
      </w:r>
      <w:r>
        <w:rPr>
          <w:rStyle w:val="VerbatimChar"/>
        </w:rPr>
        <w:t xml:space="preserve">DELETE /logs</w:t>
      </w:r>
      <w:r>
        <w:t xml:space="preserve">). A companion</w:t>
      </w:r>
      <w:r>
        <w:t xml:space="preserve"> </w:t>
      </w:r>
      <w:r>
        <w:rPr>
          <w:rStyle w:val="VerbatimChar"/>
        </w:rPr>
        <w:t xml:space="preserve">StudioEngine</w:t>
      </w:r>
      <w:r>
        <w:t xml:space="preserve"> </w:t>
      </w:r>
      <w:r>
        <w:t xml:space="preserve">class encapsulates all testable business logic for the observability layer separately from the UI rendering framework (Gradio), enabling unit testing of observability behavior without UI dependencies.</w:t>
      </w:r>
    </w:p>
    <w:p>
      <w:pPr>
        <w:pStyle w:val="BodyText"/>
      </w:pPr>
      <w:r>
        <w:rPr>
          <w:b/>
          <w:bCs/>
        </w:rPr>
        <w:t xml:space="preserve">Novelty Statement</w:t>
      </w:r>
      <w:r>
        <w:t xml:space="preserve">: Production KG monitoring systems use external log aggregation (Elasticsearch, Datadog) with no in-process query interface. The CEREBRUM observability architecture differs in three ways: (1) the ring buffer is in-process, adding zero network overhead to log capture; (2) the REST interface enables programmatic log querying without external infrastructure; (3) the StudioEngine separation allows unit testing of observability logic, which is not possible when observability code is embedded in UI frameworks. The combination of in-process ring-buffer capture, REST queryability, and testability-by-design is original.</w:t>
      </w:r>
    </w:p>
    <w:p>
      <w:pPr>
        <w:pStyle w:val="BodyText"/>
      </w:pPr>
      <w:r>
        <w:rPr>
          <w:b/>
          <w:bCs/>
        </w:rPr>
        <w:t xml:space="preserve">Closest Prior Art</w:t>
      </w:r>
      <w:r>
        <w:t xml:space="preserve">:</w:t>
      </w:r>
      <w:r>
        <w:t xml:space="preserve"> </w:t>
      </w:r>
      <w:r>
        <w:t xml:space="preserve">- Python</w:t>
      </w:r>
      <w:r>
        <w:t xml:space="preserve"> </w:t>
      </w:r>
      <w:r>
        <w:rPr>
          <w:rStyle w:val="VerbatimChar"/>
        </w:rPr>
        <w:t xml:space="preserve">logging.handlers.MemoryHandler</w:t>
      </w:r>
      <w:r>
        <w:t xml:space="preserve">: Buffered logging, no REST interface</w:t>
      </w:r>
      <w:r>
        <w:t xml:space="preserve"> </w:t>
      </w:r>
      <w:r>
        <w:t xml:space="preserve">- Gradio-based monitoring UIs: UI-embedded observability, not separately testable</w:t>
      </w:r>
      <w:r>
        <w:t xml:space="preserve"> </w:t>
      </w:r>
      <w:r>
        <w:t xml:space="preserve">- External APM systems (Datadog, New Relic): Require external infrastructure, not in-process</w:t>
      </w:r>
    </w:p>
    <w:p>
      <w:pPr>
        <w:pStyle w:val="BodyText"/>
      </w:pPr>
      <w:r>
        <w:rPr>
          <w:b/>
          <w:bCs/>
        </w:rPr>
        <w:t xml:space="preserve">Key Technical Differentiator</w:t>
      </w:r>
      <w:r>
        <w:t xml:space="preserve">: In-process ring buffer + REST query interface + framework-decoupled StudioEngine enabling full unit testability.</w:t>
      </w:r>
    </w:p>
    <w:p>
      <w:pPr>
        <w:pStyle w:val="BodyText"/>
      </w:pPr>
      <w:r>
        <w:rPr>
          <w:b/>
          <w:bCs/>
        </w:rPr>
        <w:t xml:space="preserve">Relevant files</w:t>
      </w:r>
      <w:r>
        <w:t xml:space="preserve">:</w:t>
      </w:r>
      <w:r>
        <w:t xml:space="preserve"> </w:t>
      </w:r>
      <w:r>
        <w:rPr>
          <w:rStyle w:val="VerbatimChar"/>
        </w:rPr>
        <w:t xml:space="preserve">core/studio_engine.py</w:t>
      </w:r>
      <w:r>
        <w:t xml:space="preserve">,</w:t>
      </w:r>
      <w:r>
        <w:t xml:space="preserve"> </w:t>
      </w:r>
      <w:r>
        <w:rPr>
          <w:rStyle w:val="VerbatimChar"/>
        </w:rPr>
        <w:t xml:space="preserve">core/log_config.py</w:t>
      </w:r>
      <w:r>
        <w:t xml:space="preserve">,</w:t>
      </w:r>
      <w:r>
        <w:t xml:space="preserve"> </w:t>
      </w:r>
      <w:r>
        <w:rPr>
          <w:rStyle w:val="VerbatimChar"/>
        </w:rPr>
        <w:t xml:space="preserve">api/server.py</w:t>
      </w:r>
      <w:r>
        <w:t xml:space="preserve"> </w:t>
      </w:r>
      <w:r>
        <w:t xml:space="preserve">(</w:t>
      </w:r>
      <w:r>
        <w:rPr>
          <w:rStyle w:val="VerbatimChar"/>
        </w:rPr>
        <w:t xml:space="preserve">GET /logs</w:t>
      </w:r>
      <w:r>
        <w:t xml:space="preserve">,</w:t>
      </w:r>
      <w:r>
        <w:t xml:space="preserve"> </w:t>
      </w:r>
      <w:r>
        <w:rPr>
          <w:rStyle w:val="VerbatimChar"/>
        </w:rPr>
        <w:t xml:space="preserve">DELETE /logs</w:t>
      </w:r>
      <w:r>
        <w:t xml:space="preserve">,</w:t>
      </w:r>
      <w:r>
        <w:t xml:space="preserve"> </w:t>
      </w:r>
      <w:r>
        <w:rPr>
          <w:rStyle w:val="VerbatimChar"/>
        </w:rPr>
        <w:t xml:space="preserve">POST /build</w:t>
      </w:r>
      <w:r>
        <w:t xml:space="preserve">)</w:t>
      </w:r>
    </w:p>
    <w:p>
      <w:r>
        <w:pict>
          <v:rect style="width:0;height:1.5pt" o:hralign="center" o:hrstd="t" o:hr="t"/>
        </w:pict>
      </w:r>
    </w:p>
    <w:bookmarkEnd w:id="30"/>
    <w:bookmarkStart w:id="31" w:name="X25eb6a4b686d36490bfe2db1575eb576606ecdd"/>
    <w:p>
      <w:pPr>
        <w:pStyle w:val="Heading3"/>
      </w:pPr>
      <w:r>
        <w:t xml:space="preserve">Claim 17: Cross-Node Beam Delegation with Procrustes Embedding Alignment (Federated Reasoning)</w:t>
      </w:r>
    </w:p>
    <w:p>
      <w:pPr>
        <w:pStyle w:val="FirstParagraph"/>
      </w:pPr>
      <w:r>
        <w:rPr>
          <w:b/>
          <w:bCs/>
        </w:rPr>
        <w:t xml:space="preserve">Description</w:t>
      </w:r>
      <w:r>
        <w:t xml:space="preserve">: A federated KG reasoning architecture in which a coordinating node (DistributedBeamTraversal) partitions a multi-hop query into sub-paths, delegates sub-path traversal to remote CEREBRUM nodes via</w:t>
      </w:r>
      <w:r>
        <w:t xml:space="preserve"> </w:t>
      </w:r>
      <w:r>
        <w:rPr>
          <w:rStyle w:val="VerbatimChar"/>
        </w:rPr>
        <w:t xml:space="preserve">POST /traverse</w:t>
      </w:r>
      <w:r>
        <w:t xml:space="preserve">, and merges returned path fragments into a unified ranked result. Embedding alignment between nodes is performed via Procrustes SVD rotation applied to shared anchor entity embeddings, ensuring that semantic similarity scores from remote nodes are geometrically comparable to local scores.</w:t>
      </w:r>
    </w:p>
    <w:p>
      <w:pPr>
        <w:pStyle w:val="BodyText"/>
      </w:pPr>
      <w:r>
        <w:rPr>
          <w:b/>
          <w:bCs/>
        </w:rPr>
        <w:t xml:space="preserve">Novelty Statement</w:t>
      </w:r>
      <w:r>
        <w:t xml:space="preserve">: Federated KG systems (SPARQL federation, Wikidata federation) delegate full sub-queries to remote endpoints but do not perform embedding alignment between nodes — they rely on shared URIs, not vector similarity. Federated GNN systems (FedGNN, FedE) aggregate model gradients, not traversal path fragments. The CEREBRUM federated architecture is the first to combine: (1) sub-path delegation (not full sub-query or gradient aggregation), (2) real-time Procrustes alignment of remote embedding spaces, and (3) path-fragment merging that preserves full CSA attention scores across node boundaries.</w:t>
      </w:r>
    </w:p>
    <w:p>
      <w:pPr>
        <w:pStyle w:val="BodyText"/>
      </w:pPr>
      <w:r>
        <w:rPr>
          <w:b/>
          <w:bCs/>
        </w:rPr>
        <w:t xml:space="preserve">Closest Prior Art</w:t>
      </w:r>
      <w:r>
        <w:t xml:space="preserve">:</w:t>
      </w:r>
      <w:r>
        <w:t xml:space="preserve"> </w:t>
      </w:r>
      <w:r>
        <w:t xml:space="preserve">- SPARQL Federation (W3C, 2013): Full sub-query delegation, no embedding alignment</w:t>
      </w:r>
      <w:r>
        <w:t xml:space="preserve"> </w:t>
      </w:r>
      <w:r>
        <w:t xml:space="preserve">- FedE (Chen et al., 2021): Federated KGE training, gradient aggregation, no path delegation</w:t>
      </w:r>
      <w:r>
        <w:t xml:space="preserve"> </w:t>
      </w:r>
      <w:r>
        <w:t xml:space="preserve">- FedGNN (Liu et al., 2022): Federated GNN training, no reasoning path delegation</w:t>
      </w:r>
    </w:p>
    <w:p>
      <w:pPr>
        <w:pStyle w:val="BodyText"/>
      </w:pPr>
      <w:r>
        <w:rPr>
          <w:b/>
          <w:bCs/>
        </w:rPr>
        <w:t xml:space="preserve">Key Technical Differentiator</w:t>
      </w:r>
      <w:r>
        <w:t xml:space="preserve">: Sub-path delegation + real-time Procrustes embedding alignment + CSA-score-preserving path fragment merging.</w:t>
      </w:r>
    </w:p>
    <w:p>
      <w:pPr>
        <w:pStyle w:val="BodyText"/>
      </w:pPr>
      <w:r>
        <w:rPr>
          <w:b/>
          <w:bCs/>
        </w:rPr>
        <w:t xml:space="preserve">Relevant files</w:t>
      </w:r>
      <w:r>
        <w:t xml:space="preserve">:</w:t>
      </w:r>
      <w:r>
        <w:t xml:space="preserve"> </w:t>
      </w:r>
      <w:r>
        <w:rPr>
          <w:rStyle w:val="VerbatimChar"/>
        </w:rPr>
        <w:t xml:space="preserve">reasoning/distributed_traversal.py</w:t>
      </w:r>
      <w:r>
        <w:t xml:space="preserve">,</w:t>
      </w:r>
      <w:r>
        <w:t xml:space="preserve"> </w:t>
      </w:r>
      <w:r>
        <w:rPr>
          <w:rStyle w:val="VerbatimChar"/>
        </w:rPr>
        <w:t xml:space="preserve">adapters/remote_adapter.py</w:t>
      </w:r>
      <w:r>
        <w:t xml:space="preserve">,</w:t>
      </w:r>
      <w:r>
        <w:t xml:space="preserve"> </w:t>
      </w:r>
      <w:r>
        <w:rPr>
          <w:rStyle w:val="VerbatimChar"/>
        </w:rPr>
        <w:t xml:space="preserve">adapters/federated_adapter.py</w:t>
      </w:r>
      <w:r>
        <w:t xml:space="preserve"> </w:t>
      </w:r>
      <w:r>
        <w:rPr>
          <w:b/>
          <w:bCs/>
        </w:rPr>
        <w:t xml:space="preserve">API endpoints</w:t>
      </w:r>
      <w:r>
        <w:t xml:space="preserve">:</w:t>
      </w:r>
      <w:r>
        <w:t xml:space="preserve"> </w:t>
      </w:r>
      <w:r>
        <w:rPr>
          <w:rStyle w:val="VerbatimChar"/>
        </w:rPr>
        <w:t xml:space="preserve">POST /traverse</w:t>
      </w:r>
    </w:p>
    <w:p>
      <w:r>
        <w:pict>
          <v:rect style="width:0;height:1.5pt" o:hralign="center" o:hrstd="t" o:hr="t"/>
        </w:pict>
      </w:r>
    </w:p>
    <w:bookmarkEnd w:id="31"/>
    <w:bookmarkStart w:id="32" w:name="X14aa7511e212514601165c4a8e026bce1a47962"/>
    <w:p>
      <w:pPr>
        <w:pStyle w:val="Heading3"/>
      </w:pPr>
      <w:r>
        <w:t xml:space="preserve">Claim 18: Online SGD and Batch Gradient Descent Parameter Learning with Full Persistence for 10-Parameter KG Attention (CSA Parameter Learner)</w:t>
      </w:r>
    </w:p>
    <w:p>
      <w:pPr>
        <w:pStyle w:val="FirstParagraph"/>
      </w:pPr>
      <w:r>
        <w:rPr>
          <w:b/>
          <w:bCs/>
        </w:rPr>
        <w:t xml:space="preserve">Description</w:t>
      </w:r>
      <w:r>
        <w:t xml:space="preserve">: A dual-mode parameter learning system for the 10-parameter CSA attention formula comprising: (1)</w:t>
      </w:r>
      <w:r>
        <w:t xml:space="preserve"> </w:t>
      </w:r>
      <w:r>
        <w:rPr>
          <w:rStyle w:val="VerbatimChar"/>
        </w:rPr>
        <w:t xml:space="preserve">MetaParameterLearner</w:t>
      </w:r>
      <w:r>
        <w:t xml:space="preserve"> </w:t>
      </w:r>
      <w:r>
        <w:t xml:space="preserve">— an online SGD learner that updates per-community parameter overrides from individual feedback events (</w:t>
      </w:r>
      <w:r>
        <w:rPr>
          <w:rStyle w:val="VerbatimChar"/>
        </w:rPr>
        <w:t xml:space="preserve">POST /feedback</w:t>
      </w:r>
      <w:r>
        <w:t xml:space="preserve">) with configurable learning rate and momentum; (2)</w:t>
      </w:r>
      <w:r>
        <w:t xml:space="preserve"> </w:t>
      </w:r>
      <w:r>
        <w:rPr>
          <w:rStyle w:val="VerbatimChar"/>
        </w:rPr>
        <w:t xml:space="preserve">CSAParameterLearner</w:t>
      </w:r>
      <w:r>
        <w:t xml:space="preserve"> </w:t>
      </w:r>
      <w:r>
        <w:t xml:space="preserve">— a batch gradient descent learner that retrains the global 10-parameter prior from accumulated positive/negative path pairs (</w:t>
      </w:r>
      <w:r>
        <w:rPr>
          <w:rStyle w:val="VerbatimChar"/>
        </w:rPr>
        <w:t xml:space="preserve">POST /retrain</w:t>
      </w:r>
      <w:r>
        <w:t xml:space="preserve">). Both learners support full state serialization (</w:t>
      </w:r>
      <w:r>
        <w:rPr>
          <w:rStyle w:val="VerbatimChar"/>
        </w:rPr>
        <w:t xml:space="preserve">to_dict()</w:t>
      </w:r>
      <w:r>
        <w:t xml:space="preserve">/</w:t>
      </w:r>
      <w:r>
        <w:rPr>
          <w:rStyle w:val="VerbatimChar"/>
        </w:rPr>
        <w:t xml:space="preserve">from_dict()</w:t>
      </w:r>
      <w:r>
        <w:t xml:space="preserve">) enabling checkpoint/restore via</w:t>
      </w:r>
      <w:r>
        <w:t xml:space="preserve"> </w:t>
      </w:r>
      <w:r>
        <w:rPr>
          <w:rStyle w:val="VerbatimChar"/>
        </w:rPr>
        <w:t xml:space="preserve">POST /params</w:t>
      </w:r>
      <w:r>
        <w:t xml:space="preserve"> </w:t>
      </w:r>
      <w:r>
        <w:t xml:space="preserve">and</w:t>
      </w:r>
      <w:r>
        <w:t xml:space="preserve"> </w:t>
      </w:r>
      <w:r>
        <w:rPr>
          <w:rStyle w:val="VerbatimChar"/>
        </w:rPr>
        <w:t xml:space="preserve">--params-file</w:t>
      </w:r>
      <w:r>
        <w:t xml:space="preserve"> </w:t>
      </w:r>
      <w:r>
        <w:t xml:space="preserve">CLI flag at startup.</w:t>
      </w:r>
    </w:p>
    <w:p>
      <w:pPr>
        <w:pStyle w:val="BodyText"/>
      </w:pPr>
      <w:r>
        <w:rPr>
          <w:b/>
          <w:bCs/>
        </w:rPr>
        <w:t xml:space="preserve">Novelty Statement</w:t>
      </w:r>
      <w:r>
        <w:t xml:space="preserve">: KGE training systems (TransE, RotatE, ComplEx) learn entity/relation embeddings, not attention formula parameters. No published attention-based KG reasoning system supports: (1) per-community parameter overrides (as distinct from global parameters), (2) online SGD updates from real-time feedback without full retraining, (3) batch retraining from a feedback buffer without embedding re-learning, and (4) full parameter persistence enabling cold-start from a prior session’s learned weights. The combination of per-community granularity, online + batch dual modes, and cross-session persistence is entirely novel.</w:t>
      </w:r>
    </w:p>
    <w:p>
      <w:pPr>
        <w:pStyle w:val="BodyText"/>
      </w:pPr>
      <w:r>
        <w:rPr>
          <w:b/>
          <w:bCs/>
        </w:rPr>
        <w:t xml:space="preserve">Closest Prior Art</w:t>
      </w:r>
      <w:r>
        <w:t xml:space="preserve">:</w:t>
      </w:r>
      <w:r>
        <w:t xml:space="preserve"> </w:t>
      </w:r>
      <w:r>
        <w:t xml:space="preserve">- KGE training (Bordes et al., 2013): Entity/relation embedding learning, not attention weight learning</w:t>
      </w:r>
      <w:r>
        <w:t xml:space="preserve"> </w:t>
      </w:r>
      <w:r>
        <w:t xml:space="preserve">- MAML-style meta-learning: Few-shot adaptation, requires training, no per-community granularity</w:t>
      </w:r>
      <w:r>
        <w:t xml:space="preserve"> </w:t>
      </w:r>
      <w:r>
        <w:t xml:space="preserve">- Online GNN adaptation: Requires gradient through GNN layers, not applicable to training-free systems</w:t>
      </w:r>
    </w:p>
    <w:p>
      <w:pPr>
        <w:pStyle w:val="BodyText"/>
      </w:pPr>
      <w:r>
        <w:rPr>
          <w:b/>
          <w:bCs/>
        </w:rPr>
        <w:t xml:space="preserve">Key Technical Differentiator</w:t>
      </w:r>
      <w:r>
        <w:t xml:space="preserve">: Training-free-compatible online+batch dual-mode learning of 10 attention formula weights with per-community granularity and full cross-session persistence.</w:t>
      </w:r>
    </w:p>
    <w:p>
      <w:pPr>
        <w:pStyle w:val="BodyText"/>
      </w:pPr>
      <w:r>
        <w:rPr>
          <w:b/>
          <w:bCs/>
        </w:rPr>
        <w:t xml:space="preserve">Relevant files</w:t>
      </w:r>
      <w:r>
        <w:t xml:space="preserve">:</w:t>
      </w:r>
      <w:r>
        <w:t xml:space="preserve"> </w:t>
      </w:r>
      <w:r>
        <w:rPr>
          <w:rStyle w:val="VerbatimChar"/>
        </w:rPr>
        <w:t xml:space="preserve">core/parameter_learner.py</w:t>
      </w:r>
      <w:r>
        <w:t xml:space="preserve">,</w:t>
      </w:r>
      <w:r>
        <w:t xml:space="preserve"> </w:t>
      </w:r>
      <w:r>
        <w:rPr>
          <w:rStyle w:val="VerbatimChar"/>
        </w:rPr>
        <w:t xml:space="preserve">core/attention_engine.py</w:t>
      </w:r>
      <w:r>
        <w:t xml:space="preserve"> </w:t>
      </w:r>
      <w:r>
        <w:rPr>
          <w:b/>
          <w:bCs/>
        </w:rPr>
        <w:t xml:space="preserve">API endpoints</w:t>
      </w:r>
      <w:r>
        <w:t xml:space="preserve">:</w:t>
      </w:r>
      <w:r>
        <w:t xml:space="preserve"> </w:t>
      </w:r>
      <w:r>
        <w:rPr>
          <w:rStyle w:val="VerbatimChar"/>
        </w:rPr>
        <w:t xml:space="preserve">POST /feedback</w:t>
      </w:r>
      <w:r>
        <w:t xml:space="preserve">,</w:t>
      </w:r>
      <w:r>
        <w:t xml:space="preserve"> </w:t>
      </w:r>
      <w:r>
        <w:rPr>
          <w:rStyle w:val="VerbatimChar"/>
        </w:rPr>
        <w:t xml:space="preserve">POST /retrain</w:t>
      </w:r>
      <w:r>
        <w:t xml:space="preserve">,</w:t>
      </w:r>
      <w:r>
        <w:t xml:space="preserve"> </w:t>
      </w:r>
      <w:r>
        <w:rPr>
          <w:rStyle w:val="VerbatimChar"/>
        </w:rPr>
        <w:t xml:space="preserve">GET /params</w:t>
      </w:r>
      <w:r>
        <w:t xml:space="preserve">,</w:t>
      </w:r>
      <w:r>
        <w:t xml:space="preserve"> </w:t>
      </w:r>
      <w:r>
        <w:rPr>
          <w:rStyle w:val="VerbatimChar"/>
        </w:rPr>
        <w:t xml:space="preserve">POST /params</w:t>
      </w:r>
    </w:p>
    <w:p>
      <w:r>
        <w:pict>
          <v:rect style="width:0;height:1.5pt" o:hralign="center" o:hrstd="t" o:hr="t"/>
        </w:pict>
      </w:r>
    </w:p>
    <w:bookmarkEnd w:id="32"/>
    <w:bookmarkStart w:id="33" w:name="Xaa89a5c00f6ac1f3937879b1c3ff158f3b66348"/>
    <w:p>
      <w:pPr>
        <w:pStyle w:val="Heading3"/>
      </w:pPr>
      <w:r>
        <w:t xml:space="preserve">Claim 19: GraphSAGE One-Pass Neighbourhood Smoother for Training-Free KG Reasoning</w:t>
      </w:r>
    </w:p>
    <w:p>
      <w:pPr>
        <w:pStyle w:val="FirstParagraph"/>
      </w:pPr>
      <w:r>
        <w:rPr>
          <w:b/>
          <w:bCs/>
        </w:rPr>
        <w:t xml:space="preserve">Description</w:t>
      </w:r>
      <w:r>
        <w:t xml:space="preserve">:</w:t>
      </w:r>
      <w:r>
        <w:t xml:space="preserve"> </w:t>
      </w:r>
      <w:r>
        <w:rPr>
          <w:rStyle w:val="VerbatimChar"/>
        </w:rPr>
        <w:t xml:space="preserve">smooth_with_graphsage(embeddings, G)</w:t>
      </w:r>
      <w:r>
        <w:t xml:space="preserve"> </w:t>
      </w:r>
      <w:r>
        <w:t xml:space="preserve">applies a single-pass weighted mean aggregation of each entity’s embedding with its graph neighbours, enriching entity representations with local structural context without any training. Activated via</w:t>
      </w:r>
      <w:r>
        <w:t xml:space="preserve"> </w:t>
      </w:r>
      <w:r>
        <w:rPr>
          <w:rStyle w:val="VerbatimChar"/>
        </w:rPr>
        <w:t xml:space="preserve">CerebrumGraph.build(use_graphsage=True)</w:t>
      </w:r>
      <w:r>
        <w:t xml:space="preserve">.</w:t>
      </w:r>
    </w:p>
    <w:p>
      <w:pPr>
        <w:pStyle w:val="BodyText"/>
      </w:pPr>
      <w:r>
        <w:rPr>
          <w:b/>
          <w:bCs/>
        </w:rPr>
        <w:t xml:space="preserve">Novelty Statement</w:t>
      </w:r>
      <w:r>
        <w:t xml:space="preserve">: GraphSAGE (Hamilton et al., 2017) and its descendants are trained models that require labelled data and multiple aggregation layers. CEREBRUM’s implementation applies a single aggregation pass at inference time, on top of any base encoder (random or sentence-transformer), to enrich embeddings with neighbourhood context for the CSA semantic similarity term — without any training loop, loss function, or labelled data.</w:t>
      </w:r>
    </w:p>
    <w:p>
      <w:pPr>
        <w:pStyle w:val="BodyText"/>
      </w:pPr>
      <w:r>
        <w:rPr>
          <w:b/>
          <w:bCs/>
        </w:rPr>
        <w:t xml:space="preserve">Closest Prior Art</w:t>
      </w:r>
      <w:r>
        <w:t xml:space="preserve">:</w:t>
      </w:r>
      <w:r>
        <w:t xml:space="preserve"> </w:t>
      </w:r>
      <w:r>
        <w:t xml:space="preserve">- GraphSAGE (Hamilton et al., 2017): Trained, multi-layer, requires supervision</w:t>
      </w:r>
      <w:r>
        <w:t xml:space="preserve"> </w:t>
      </w:r>
      <w:r>
        <w:t xml:space="preserve">- GCN (Kipf &amp; Welling, 2016): Trained spectral convolution, requires adjacency matrix eigendecomposition</w:t>
      </w:r>
      <w:r>
        <w:t xml:space="preserve"> </w:t>
      </w:r>
      <w:r>
        <w:t xml:space="preserve">- Node2Vec (Grover &amp; Leskovec, 2016): Random-walk trained embeddings, no inference-time aggregation</w:t>
      </w:r>
    </w:p>
    <w:p>
      <w:pPr>
        <w:pStyle w:val="BodyText"/>
      </w:pPr>
      <w:r>
        <w:rPr>
          <w:b/>
          <w:bCs/>
        </w:rPr>
        <w:t xml:space="preserve">Key Technical Differentiator</w:t>
      </w:r>
      <w:r>
        <w:t xml:space="preserve">: Inference-time single-pass application of neighbourhood aggregation without any training, used exclusively to enrich the semantic similarity term of the CSA attention formula.</w:t>
      </w:r>
    </w:p>
    <w:p>
      <w:pPr>
        <w:pStyle w:val="BodyText"/>
      </w:pPr>
      <w:r>
        <w:rPr>
          <w:b/>
          <w:bCs/>
        </w:rPr>
        <w:t xml:space="preserve">Relevant files</w:t>
      </w:r>
      <w:r>
        <w:t xml:space="preserve">:</w:t>
      </w:r>
      <w:r>
        <w:t xml:space="preserve"> </w:t>
      </w:r>
      <w:r>
        <w:rPr>
          <w:rStyle w:val="VerbatimChar"/>
        </w:rPr>
        <w:t xml:space="preserve">core/embedding_engine.py</w:t>
      </w:r>
      <w:r>
        <w:t xml:space="preserve"> </w:t>
      </w:r>
      <w:r>
        <w:t xml:space="preserve">(</w:t>
      </w:r>
      <w:r>
        <w:rPr>
          <w:rStyle w:val="VerbatimChar"/>
        </w:rPr>
        <w:t xml:space="preserve">smooth_with_graphsage</w:t>
      </w:r>
      <w:r>
        <w:t xml:space="preserve">),</w:t>
      </w:r>
      <w:r>
        <w:t xml:space="preserve"> </w:t>
      </w:r>
      <w:r>
        <w:rPr>
          <w:rStyle w:val="VerbatimChar"/>
        </w:rPr>
        <w:t xml:space="preserve">core/cerebrum.py</w:t>
      </w:r>
      <w:r>
        <w:t xml:space="preserve"> </w:t>
      </w:r>
      <w:r>
        <w:t xml:space="preserve">(</w:t>
      </w:r>
      <w:r>
        <w:rPr>
          <w:rStyle w:val="VerbatimChar"/>
        </w:rPr>
        <w:t xml:space="preserve">use_graphsage</w:t>
      </w:r>
      <w:r>
        <w:t xml:space="preserve"> </w:t>
      </w:r>
      <w:r>
        <w:t xml:space="preserve">flag)</w:t>
      </w:r>
    </w:p>
    <w:p>
      <w:r>
        <w:pict>
          <v:rect style="width:0;height:1.5pt" o:hralign="center" o:hrstd="t" o:hr="t"/>
        </w:pict>
      </w:r>
    </w:p>
    <w:bookmarkEnd w:id="33"/>
    <w:bookmarkStart w:id="34" w:name="X3dd11bde4d54f4880856af08ae55abf9f2d1378"/>
    <w:p>
      <w:pPr>
        <w:pStyle w:val="Heading3"/>
      </w:pPr>
      <w:r>
        <w:t xml:space="preserve">Claim 20: AAAK-Steered Beam Traversal — Relation-Pattern-Biased Beam Pruning</w:t>
      </w:r>
    </w:p>
    <w:p>
      <w:pPr>
        <w:pStyle w:val="FirstParagraph"/>
      </w:pPr>
      <w:r>
        <w:rPr>
          <w:b/>
          <w:bCs/>
        </w:rPr>
        <w:t xml:space="preserve">Description</w:t>
      </w:r>
      <w:r>
        <w:t xml:space="preserve">:</w:t>
      </w:r>
      <w:r>
        <w:t xml:space="preserve"> </w:t>
      </w:r>
      <w:r>
        <w:rPr>
          <w:rStyle w:val="VerbatimChar"/>
        </w:rPr>
        <w:t xml:space="preserve">AAAKCache</w:t>
      </w:r>
      <w:r>
        <w:t xml:space="preserve"> </w:t>
      </w:r>
      <w:r>
        <w:t xml:space="preserve">stores compressed relation-sequence tuples from prior successful reasoning paths.</w:t>
      </w:r>
      <w:r>
        <w:t xml:space="preserve"> </w:t>
      </w:r>
      <w:r>
        <w:rPr>
          <w:rStyle w:val="VerbatimChar"/>
        </w:rPr>
        <w:t xml:space="preserve">AAAKBeamTraversal</w:t>
      </w:r>
      <w:r>
        <w:t xml:space="preserve"> </w:t>
      </w:r>
      <w:r>
        <w:t xml:space="preserve">biases beam pruning at each hop via:</w:t>
      </w:r>
      <w:r>
        <w:t xml:space="preserve"> </w:t>
      </w:r>
      <w:r>
        <w:rPr>
          <w:rStyle w:val="VerbatimChar"/>
        </w:rPr>
        <w:t xml:space="preserve">effective_score = score × (1 + aaak_strength × affinity)</w:t>
      </w:r>
      <w:r>
        <w:t xml:space="preserve">, where</w:t>
      </w:r>
      <w:r>
        <w:t xml:space="preserve"> </w:t>
      </w:r>
      <w:r>
        <w:rPr>
          <w:rStyle w:val="VerbatimChar"/>
        </w:rPr>
        <w:t xml:space="preserve">affinity</w:t>
      </w:r>
      <w:r>
        <w:t xml:space="preserve"> </w:t>
      </w:r>
      <w:r>
        <w:t xml:space="preserve">is computed from a prefix index over the stored patterns. The cache persists to disk across process restarts via JSON serialization.</w:t>
      </w:r>
    </w:p>
    <w:p>
      <w:pPr>
        <w:pStyle w:val="BodyText"/>
      </w:pPr>
      <w:r>
        <w:rPr>
          <w:b/>
          <w:bCs/>
        </w:rPr>
        <w:t xml:space="preserve">Novelty Statement</w:t>
      </w:r>
      <w:r>
        <w:t xml:space="preserve">: Reinforcement learning-based path selection (e.g., MINERVA, M-Walk) trains a policy on labelled data. CEREBRUM’s AAAK steering is training-free: it accumulates successful reasoning patterns from live queries and immediately biases future traversal without any training loop, labelled data, or gradient computation.</w:t>
      </w:r>
    </w:p>
    <w:p>
      <w:pPr>
        <w:pStyle w:val="BodyText"/>
      </w:pPr>
      <w:r>
        <w:rPr>
          <w:b/>
          <w:bCs/>
        </w:rPr>
        <w:t xml:space="preserve">Closest Prior Art</w:t>
      </w:r>
      <w:r>
        <w:t xml:space="preserve">:</w:t>
      </w:r>
      <w:r>
        <w:t xml:space="preserve"> </w:t>
      </w:r>
      <w:r>
        <w:t xml:space="preserve">- MINERVA (Das et al., 2018): RL-trained policy network</w:t>
      </w:r>
      <w:r>
        <w:t xml:space="preserve"> </w:t>
      </w:r>
      <w:r>
        <w:t xml:space="preserve">- M-Walk (Shen et al., 2018): Monte Carlo tree search with trained value network</w:t>
      </w:r>
      <w:r>
        <w:t xml:space="preserve"> </w:t>
      </w:r>
      <w:r>
        <w:t xml:space="preserve">- AAAK dialect (Phase 45): Compression format — AAAK steering (Phase 55) is a distinct mechanism that uses the pattern space, not the compressed notation itself</w:t>
      </w:r>
    </w:p>
    <w:p>
      <w:pPr>
        <w:pStyle w:val="BodyText"/>
      </w:pPr>
      <w:r>
        <w:rPr>
          <w:b/>
          <w:bCs/>
        </w:rPr>
        <w:t xml:space="preserve">Key Technical Differentiator</w:t>
      </w:r>
      <w:r>
        <w:t xml:space="preserve">: Real-time, training-free accumulation of logical structure from successful queries, immediately biasing future traversal through a multiplicative score boost.</w:t>
      </w:r>
    </w:p>
    <w:p>
      <w:pPr>
        <w:pStyle w:val="BodyText"/>
      </w:pPr>
      <w:r>
        <w:rPr>
          <w:b/>
          <w:bCs/>
        </w:rPr>
        <w:t xml:space="preserve">Relevant files</w:t>
      </w:r>
      <w:r>
        <w:t xml:space="preserve">:</w:t>
      </w:r>
      <w:r>
        <w:t xml:space="preserve"> </w:t>
      </w:r>
      <w:r>
        <w:rPr>
          <w:rStyle w:val="VerbatimChar"/>
        </w:rPr>
        <w:t xml:space="preserve">reasoning/aaak_steered_traversal.py</w:t>
      </w:r>
    </w:p>
    <w:p>
      <w:r>
        <w:pict>
          <v:rect style="width:0;height:1.5pt" o:hralign="center" o:hrstd="t" o:hr="t"/>
        </w:pict>
      </w:r>
    </w:p>
    <w:bookmarkEnd w:id="34"/>
    <w:bookmarkStart w:id="35" w:name="X8e430d6c44ffa214b205dab58f9f19599fa396f"/>
    <w:p>
      <w:pPr>
        <w:pStyle w:val="Heading3"/>
      </w:pPr>
      <w:r>
        <w:t xml:space="preserve">Claim 21: TemporalCalibrator — Training-Free Grid-Search Recall@K Calibration for Temporal KG Parameters</w:t>
      </w:r>
    </w:p>
    <w:p>
      <w:pPr>
        <w:pStyle w:val="FirstParagraph"/>
      </w:pPr>
      <w:r>
        <w:rPr>
          <w:b/>
          <w:bCs/>
        </w:rPr>
        <w:t xml:space="preserve">Description</w:t>
      </w:r>
      <w:r>
        <w:t xml:space="preserve">:</w:t>
      </w:r>
      <w:r>
        <w:t xml:space="preserve"> </w:t>
      </w:r>
      <w:r>
        <w:rPr>
          <w:rStyle w:val="VerbatimChar"/>
        </w:rPr>
        <w:t xml:space="preserve">TemporalCalibrator</w:t>
      </w:r>
      <w:r>
        <w:t xml:space="preserve"> </w:t>
      </w:r>
      <w:r>
        <w:t xml:space="preserve">performs grid-search calibration of the CSA</w:t>
      </w:r>
      <w:r>
        <w:t xml:space="preserve"> </w:t>
      </w:r>
      <w:r>
        <w:rPr>
          <w:rStyle w:val="VerbatimChar"/>
        </w:rPr>
        <w:t xml:space="preserve">eta</w:t>
      </w:r>
      <w:r>
        <w:t xml:space="preserve"> </w:t>
      </w:r>
      <w:r>
        <w:t xml:space="preserve">(temporal decay) and</w:t>
      </w:r>
      <w:r>
        <w:t xml:space="preserve"> </w:t>
      </w:r>
      <w:r>
        <w:rPr>
          <w:rStyle w:val="VerbatimChar"/>
        </w:rPr>
        <w:t xml:space="preserve">iota</w:t>
      </w:r>
      <w:r>
        <w:t xml:space="preserve"> </w:t>
      </w:r>
      <w:r>
        <w:t xml:space="preserve">(node recency) parameters by measuring Recall@K against a labelled validation set. A</w:t>
      </w:r>
      <w:r>
        <w:t xml:space="preserve"> </w:t>
      </w:r>
      <w:r>
        <w:rPr>
          <w:rStyle w:val="VerbatimChar"/>
        </w:rPr>
        <w:t xml:space="preserve">try/finally</w:t>
      </w:r>
      <w:r>
        <w:t xml:space="preserve"> </w:t>
      </w:r>
      <w:r>
        <w:t xml:space="preserve">guarantee restores original parameters after any failure. No gradient computation or training data required.</w:t>
      </w:r>
    </w:p>
    <w:p>
      <w:pPr>
        <w:pStyle w:val="BodyText"/>
      </w:pPr>
      <w:r>
        <w:rPr>
          <w:b/>
          <w:bCs/>
        </w:rPr>
        <w:t xml:space="preserve">Novelty Statement</w:t>
      </w:r>
      <w:r>
        <w:t xml:space="preserve">: Hyperparameter calibration for temporal KG reasoning typically requires a trained model with a differentiable loss function. CEREBRUM’s calibrator uses only Recall@K computed over graph traversal paths — a non-differentiable, training-free metric — with grid search over a small 2D parameter space.</w:t>
      </w:r>
    </w:p>
    <w:p>
      <w:pPr>
        <w:pStyle w:val="BodyText"/>
      </w:pPr>
      <w:r>
        <w:rPr>
          <w:b/>
          <w:bCs/>
        </w:rPr>
        <w:t xml:space="preserve">Relevant files</w:t>
      </w:r>
      <w:r>
        <w:t xml:space="preserve">:</w:t>
      </w:r>
      <w:r>
        <w:t xml:space="preserve"> </w:t>
      </w:r>
      <w:r>
        <w:rPr>
          <w:rStyle w:val="VerbatimChar"/>
        </w:rPr>
        <w:t xml:space="preserve">core/temporal_calibrator.py</w:t>
      </w:r>
    </w:p>
    <w:p>
      <w:r>
        <w:pict>
          <v:rect style="width:0;height:1.5pt" o:hralign="center" o:hrstd="t" o:hr="t"/>
        </w:pict>
      </w:r>
    </w:p>
    <w:bookmarkEnd w:id="35"/>
    <w:bookmarkStart w:id="36" w:name="X33308d956f1037d2adc3bf7c045eea8dbc44982"/>
    <w:p>
      <w:pPr>
        <w:pStyle w:val="Heading3"/>
      </w:pPr>
      <w:r>
        <w:t xml:space="preserve">Claim 22: Fault-Tolerant KG Reasoning Server — Partial-Result Graceful Degradation</w:t>
      </w:r>
    </w:p>
    <w:p>
      <w:pPr>
        <w:pStyle w:val="FirstParagraph"/>
      </w:pPr>
      <w:r>
        <w:rPr>
          <w:b/>
          <w:bCs/>
        </w:rPr>
        <w:t xml:space="preserve">Description</w:t>
      </w:r>
      <w:r>
        <w:t xml:space="preserve">: A server-side pattern where any traversal failure returns HTTP 200 with</w:t>
      </w:r>
      <w:r>
        <w:t xml:space="preserve"> </w:t>
      </w:r>
      <w:r>
        <w:rPr>
          <w:rStyle w:val="VerbatimChar"/>
        </w:rPr>
        <w:t xml:space="preserve">partial=True</w:t>
      </w:r>
      <w:r>
        <w:t xml:space="preserve"> </w:t>
      </w:r>
      <w:r>
        <w:t xml:space="preserve">+ error message and whatever paths were collected before the failure (</w:t>
      </w:r>
      <w:r>
        <w:rPr>
          <w:rStyle w:val="VerbatimChar"/>
        </w:rPr>
        <w:t xml:space="preserve">_partial_paths</w:t>
      </w:r>
      <w:r>
        <w:t xml:space="preserve"> </w:t>
      </w:r>
      <w:r>
        <w:t xml:space="preserve">checkpoint), rather than HTTP 500. Persistence layer write failures (QueryLog, AAAKCache) are independently isolated — neither can crash the reasoning endpoint. The streaming endpoint yields a terminal error NDJSON chunk on failure rather than silently terminating.</w:t>
      </w:r>
    </w:p>
    <w:p>
      <w:pPr>
        <w:pStyle w:val="BodyText"/>
      </w:pPr>
      <w:r>
        <w:rPr>
          <w:b/>
          <w:bCs/>
        </w:rPr>
        <w:t xml:space="preserve">Novelty Statement</w:t>
      </w:r>
      <w:r>
        <w:t xml:space="preserve">: Knowledge graph reasoning APIs universally return error codes on failure. CEREBRUM’s partial-result pattern allows clients to consume useful intermediate results even when reasoning fails mid-execution, with explicit partial/error semantics distinguishing full success from graceful degradation.</w:t>
      </w:r>
    </w:p>
    <w:p>
      <w:pPr>
        <w:pStyle w:val="BodyText"/>
      </w:pPr>
      <w:r>
        <w:rPr>
          <w:b/>
          <w:bCs/>
        </w:rPr>
        <w:t xml:space="preserve">Relevant files</w:t>
      </w:r>
      <w:r>
        <w:t xml:space="preserve">:</w:t>
      </w:r>
      <w:r>
        <w:t xml:space="preserve"> </w:t>
      </w:r>
      <w:r>
        <w:rPr>
          <w:rStyle w:val="VerbatimChar"/>
        </w:rPr>
        <w:t xml:space="preserve">api/server.py</w:t>
      </w:r>
      <w:r>
        <w:t xml:space="preserve">,</w:t>
      </w:r>
      <w:r>
        <w:t xml:space="preserve"> </w:t>
      </w:r>
      <w:r>
        <w:rPr>
          <w:rStyle w:val="VerbatimChar"/>
        </w:rPr>
        <w:t xml:space="preserve">api/schemas.py</w:t>
      </w:r>
      <w:r>
        <w:t xml:space="preserve"> </w:t>
      </w:r>
      <w:r>
        <w:t xml:space="preserve">(QueryResponse),</w:t>
      </w:r>
      <w:r>
        <w:t xml:space="preserve"> </w:t>
      </w:r>
      <w:r>
        <w:rPr>
          <w:rStyle w:val="VerbatimChar"/>
        </w:rPr>
        <w:t xml:space="preserve">reasoning/traversal.py</w:t>
      </w:r>
      <w:r>
        <w:t xml:space="preserve"> </w:t>
      </w:r>
      <w:r>
        <w:t xml:space="preserve">(_partial_paths)</w:t>
      </w:r>
    </w:p>
    <w:p>
      <w:r>
        <w:pict>
          <v:rect style="width:0;height:1.5pt" o:hralign="center" o:hrstd="t" o:hr="t"/>
        </w:pict>
      </w:r>
    </w:p>
    <w:bookmarkEnd w:id="36"/>
    <w:bookmarkEnd w:id="37"/>
    <w:bookmarkStart w:id="38" w:name="prior-art-summary-table"/>
    <w:p>
      <w:pPr>
        <w:pStyle w:val="Heading2"/>
      </w:pPr>
      <w:r>
        <w:t xml:space="preserve">Prior Art Summary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CEREBRUM Component</w:t>
            </w:r>
          </w:p>
        </w:tc>
        <w:tc>
          <w:tcPr/>
          <w:p>
            <w:pPr>
              <w:pStyle w:val="Compact"/>
            </w:pPr>
            <w:r>
              <w:t xml:space="preserve">Closest Prior Art</w:t>
            </w:r>
          </w:p>
        </w:tc>
        <w:tc>
          <w:tcPr/>
          <w:p>
            <w:pPr>
              <w:pStyle w:val="Compact"/>
            </w:pPr>
            <w:r>
              <w:t xml:space="preserve">Key Distinction</w:t>
            </w:r>
          </w:p>
        </w:tc>
      </w:tr>
      <w:tr>
        <w:tc>
          <w:tcPr/>
          <w:p>
            <w:pPr>
              <w:pStyle w:val="Compact"/>
            </w:pPr>
            <w:r>
              <w:t xml:space="preserve">DSCF simultaneous fusion</w:t>
            </w:r>
          </w:p>
        </w:tc>
        <w:tc>
          <w:tcPr/>
          <w:p>
            <w:pPr>
              <w:pStyle w:val="Compact"/>
            </w:pPr>
            <w:r>
              <w:t xml:space="preserve">LPA-Louvain hybrids (Sun 2024)</w:t>
            </w:r>
          </w:p>
        </w:tc>
        <w:tc>
          <w:tcPr/>
          <w:p>
            <w:pPr>
              <w:pStyle w:val="Compact"/>
            </w:pPr>
            <w:r>
              <w:t xml:space="preserve">Per-node vs. per-population fusion</w:t>
            </w:r>
          </w:p>
        </w:tc>
      </w:tr>
      <w:tr>
        <w:tc>
          <w:tcPr/>
          <w:p>
            <w:pPr>
              <w:pStyle w:val="Compact"/>
            </w:pPr>
            <w:r>
              <w:t xml:space="preserve">CSA formula (</w:t>
            </w:r>
            <m:oMath>
              <m:sSub>
                <m:e>
                  <m:r>
                    <m:t>S</m:t>
                  </m:r>
                </m:e>
                <m:sub>
                  <m:r>
                    <m:t>C</m:t>
                  </m:r>
                </m:sub>
              </m:sSub>
            </m:oMath>
            <w:r>
              <w:t xml:space="preserve"> </w:t>
            </w:r>
            <w:r>
              <w:t xml:space="preserve">term)</w:t>
            </w:r>
          </w:p>
        </w:tc>
        <w:tc>
          <w:tcPr/>
          <w:p>
            <w:pPr>
              <w:pStyle w:val="Compact"/>
            </w:pPr>
            <w:r>
              <w:t xml:space="preserve">GAT, HAN, HGT</w:t>
            </w:r>
          </w:p>
        </w:tc>
        <w:tc>
          <w:tcPr/>
          <w:p>
            <w:pPr>
              <w:pStyle w:val="Compact"/>
            </w:pPr>
            <w:r>
              <w:t xml:space="preserve">Community term absent from all GNN attention</w:t>
            </w:r>
          </w:p>
        </w:tc>
      </w:tr>
      <w:tr>
        <w:tc>
          <w:tcPr/>
          <w:p>
            <w:pPr>
              <w:pStyle w:val="Compact"/>
            </w:pPr>
            <w:r>
              <w:t xml:space="preserve">10-parameter CSA extension</w:t>
            </w:r>
          </w:p>
        </w:tc>
        <w:tc>
          <w:tcPr/>
          <w:p>
            <w:pPr>
              <w:pStyle w:val="Compact"/>
            </w:pPr>
            <w:r>
              <w:t xml:space="preserve">All GNN attention formulas</w:t>
            </w:r>
          </w:p>
        </w:tc>
        <w:tc>
          <w:tcPr/>
          <w:p>
            <w:pPr>
              <w:pStyle w:val="Compact"/>
            </w:pPr>
            <w:r>
              <w:t xml:space="preserve">Temporal, recency, synthesis-density, grounding terms are entirely novel</w:t>
            </w:r>
          </w:p>
        </w:tc>
      </w:tr>
      <w:tr>
        <w:tc>
          <w:tcPr/>
          <w:p>
            <w:pPr>
              <w:pStyle w:val="Compact"/>
            </w:pPr>
            <w:r>
              <w:t xml:space="preserve">Zero-shot beam traversal</w:t>
            </w:r>
          </w:p>
        </w:tc>
        <w:tc>
          <w:tcPr/>
          <w:p>
            <w:pPr>
              <w:pStyle w:val="Compact"/>
            </w:pPr>
            <w:r>
              <w:t xml:space="preserve">MINERVA, DeepPath, BeamQA</w:t>
            </w:r>
          </w:p>
        </w:tc>
        <w:tc>
          <w:tcPr/>
          <w:p>
            <w:pPr>
              <w:pStyle w:val="Compact"/>
            </w:pPr>
            <w:r>
              <w:t xml:space="preserve">Training required vs. fully training-free</w:t>
            </w:r>
          </w:p>
        </w:tc>
      </w:tr>
      <w:tr>
        <w:tc>
          <w:tcPr/>
          <w:p>
            <w:pPr>
              <w:pStyle w:val="Compact"/>
            </w:pPr>
            <w:r>
              <w:t xml:space="preserve">Bridge Twins (LTP/LTD)</w:t>
            </w:r>
          </w:p>
        </w:tc>
        <w:tc>
          <w:tcPr/>
          <w:p>
            <w:pPr>
              <w:pStyle w:val="Compact"/>
            </w:pPr>
            <w:r>
              <w:t xml:space="preserve">GNN shortcuts, agentic expansion</w:t>
            </w:r>
          </w:p>
        </w:tc>
        <w:tc>
          <w:tcPr/>
          <w:p>
            <w:pPr>
              <w:pStyle w:val="Compact"/>
            </w:pPr>
            <w:r>
              <w:t xml:space="preserve">Experience-dependent vs. static/agent-added</w:t>
            </w:r>
          </w:p>
        </w:tc>
      </w:tr>
      <w:tr>
        <w:tc>
          <w:tcPr/>
          <w:p>
            <w:pPr>
              <w:pStyle w:val="Compact"/>
            </w:pPr>
            <w:r>
              <w:t xml:space="preserve">STDP causal edges in KG</w:t>
            </w:r>
          </w:p>
        </w:tc>
        <w:tc>
          <w:tcPr/>
          <w:p>
            <w:pPr>
              <w:pStyle w:val="Compact"/>
            </w:pPr>
            <w:r>
              <w:t xml:space="preserve">SNN-STDP</w:t>
            </w:r>
          </w:p>
        </w:tc>
        <w:tc>
          <w:tcPr/>
          <w:p>
            <w:pPr>
              <w:pStyle w:val="Compact"/>
            </w:pPr>
            <w:r>
              <w:t xml:space="preserve">Neural learning rule vs. KG edge discovery</w:t>
            </w:r>
          </w:p>
        </w:tc>
      </w:tr>
      <w:tr>
        <w:tc>
          <w:tcPr/>
          <w:p>
            <w:pPr>
              <w:pStyle w:val="Compact"/>
            </w:pPr>
            <w:r>
              <w:t xml:space="preserve">REM Cycle maintenance</w:t>
            </w:r>
          </w:p>
        </w:tc>
        <w:tc>
          <w:tcPr/>
          <w:p>
            <w:pPr>
              <w:pStyle w:val="Compact"/>
            </w:pPr>
            <w:r>
              <w:t xml:space="preserve">NELL, ATOMIC, KGE training</w:t>
            </w:r>
          </w:p>
        </w:tc>
        <w:tc>
          <w:tcPr/>
          <w:p>
            <w:pPr>
              <w:pStyle w:val="Compact"/>
            </w:pPr>
            <w:r>
              <w:t xml:space="preserve">Proactive pruning + synthesis vs. fact addition</w:t>
            </w:r>
          </w:p>
        </w:tc>
      </w:tr>
      <w:tr>
        <w:tc>
          <w:tcPr/>
          <w:p>
            <w:pPr>
              <w:pStyle w:val="Compact"/>
            </w:pPr>
            <w:r>
              <w:t xml:space="preserve">Procrustes sensor→KG</w:t>
            </w:r>
          </w:p>
        </w:tc>
        <w:tc>
          <w:tcPr/>
          <w:p>
            <w:pPr>
              <w:pStyle w:val="Compact"/>
            </w:pPr>
            <w:r>
              <w:t xml:space="preserve">MMKG, MKGFormer</w:t>
            </w:r>
          </w:p>
        </w:tc>
        <w:tc>
          <w:tcPr/>
          <w:p>
            <w:pPr>
              <w:pStyle w:val="Compact"/>
            </w:pPr>
            <w:r>
              <w:t xml:space="preserve">Sensor signals vs. image/text only</w:t>
            </w:r>
          </w:p>
        </w:tc>
      </w:tr>
      <w:tr>
        <w:tc>
          <w:tcPr/>
          <w:p>
            <w:pPr>
              <w:pStyle w:val="Compact"/>
            </w:pPr>
            <w:r>
              <w:t xml:space="preserve">Holographic Index</w:t>
            </w:r>
          </w:p>
        </w:tc>
        <w:tc>
          <w:tcPr/>
          <w:p>
            <w:pPr>
              <w:pStyle w:val="Compact"/>
            </w:pPr>
            <w:r>
              <w:t xml:space="preserve">Federated learning, SPARQL federation</w:t>
            </w:r>
          </w:p>
        </w:tc>
        <w:tc>
          <w:tcPr/>
          <w:p>
            <w:pPr>
              <w:pStyle w:val="Compact"/>
            </w:pPr>
            <w:r>
              <w:t xml:space="preserve">Privacy-preserving structural discovery</w:t>
            </w:r>
          </w:p>
        </w:tc>
      </w:tr>
      <w:tr>
        <w:tc>
          <w:tcPr/>
          <w:p>
            <w:pPr>
              <w:pStyle w:val="Compact"/>
            </w:pPr>
            <w:r>
              <w:t xml:space="preserve">Bayesian beam + warm-start</w:t>
            </w:r>
          </w:p>
        </w:tc>
        <w:tc>
          <w:tcPr/>
          <w:p>
            <w:pPr>
              <w:pStyle w:val="Compact"/>
            </w:pPr>
            <w:r>
              <w:t xml:space="preserve">Bandit algorithms</w:t>
            </w:r>
          </w:p>
        </w:tc>
        <w:tc>
          <w:tcPr/>
          <w:p>
            <w:pPr>
              <w:pStyle w:val="Compact"/>
            </w:pPr>
            <w:r>
              <w:t xml:space="preserve">KG-specific Beta seeding from CSA weights</w:t>
            </w:r>
          </w:p>
        </w:tc>
      </w:tr>
      <w:tr>
        <w:tc>
          <w:tcPr/>
          <w:p>
            <w:pPr>
              <w:pStyle w:val="Compact"/>
            </w:pPr>
            <w:r>
              <w:t xml:space="preserve">Structural hole taxonomy</w:t>
            </w:r>
          </w:p>
        </w:tc>
        <w:tc>
          <w:tcPr/>
          <w:p>
            <w:pPr>
              <w:pStyle w:val="Compact"/>
            </w:pPr>
            <w:r>
              <w:t xml:space="preserve">Standard testing methodology</w:t>
            </w:r>
          </w:p>
        </w:tc>
        <w:tc>
          <w:tcPr/>
          <w:p>
            <w:pPr>
              <w:pStyle w:val="Compact"/>
            </w:pPr>
            <w:r>
              <w:t xml:space="preserve">Cross-feature interaction analysis for KG</w:t>
            </w:r>
          </w:p>
        </w:tc>
      </w:tr>
      <w:tr>
        <w:tc>
          <w:tcPr/>
          <w:p>
            <w:pPr>
              <w:pStyle w:val="Compact"/>
            </w:pPr>
            <w:r>
              <w:t xml:space="preserve">HypothesisEngine (Noisy-OR abduction)</w:t>
            </w:r>
          </w:p>
        </w:tc>
        <w:tc>
          <w:tcPr/>
          <w:p>
            <w:pPr>
              <w:pStyle w:val="Compact"/>
            </w:pPr>
            <w:r>
              <w:t xml:space="preserve">Abductive NLI, LEGO</w:t>
            </w:r>
          </w:p>
        </w:tc>
        <w:tc>
          <w:tcPr/>
          <w:p>
            <w:pPr>
              <w:pStyle w:val="Compact"/>
            </w:pPr>
            <w:r>
              <w:t xml:space="preserve">Training-free reverse traversal + Noisy-OR fusion</w:t>
            </w:r>
          </w:p>
        </w:tc>
      </w:tr>
      <w:tr>
        <w:tc>
          <w:tcPr/>
          <w:p>
            <w:pPr>
              <w:pStyle w:val="Compact"/>
            </w:pPr>
            <w:r>
              <w:t xml:space="preserve">ResearchAgent (autonomous discovery)</w:t>
            </w:r>
          </w:p>
        </w:tc>
        <w:tc>
          <w:tcPr/>
          <w:p>
            <w:pPr>
              <w:pStyle w:val="Compact"/>
            </w:pPr>
            <w:r>
              <w:t xml:space="preserve">TransE/RotatE, NELL</w:t>
            </w:r>
          </w:p>
        </w:tc>
        <w:tc>
          <w:tcPr/>
          <w:p>
            <w:pPr>
              <w:pStyle w:val="Compact"/>
            </w:pPr>
            <w:r>
              <w:t xml:space="preserve">Structural gap targeting + human approval gate</w:t>
            </w:r>
          </w:p>
        </w:tc>
      </w:tr>
      <w:tr>
        <w:tc>
          <w:tcPr/>
          <w:p>
            <w:pPr>
              <w:pStyle w:val="Compact"/>
            </w:pPr>
            <w:r>
              <w:t xml:space="preserve">ExternalValidator (literature scoring)</w:t>
            </w:r>
          </w:p>
        </w:tc>
        <w:tc>
          <w:tcPr/>
          <w:p>
            <w:pPr>
              <w:pStyle w:val="Compact"/>
            </w:pPr>
            <w:r>
              <w:t xml:space="preserve">Wikidata provenance, SciGraph</w:t>
            </w:r>
          </w:p>
        </w:tc>
        <w:tc>
          <w:tcPr/>
          <w:p>
            <w:pPr>
              <w:pStyle w:val="Compact"/>
            </w:pPr>
            <w:r>
              <w:t xml:space="preserve">Dynamic multi-database query-time validation</w:t>
            </w:r>
          </w:p>
        </w:tc>
      </w:tr>
      <w:tr>
        <w:tc>
          <w:tcPr/>
          <w:p>
            <w:pPr>
              <w:pStyle w:val="Compact"/>
            </w:pPr>
            <w:r>
              <w:t xml:space="preserve">Adaptive Search (density-driven beam)</w:t>
            </w:r>
          </w:p>
        </w:tc>
        <w:tc>
          <w:tcPr/>
          <w:p>
            <w:pPr>
              <w:pStyle w:val="Compact"/>
            </w:pPr>
            <w:r>
              <w:t xml:space="preserve">NMT adaptive beam</w:t>
            </w:r>
          </w:p>
        </w:tc>
        <w:tc>
          <w:tcPr/>
          <w:p>
            <w:pPr>
              <w:pStyle w:val="Compact"/>
            </w:pPr>
            <w:r>
              <w:t xml:space="preserve">Graph topology adaptation vs. sequence length adaptation</w:t>
            </w:r>
          </w:p>
        </w:tc>
      </w:tr>
      <w:tr>
        <w:tc>
          <w:tcPr/>
          <w:p>
            <w:pPr>
              <w:pStyle w:val="Compact"/>
            </w:pPr>
            <w:r>
              <w:t xml:space="preserve">Observability (ring buffer + REST)</w:t>
            </w:r>
          </w:p>
        </w:tc>
        <w:tc>
          <w:tcPr/>
          <w:p>
            <w:pPr>
              <w:pStyle w:val="Compact"/>
            </w:pPr>
            <w:r>
              <w:t xml:space="preserve">MemoryHandler, APM systems</w:t>
            </w:r>
          </w:p>
        </w:tc>
        <w:tc>
          <w:tcPr/>
          <w:p>
            <w:pPr>
              <w:pStyle w:val="Compact"/>
            </w:pPr>
            <w:r>
              <w:t xml:space="preserve">In-process + REST queryable + StudioEngine testability</w:t>
            </w:r>
          </w:p>
        </w:tc>
      </w:tr>
      <w:tr>
        <w:tc>
          <w:tcPr/>
          <w:p>
            <w:pPr>
              <w:pStyle w:val="Compact"/>
            </w:pPr>
            <w:r>
              <w:t xml:space="preserve">Federated Reasoning (Procrustes alignment)</w:t>
            </w:r>
          </w:p>
        </w:tc>
        <w:tc>
          <w:tcPr/>
          <w:p>
            <w:pPr>
              <w:pStyle w:val="Compact"/>
            </w:pPr>
            <w:r>
              <w:t xml:space="preserve">SPARQL federation, FedE</w:t>
            </w:r>
          </w:p>
        </w:tc>
        <w:tc>
          <w:tcPr/>
          <w:p>
            <w:pPr>
              <w:pStyle w:val="Compact"/>
            </w:pPr>
            <w:r>
              <w:t xml:space="preserve">Sub-path delegation + real-time embedding alignment</w:t>
            </w:r>
          </w:p>
        </w:tc>
      </w:tr>
      <w:tr>
        <w:tc>
          <w:tcPr/>
          <w:p>
            <w:pPr>
              <w:pStyle w:val="Compact"/>
            </w:pPr>
            <w:r>
              <w:t xml:space="preserve">CSA Parameter Learner (online+batch+persist)</w:t>
            </w:r>
          </w:p>
        </w:tc>
        <w:tc>
          <w:tcPr/>
          <w:p>
            <w:pPr>
              <w:pStyle w:val="Compact"/>
            </w:pPr>
            <w:r>
              <w:t xml:space="preserve">KGE training, MAML</w:t>
            </w:r>
          </w:p>
        </w:tc>
        <w:tc>
          <w:tcPr/>
          <w:p>
            <w:pPr>
              <w:pStyle w:val="Compact"/>
            </w:pPr>
            <w:r>
              <w:t xml:space="preserve">Per-community + dual-mode + cross-session persistence</w:t>
            </w:r>
          </w:p>
        </w:tc>
      </w:tr>
      <w:tr>
        <w:tc>
          <w:tcPr/>
          <w:p>
            <w:pPr>
              <w:pStyle w:val="Compact"/>
            </w:pPr>
            <w:r>
              <w:t xml:space="preserve">GraphSAGE one-pass smoother</w:t>
            </w:r>
          </w:p>
        </w:tc>
        <w:tc>
          <w:tcPr/>
          <w:p>
            <w:pPr>
              <w:pStyle w:val="Compact"/>
            </w:pPr>
            <w:r>
              <w:t xml:space="preserve">GraphSAGE, GCN, Node2Vec</w:t>
            </w:r>
          </w:p>
        </w:tc>
        <w:tc>
          <w:tcPr/>
          <w:p>
            <w:pPr>
              <w:pStyle w:val="Compact"/>
            </w:pPr>
            <w:r>
              <w:t xml:space="preserve">Single inference-time pass, no training, enriches CSA semantic term</w:t>
            </w:r>
          </w:p>
        </w:tc>
      </w:tr>
      <w:tr>
        <w:tc>
          <w:tcPr/>
          <w:p>
            <w:pPr>
              <w:pStyle w:val="Compact"/>
            </w:pPr>
            <w:r>
              <w:t xml:space="preserve">AAAK-steered traversal</w:t>
            </w:r>
          </w:p>
        </w:tc>
        <w:tc>
          <w:tcPr/>
          <w:p>
            <w:pPr>
              <w:pStyle w:val="Compact"/>
            </w:pPr>
            <w:r>
              <w:t xml:space="preserve">MINERVA, M-Walk</w:t>
            </w:r>
          </w:p>
        </w:tc>
        <w:tc>
          <w:tcPr/>
          <w:p>
            <w:pPr>
              <w:pStyle w:val="Compact"/>
            </w:pPr>
            <w:r>
              <w:t xml:space="preserve">Training-free pattern accumulation + multiplicative beam bias</w:t>
            </w:r>
          </w:p>
        </w:tc>
      </w:tr>
      <w:tr>
        <w:tc>
          <w:tcPr/>
          <w:p>
            <w:pPr>
              <w:pStyle w:val="Compact"/>
            </w:pPr>
            <w:r>
              <w:t xml:space="preserve">TemporalCalibrator (Recall@K grid search)</w:t>
            </w:r>
          </w:p>
        </w:tc>
        <w:tc>
          <w:tcPr/>
          <w:p>
            <w:pPr>
              <w:pStyle w:val="Compact"/>
            </w:pPr>
            <w:r>
              <w:t xml:space="preserve">Trained temporal KGE</w:t>
            </w:r>
          </w:p>
        </w:tc>
        <w:tc>
          <w:tcPr/>
          <w:p>
            <w:pPr>
              <w:pStyle w:val="Compact"/>
            </w:pPr>
            <w:r>
              <w:t xml:space="preserve">Non-differentiable training-free 2D grid search over eta/iota</w:t>
            </w:r>
          </w:p>
        </w:tc>
      </w:tr>
      <w:tr>
        <w:tc>
          <w:tcPr/>
          <w:p>
            <w:pPr>
              <w:pStyle w:val="Compact"/>
            </w:pPr>
            <w:r>
              <w:t xml:space="preserve">Fault-tolerant partial results (HTTP 200)</w:t>
            </w:r>
          </w:p>
        </w:tc>
        <w:tc>
          <w:tcPr/>
          <w:p>
            <w:pPr>
              <w:pStyle w:val="Compact"/>
            </w:pPr>
            <w:r>
              <w:t xml:space="preserve">Standard KG APIs</w:t>
            </w:r>
          </w:p>
        </w:tc>
        <w:tc>
          <w:tcPr/>
          <w:p>
            <w:pPr>
              <w:pStyle w:val="Compact"/>
            </w:pPr>
            <w:r>
              <w:t xml:space="preserve">Partial-result semantics + isolated persistence failures + streaming error chunk</w:t>
            </w:r>
          </w:p>
        </w:tc>
      </w:tr>
    </w:tbl>
    <w:p>
      <w:r>
        <w:pict>
          <v:rect style="width:0;height:1.5pt" o:hralign="center" o:hrstd="t" o:hr="t"/>
        </w:pict>
      </w:r>
    </w:p>
    <w:bookmarkEnd w:id="38"/>
    <w:bookmarkStart w:id="39" w:name="legal-notice"/>
    <w:p>
      <w:pPr>
        <w:pStyle w:val="Heading2"/>
      </w:pPr>
      <w:r>
        <w:t xml:space="preserve">Legal Notice</w:t>
      </w:r>
    </w:p>
    <w:p>
      <w:pPr>
        <w:pStyle w:val="FirstParagraph"/>
      </w:pPr>
      <w:r>
        <w:t xml:space="preserve">All rights, title, and interest in and to the CEREBRUM software, documentation, algorithms, and related intellectual property documented herein are and shall remain the exclusive property of</w:t>
      </w:r>
      <w:r>
        <w:t xml:space="preserve"> </w:t>
      </w:r>
      <w:r>
        <w:rPr>
          <w:b/>
          <w:bCs/>
        </w:rPr>
        <w:t xml:space="preserve">Bryan Alexander Buchorn</w:t>
      </w:r>
      <w:r>
        <w:t xml:space="preserve">.</w:t>
      </w:r>
    </w:p>
    <w:p>
      <w:pPr>
        <w:pStyle w:val="BodyText"/>
      </w:pPr>
      <w:r>
        <w:t xml:space="preserve">CEREBRUM is dual-licensed:</w:t>
      </w:r>
      <w:r>
        <w:t xml:space="preserve"> </w:t>
      </w:r>
      <w:r>
        <w:t xml:space="preserve">-</w:t>
      </w:r>
      <w:r>
        <w:t xml:space="preserve"> </w:t>
      </w:r>
      <w:r>
        <w:rPr>
          <w:b/>
          <w:bCs/>
        </w:rPr>
        <w:t xml:space="preserve">Non-Commercial Use</w:t>
      </w:r>
      <w:r>
        <w:t xml:space="preserve">: PolyForm Noncommercial License 1.0.0</w:t>
      </w:r>
      <w:r>
        <w:t xml:space="preserve"> </w:t>
      </w:r>
      <w:r>
        <w:t xml:space="preserve">-</w:t>
      </w:r>
      <w:r>
        <w:t xml:space="preserve"> </w:t>
      </w:r>
      <w:r>
        <w:rPr>
          <w:b/>
          <w:bCs/>
        </w:rPr>
        <w:t xml:space="preserve">Commercial Use</w:t>
      </w:r>
      <w:r>
        <w:t xml:space="preserve">: Separate commercial license required</w:t>
      </w:r>
    </w:p>
    <w:p>
      <w:pPr>
        <w:pStyle w:val="BodyText"/>
      </w:pPr>
      <w:r>
        <w:t xml:space="preserve">For commercial licensing:</w:t>
      </w:r>
      <w:r>
        <w:t xml:space="preserve"> </w:t>
      </w:r>
      <w:r>
        <w:rPr>
          <w:b/>
          <w:bCs/>
        </w:rPr>
        <w:t xml:space="preserve">bryan.alexander@buchorn.com</w:t>
      </w:r>
    </w:p>
    <w:p>
      <w:pPr>
        <w:pStyle w:val="BodyText"/>
      </w:pPr>
      <w:r>
        <w:rPr>
          <w:b/>
          <w:bCs/>
        </w:rPr>
        <w:t xml:space="preserve">Copyright © 2026 Bryan Alexander Buchorn. All Rights Reserved.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2026-04-08T01:42:41Z</dcterms:created>
  <dcterms:modified xsi:type="dcterms:W3CDTF">2026-04-08T01:42:41Z</dcterms:modified>
</cp:coreProperties>
</file>

<file path=docProps/custom.xml><?xml version="1.0" encoding="utf-8"?>
<Properties xmlns="http://schemas.openxmlformats.org/officeDocument/2006/custom-properties" xmlns:vt="http://schemas.openxmlformats.org/officeDocument/2006/docPropsVTypes"/>
</file>