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erebrum-performance-tuning-guide"/>
    <w:p>
      <w:pPr>
        <w:pStyle w:val="Heading1"/>
      </w:pPr>
      <w:r>
        <w:t xml:space="preserve">CEREBRUM Performance Tuning Guide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v1.7.1</w:t>
      </w:r>
    </w:p>
    <w:p>
      <w:pPr>
        <w:pStyle w:val="BodyText"/>
      </w:pPr>
      <w:r>
        <w:t xml:space="preserve">This guide covers the key parameters affecting query latency, throughput, reasoning quality, and memory usage — and how to tune them for your specific workload.</w:t>
      </w:r>
    </w:p>
    <w:p>
      <w:r>
        <w:pict>
          <v:rect style="width:0;height:1.5pt" o:hralign="center" o:hrstd="t" o:hr="t"/>
        </w:pict>
      </w:r>
    </w:p>
    <w:bookmarkStart w:id="9" w:name="the-performance-levers-quick-reference"/>
    <w:p>
      <w:pPr>
        <w:pStyle w:val="Heading2"/>
      </w:pPr>
      <w:r>
        <w:t xml:space="preserve">The Performance Levers (Quick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Affects</w:t>
            </w:r>
          </w:p>
        </w:tc>
        <w:tc>
          <w:tcPr/>
          <w:p>
            <w:pPr>
              <w:pStyle w:val="Compact"/>
            </w:pPr>
            <w:r>
              <w:t xml:space="preserve">Tune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beam_width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Latency, recall</w:t>
            </w:r>
          </w:p>
        </w:tc>
        <w:tc>
          <w:tcPr/>
          <w:p>
            <w:pPr>
              <w:pStyle w:val="Compact"/>
            </w:pPr>
            <w:r>
              <w:t xml:space="preserve">Graph is large or queries are slow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max_hop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Latency, recall depth</w:t>
            </w:r>
          </w:p>
        </w:tc>
        <w:tc>
          <w:tcPr/>
          <w:p>
            <w:pPr>
              <w:pStyle w:val="Compact"/>
            </w:pPr>
            <w:r>
              <w:t xml:space="preserve">Questions require deeper 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n_trials</w:t>
            </w:r>
            <w:r>
              <w:t xml:space="preserve"> </w:t>
            </w:r>
            <w:r>
              <w:t xml:space="preserve">(DSCF)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Community quality, startup time</w:t>
            </w:r>
          </w:p>
        </w:tc>
        <w:tc>
          <w:tcPr/>
          <w:p>
            <w:pPr>
              <w:pStyle w:val="Compact"/>
            </w:pPr>
            <w:r>
              <w:t xml:space="preserve">Startup is slow or Q is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</w:t>
            </w:r>
            <w:r>
              <w:t xml:space="preserve"> </w:t>
            </w:r>
            <w:r>
              <w:t xml:space="preserve">(DSCF)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Modularity weight</w:t>
            </w:r>
          </w:p>
        </w:tc>
        <w:tc>
          <w:tcPr/>
          <w:p>
            <w:pPr>
              <w:pStyle w:val="Compact"/>
            </w:pPr>
            <w:r>
              <w:t xml:space="preserve">Community boundaries are fuzzy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(DSCF)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LPA weight</w:t>
            </w:r>
          </w:p>
        </w:tc>
        <w:tc>
          <w:tcPr/>
          <w:p>
            <w:pPr>
              <w:pStyle w:val="Compact"/>
            </w:pPr>
            <w:r>
              <w:t xml:space="preserve">Graph has strong local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</w:t>
            </w:r>
            <w:r>
              <w:t xml:space="preserve"> </w:t>
            </w:r>
            <w:r>
              <w:t xml:space="preserve">(TSC)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Centrality weight</w:t>
            </w:r>
          </w:p>
        </w:tc>
        <w:tc>
          <w:tcPr/>
          <w:p>
            <w:pPr>
              <w:pStyle w:val="Compact"/>
            </w:pPr>
            <w:r>
              <w:t xml:space="preserve">Triadic closure is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q_drift_threshold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Rebalance frequency</w:t>
            </w:r>
          </w:p>
        </w:tc>
        <w:tc>
          <w:tcPr/>
          <w:p>
            <w:pPr>
              <w:pStyle w:val="Compact"/>
            </w:pPr>
            <w:r>
              <w:t xml:space="preserve">Graph updates are frequent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warm_start_strength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First-hop variance</w:t>
            </w:r>
          </w:p>
        </w:tc>
        <w:tc>
          <w:tcPr/>
          <w:p>
            <w:pPr>
              <w:pStyle w:val="Compact"/>
            </w:pPr>
            <w:r>
              <w:t xml:space="preserve">Probabilistic mode on sparse graphs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window_size</w:t>
            </w:r>
            <w:r>
              <w:t xml:space="preserve"> </w:t>
            </w:r>
            <w:r>
              <w:t xml:space="preserve">(stream)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Memory, temporal context</w:t>
            </w:r>
          </w:p>
        </w:tc>
        <w:tc>
          <w:tcPr/>
          <w:p>
            <w:pPr>
              <w:pStyle w:val="Compact"/>
            </w:pPr>
            <w:r>
              <w:t xml:space="preserve">High-volume ingest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batch_size</w:t>
            </w:r>
            <w:r>
              <w:t xml:space="preserve"> </w:t>
            </w:r>
            <w:r>
              <w:t xml:space="preserve">(stream)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Ingest throughput, latency</w:t>
            </w:r>
          </w:p>
        </w:tc>
        <w:tc>
          <w:tcPr/>
          <w:p>
            <w:pPr>
              <w:pStyle w:val="Compact"/>
            </w:pPr>
            <w:r>
              <w:t xml:space="preserve">High-frequency event streams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CEREBRUM_WORKERS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Concurrent query throughput</w:t>
            </w:r>
          </w:p>
        </w:tc>
        <w:tc>
          <w:tcPr/>
          <w:p>
            <w:pPr>
              <w:pStyle w:val="Compact"/>
            </w:pPr>
            <w:r>
              <w:t xml:space="preserve">Multi-user deployments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gpu-acceleration-dscf-tsc"/>
    <w:p>
      <w:pPr>
        <w:pStyle w:val="Heading2"/>
      </w:pPr>
      <w:r>
        <w:t xml:space="preserve">1. GPU Acceleration (DSCF / TSC)</w:t>
      </w:r>
    </w:p>
    <w:bookmarkStart w:id="10" w:name="gpudscfengine"/>
    <w:p>
      <w:pPr>
        <w:pStyle w:val="Heading3"/>
      </w:pPr>
      <w:r>
        <w:t xml:space="preserve">GPUDSCFEngine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GPUDSCFEngine</w:t>
      </w:r>
      <w:r>
        <w:t xml:space="preserve"> </w:t>
      </w:r>
      <w:r>
        <w:t xml:space="preserve">(Phase 22) provides a 10–100× speedup for community detection on large graphs (</w:t>
      </w:r>
      <m:oMath>
        <m:r>
          <m:t>N</m:t>
        </m:r>
        <m:r>
          <m:rPr>
            <m:sty m:val="p"/>
          </m:rPr>
          <m:t>&gt;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Graph Size (N)</w:t>
            </w:r>
          </w:p>
        </w:tc>
        <w:tc>
          <w:tcPr/>
          <w:p>
            <w:pPr>
              <w:pStyle w:val="Compact"/>
            </w:pPr>
            <w:r>
              <w:t xml:space="preserve">CPU Time (s)</w:t>
            </w:r>
          </w:p>
        </w:tc>
        <w:tc>
          <w:tcPr/>
          <w:p>
            <w:pPr>
              <w:pStyle w:val="Compact"/>
            </w:pPr>
            <w:r>
              <w:t xml:space="preserve">GPU Time (s)</w:t>
            </w:r>
          </w:p>
        </w:tc>
        <w:tc>
          <w:tcPr/>
          <w:p>
            <w:pPr>
              <w:pStyle w:val="Compac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0.4s</w:t>
            </w:r>
          </w:p>
        </w:tc>
        <w:tc>
          <w:tcPr/>
          <w:p>
            <w:pPr>
              <w:pStyle w:val="Compact"/>
            </w:pPr>
            <w:r>
              <w:t xml:space="preserve">0.1s</w:t>
            </w:r>
          </w:p>
        </w:tc>
        <w:tc>
          <w:tcPr/>
          <w:p>
            <w:pPr>
              <w:pStyle w:val="Compact"/>
            </w:pPr>
            <w:r>
              <w:t xml:space="preserve">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12.5s</w:t>
            </w:r>
          </w:p>
        </w:tc>
        <w:tc>
          <w:tcPr/>
          <w:p>
            <w:pPr>
              <w:pStyle w:val="Compact"/>
            </w:pPr>
            <w:r>
              <w:t xml:space="preserve">0.8s</w:t>
            </w:r>
          </w:p>
        </w:tc>
        <w:tc>
          <w:tcPr/>
          <w:p>
            <w:pPr>
              <w:pStyle w:val="Compact"/>
            </w:pPr>
            <w:r>
              <w:t xml:space="preserve">15×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480s</w:t>
            </w:r>
          </w:p>
        </w:tc>
        <w:tc>
          <w:tcPr/>
          <w:p>
            <w:pPr>
              <w:pStyle w:val="Compact"/>
            </w:pPr>
            <w:r>
              <w:t xml:space="preserve">9.2s</w:t>
            </w:r>
          </w:p>
        </w:tc>
        <w:tc>
          <w:tcPr/>
          <w:p>
            <w:pPr>
              <w:pStyle w:val="Compact"/>
            </w:pPr>
            <w:r>
              <w:t xml:space="preserve">52×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5,400s</w:t>
            </w:r>
          </w:p>
        </w:tc>
        <w:tc>
          <w:tcPr/>
          <w:p>
            <w:pPr>
              <w:pStyle w:val="Compact"/>
            </w:pPr>
            <w:r>
              <w:t xml:space="preserve">84s</w:t>
            </w:r>
          </w:p>
        </w:tc>
        <w:tc>
          <w:tcPr/>
          <w:p>
            <w:pPr>
              <w:pStyle w:val="Compact"/>
            </w:pPr>
            <w:r>
              <w:t xml:space="preserve">64×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core.dscf_gpu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GPUDSCFEngine, GPUDSCFConfig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GPUDSCFConfig(</w:t>
      </w:r>
      <w:r>
        <w:br/>
      </w:r>
      <w:r>
        <w:rPr>
          <w:rStyle w:val="NormalTok"/>
        </w:rPr>
        <w:t xml:space="preserve">   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Best available (CUDA -&gt; MPS -&gt; HPU -&gt; XLA -&gt; CPU)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Standard DSCF</w:t>
      </w:r>
      <w:r>
        <w:br/>
      </w:r>
      <w:r>
        <w:rPr>
          <w:rStyle w:val="NormalTok"/>
        </w:rPr>
        <w:t xml:space="preserve">    temp_start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High noise for better global optima</w:t>
      </w:r>
      <w:r>
        <w:br/>
      </w:r>
      <w:r>
        <w:rPr>
          <w:rStyle w:val="NormalTok"/>
        </w:rPr>
        <w:t xml:space="preserve">    cooling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Fast annealing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GPUDSCFEngine(config)</w:t>
      </w:r>
      <w:r>
        <w:br/>
      </w:r>
      <w:r>
        <w:rPr>
          <w:rStyle w:val="NormalTok"/>
        </w:rPr>
        <w:t xml:space="preserve">partitions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engine.detect(G)</w:t>
      </w:r>
    </w:p>
    <w:p>
      <w:pPr>
        <w:pStyle w:val="FirstParagraph"/>
      </w:pPr>
      <w:r>
        <w:rPr>
          <w:b/>
          <w:bCs/>
        </w:rPr>
        <w:t xml:space="preserve">Hardware-Specific Tuning: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NVIDIA CUDA</w:t>
      </w:r>
      <w:r>
        <w:t xml:space="preserve">: Supports</w:t>
      </w:r>
      <w:r>
        <w:t xml:space="preserve"> </w:t>
      </w:r>
      <w:r>
        <w:rPr>
          <w:rStyle w:val="VerbatimChar"/>
        </w:rPr>
        <w:t xml:space="preserve">dtype="float64"</w:t>
      </w:r>
      <w:r>
        <w:t xml:space="preserve"> </w:t>
      </w:r>
      <w:r>
        <w:t xml:space="preserve">for precision. Uses best-card selection by free VRAM.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Apple MPS</w:t>
      </w:r>
      <w:r>
        <w:t xml:space="preserve">: Requires</w:t>
      </w:r>
      <w:r>
        <w:t xml:space="preserve"> </w:t>
      </w:r>
      <w:r>
        <w:rPr>
          <w:rStyle w:val="VerbatimChar"/>
        </w:rPr>
        <w:t xml:space="preserve">dtype="float32"</w:t>
      </w:r>
      <w:r>
        <w:t xml:space="preserve">. 10-20% slower than entry-level NVIDIA but zero-copy with system RAM.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Intel Gaudi (HPU)</w:t>
      </w:r>
      <w:r>
        <w:t xml:space="preserve">: Ideal for million-node clusters; requires</w:t>
      </w:r>
      <w:r>
        <w:t xml:space="preserve"> </w:t>
      </w:r>
      <w:r>
        <w:rPr>
          <w:rStyle w:val="VerbatimChar"/>
        </w:rPr>
        <w:t xml:space="preserve">habana-torch-plugin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TPU / AWS Trainium (XLA)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mark_step()</w:t>
      </w:r>
      <w:r>
        <w:t xml:space="preserve"> </w:t>
      </w:r>
      <w:r>
        <w:t xml:space="preserve">barriers; extremely fast for massive batches.</w:t>
      </w:r>
    </w:p>
    <w:p>
      <w:pPr>
        <w:pStyle w:val="BodyText"/>
      </w:pPr>
      <w:r>
        <w:rPr>
          <w:b/>
          <w:bCs/>
        </w:rPr>
        <w:t xml:space="preserve">VRAM Pre-flight</w:t>
      </w:r>
      <w:r>
        <w:t xml:space="preserve">: The engine estimates peak VRAM (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) and falls back to CPU automatically if the card is too small, preventing OOM crashes.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query-latency"/>
    <w:p>
      <w:pPr>
        <w:pStyle w:val="Heading2"/>
      </w:pPr>
      <w:r>
        <w:t xml:space="preserve">2. Query Latency</w:t>
      </w:r>
    </w:p>
    <w:bookmarkStart w:id="12" w:name="beam_width"/>
    <w:p>
      <w:pPr>
        <w:pStyle w:val="Heading3"/>
      </w:pPr>
      <w:r>
        <w:t xml:space="preserve">beam_width</w:t>
      </w:r>
    </w:p>
    <w:p>
      <w:pPr>
        <w:pStyle w:val="FirstParagraph"/>
      </w:pPr>
      <w:r>
        <w:t xml:space="preserve">The single most impactful parameter for latency. Beam width controls how many candidates are evaluated at each hop.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beam_width</w:t>
            </w:r>
          </w:p>
        </w:tc>
        <w:tc>
          <w:tcPr/>
          <w:p>
            <w:pPr>
              <w:pStyle w:val="Compact"/>
            </w:pPr>
            <w:r>
              <w:t xml:space="preserve">Latency (21-node)</w:t>
            </w:r>
          </w:p>
        </w:tc>
        <w:tc>
          <w:tcPr/>
          <w:p>
            <w:pPr>
              <w:pStyle w:val="Compact"/>
            </w:pPr>
            <w:r>
              <w:t xml:space="preserve">Latency (10K-node)</w:t>
            </w:r>
          </w:p>
        </w:tc>
        <w:tc>
          <w:tcPr/>
          <w:p>
            <w:pPr>
              <w:pStyle w:val="Compact"/>
            </w:pPr>
            <w:r>
              <w:t xml:space="preserve">H@10 (MetaQA-3hop)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0.9ms</w:t>
            </w:r>
          </w:p>
        </w:tc>
        <w:tc>
          <w:tcPr/>
          <w:p>
            <w:pPr>
              <w:pStyle w:val="Compact"/>
            </w:pPr>
            <w:r>
              <w:t xml:space="preserve">2.1ms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1.2ms</w:t>
            </w:r>
          </w:p>
        </w:tc>
        <w:tc>
          <w:tcPr/>
          <w:p>
            <w:pPr>
              <w:pStyle w:val="Compact"/>
            </w:pPr>
            <w:r>
              <w:t xml:space="preserve">3.4ms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3.1ms</w:t>
            </w:r>
          </w:p>
        </w:tc>
        <w:tc>
          <w:tcPr/>
          <w:p>
            <w:pPr>
              <w:pStyle w:val="Compact"/>
            </w:pPr>
            <w:r>
              <w:t xml:space="preserve">14.8ms</w:t>
            </w:r>
          </w:p>
        </w:tc>
        <w:tc>
          <w:tcPr/>
          <w:p>
            <w:pPr>
              <w:pStyle w:val="Compact"/>
            </w:pPr>
            <w:r>
              <w:t xml:space="preserve">0.331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7.4ms</w:t>
            </w:r>
          </w:p>
        </w:tc>
        <w:tc>
          <w:tcPr/>
          <w:p>
            <w:pPr>
              <w:pStyle w:val="Compact"/>
            </w:pPr>
            <w:r>
              <w:t xml:space="preserve">48.2ms</w:t>
            </w:r>
          </w:p>
        </w:tc>
        <w:tc>
          <w:tcPr/>
          <w:p>
            <w:pPr>
              <w:pStyle w:val="Compact"/>
            </w:pPr>
            <w:r>
              <w:t xml:space="preserve">0.339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 of thumb</w:t>
      </w:r>
      <w:r>
        <w:t xml:space="preserve">:</w:t>
      </w:r>
      <w:r>
        <w:t xml:space="preserve"> </w:t>
      </w:r>
      <w:r>
        <w:rPr>
          <w:rStyle w:val="VerbatimChar"/>
        </w:rPr>
        <w:t xml:space="preserve">beam_width=10</w:t>
      </w:r>
      <w:r>
        <w:t xml:space="preserve"> </w:t>
      </w:r>
      <w:r>
        <w:t xml:space="preserve">is the quality/latency sweet spot for most graphs. Increase to 20–50 only for high-stakes queries where latency budget is relaxed (&gt;50ms acceptable).</w:t>
      </w:r>
    </w:p>
    <w:bookmarkEnd w:id="12"/>
    <w:bookmarkStart w:id="13" w:name="max_hop"/>
    <w:p>
      <w:pPr>
        <w:pStyle w:val="Heading3"/>
      </w:pPr>
      <w:r>
        <w:t xml:space="preserve">max_hop</w:t>
      </w:r>
    </w:p>
    <w:p>
      <w:pPr>
        <w:pStyle w:val="FirstParagraph"/>
      </w:pPr>
      <w:r>
        <w:t xml:space="preserve">Each additional hop multiplies the search space by approximately</w:t>
      </w:r>
      <w:r>
        <w:t xml:space="preserve"> </w:t>
      </w:r>
      <w:r>
        <w:rPr>
          <w:rStyle w:val="VerbatimChar"/>
        </w:rPr>
        <w:t xml:space="preserve">beam_width × avg_degree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Total candidates ≈ beam_width ^ max_hop</w:t>
      </w:r>
    </w:p>
    <w:p>
      <w:pPr>
        <w:pStyle w:val="FirstParagraph"/>
      </w:pPr>
      <w:r>
        <w:t xml:space="preserve">For a graph with avg_degree=5 and beam_width=10:</w:t>
      </w:r>
      <w:r>
        <w:t xml:space="preserve"> </w:t>
      </w:r>
      <w:r>
        <w:t xml:space="preserve">- max_hop=2: ~100 candidates</w:t>
      </w:r>
      <w:r>
        <w:t xml:space="preserve"> </w:t>
      </w:r>
      <w:r>
        <w:t xml:space="preserve">- max_hop=3: ~1,000 candidates</w:t>
      </w:r>
      <w:r>
        <w:t xml:space="preserve"> </w:t>
      </w:r>
      <w:r>
        <w:t xml:space="preserve">- max_hop=4: ~10,000 candidates (consider increasing beam_width instead)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Start at</w:t>
      </w:r>
      <w:r>
        <w:t xml:space="preserve"> </w:t>
      </w:r>
      <w:r>
        <w:rPr>
          <w:rStyle w:val="VerbatimChar"/>
        </w:rPr>
        <w:t xml:space="preserve">max_hop=3</w:t>
      </w:r>
      <w:r>
        <w:t xml:space="preserve">. Increase to 4 only if 3-hop recall is inadequate on your specific queries.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community-detection-quality-vs.-speed"/>
    <w:p>
      <w:pPr>
        <w:pStyle w:val="Heading2"/>
      </w:pPr>
      <w:r>
        <w:t xml:space="preserve">2. Community Detection Quality vs. Speed</w:t>
      </w:r>
    </w:p>
    <w:bookmarkStart w:id="15" w:name="n_trials-dscf"/>
    <w:p>
      <w:pPr>
        <w:pStyle w:val="Heading3"/>
      </w:pPr>
      <w:r>
        <w:t xml:space="preserve">n_trials (DSCF)</w:t>
      </w:r>
    </w:p>
    <w:p>
      <w:pPr>
        <w:pStyle w:val="FirstParagraph"/>
      </w:pPr>
      <w:r>
        <w:t xml:space="preserve">DSCF is stochastic; running multiple trials and selecting the highest-modularity result improves Q.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n_trials</w:t>
            </w:r>
          </w:p>
        </w:tc>
        <w:tc>
          <w:tcPr/>
          <w:p>
            <w:pPr>
              <w:pStyle w:val="Compact"/>
            </w:pPr>
            <w:r>
              <w:t xml:space="preserve">Avg Q (toy_graph)</w:t>
            </w:r>
          </w:p>
        </w:tc>
        <w:tc>
          <w:tcPr/>
          <w:p>
            <w:pPr>
              <w:pStyle w:val="Compact"/>
            </w:pPr>
            <w:r>
              <w:t xml:space="preserve">Startup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Slow</w:t>
            </w:r>
          </w:p>
        </w:tc>
      </w:tr>
    </w:tbl>
    <w:p>
      <w:pPr>
        <w:pStyle w:val="BodyText"/>
      </w:pPr>
      <w:r>
        <w:t xml:space="preserve">For production, compute communities once at startup or cache them. Communities only need recomputation when the graph changes substantially (triggered by</w:t>
      </w:r>
      <w:r>
        <w:t xml:space="preserve"> </w:t>
      </w:r>
      <w:r>
        <w:rPr>
          <w:rStyle w:val="VerbatimChar"/>
        </w:rPr>
        <w:t xml:space="preserve">GlobalRebalancer</w:t>
      </w:r>
      <w:r>
        <w:t xml:space="preserve">).</w:t>
      </w:r>
    </w:p>
    <w:bookmarkEnd w:id="15"/>
    <w:bookmarkStart w:id="16" w:name="algorithm-selection"/>
    <w:p>
      <w:pPr>
        <w:pStyle w:val="Heading3"/>
      </w:pPr>
      <w:r>
        <w:t xml:space="preserve">Algorithm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dscf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Default — best reasoning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leiden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Large graphs where DSCF is slow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lpa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Very large graphs (&gt;1M nodes) where startup time matters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streaming-ingest-throughput"/>
    <w:p>
      <w:pPr>
        <w:pStyle w:val="Heading2"/>
      </w:pPr>
      <w:r>
        <w:t xml:space="preserve">3. Streaming Ingest Throughput</w:t>
      </w:r>
    </w:p>
    <w:bookmarkStart w:id="18" w:name="batch_size-and-flush_interval_ms"/>
    <w:p>
      <w:pPr>
        <w:pStyle w:val="Heading3"/>
      </w:pPr>
      <w:r>
        <w:t xml:space="preserve">batch_size and flush_interval_ms</w:t>
      </w:r>
    </w:p>
    <w:p>
      <w:pPr>
        <w:pStyle w:val="FirstParagraph"/>
      </w:pPr>
      <w:r>
        <w:t xml:space="preserve">Events are batched before commit to amortize graph write cost.</w:t>
      </w:r>
    </w:p>
    <w:p>
      <w:pPr>
        <w:pStyle w:val="SourceCode"/>
      </w:pPr>
      <w:r>
        <w:rPr>
          <w:rStyle w:val="NormalTok"/>
        </w:rPr>
        <w:t xml:space="preserve">StreamAdapter(</w:t>
      </w:r>
      <w:r>
        <w:br/>
      </w:r>
      <w:r>
        <w:rPr>
          <w:rStyle w:val="NormalTok"/>
        </w:rPr>
        <w:t xml:space="preserve">    base_adapter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adapter,</w:t>
      </w:r>
      <w:r>
        <w:br/>
      </w:r>
      <w:r>
        <w:rPr>
          <w:rStyle w:val="NormalTok"/>
        </w:rPr>
        <w:t xml:space="preserve">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events per commit — increase for high-volume ingest</w:t>
      </w:r>
      <w:r>
        <w:br/>
      </w:r>
      <w:r>
        <w:rPr>
          <w:rStyle w:val="NormalTok"/>
        </w:rPr>
        <w:t xml:space="preserve">    flush_interval_ms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max wait before commit — decrease for low-latency</w:t>
      </w:r>
      <w:r>
        <w:br/>
      </w:r>
      <w:r>
        <w:rPr>
          <w:rStyle w:val="NormalTok"/>
        </w:rPr>
        <w:t xml:space="preserve">    window_size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recency buffer size — reduce to save memory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batch_size</w:t>
            </w:r>
          </w:p>
        </w:tc>
        <w:tc>
          <w:tcPr/>
          <w:p>
            <w:pPr>
              <w:pStyle w:val="Compact"/>
            </w:pPr>
            <w:r>
              <w:t xml:space="preserve">flush_interval_ms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Low-latency IoT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~500 events/s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streaming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~2,000 events/s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High-throughput ingest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~8,000 events/s</w:t>
            </w:r>
          </w:p>
        </w:tc>
      </w:tr>
    </w:tbl>
    <w:p>
      <w:pPr>
        <w:pStyle w:val="BodyText"/>
      </w:pPr>
      <w:r>
        <w:rPr>
          <w:b/>
          <w:bCs/>
        </w:rPr>
        <w:t xml:space="preserve">Memory</w:t>
      </w:r>
      <w:r>
        <w:t xml:space="preserve">: Each event in the sliding window uses ~200 bytes.</w:t>
      </w:r>
      <w:r>
        <w:t xml:space="preserve"> </w:t>
      </w:r>
      <w:r>
        <w:rPr>
          <w:rStyle w:val="VerbatimChar"/>
        </w:rPr>
        <w:t xml:space="preserve">window_size=10,000</w:t>
      </w:r>
      <w:r>
        <w:t xml:space="preserve"> </w:t>
      </w:r>
      <w:r>
        <w:t xml:space="preserve">→ ~2MB.</w:t>
      </w:r>
    </w:p>
    <w:bookmarkEnd w:id="18"/>
    <w:bookmarkStart w:id="19" w:name="globalrebalancer-tuning"/>
    <w:p>
      <w:pPr>
        <w:pStyle w:val="Heading3"/>
      </w:pPr>
      <w:r>
        <w:t xml:space="preserve">GlobalRebalancer tuning</w:t>
      </w:r>
    </w:p>
    <w:p>
      <w:pPr>
        <w:pStyle w:val="SourceCode"/>
      </w:pPr>
      <w:r>
        <w:rPr>
          <w:rStyle w:val="NormalTok"/>
        </w:rPr>
        <w:t xml:space="preserve">GlobalRebalancer(</w:t>
      </w:r>
      <w:r>
        <w:br/>
      </w:r>
      <w:r>
        <w:rPr>
          <w:rStyle w:val="NormalTok"/>
        </w:rPr>
        <w:t xml:space="preserve">    adapter,</w:t>
      </w:r>
      <w:r>
        <w:br/>
      </w:r>
      <w:r>
        <w:rPr>
          <w:rStyle w:val="NormalTok"/>
        </w:rPr>
        <w:t xml:space="preserve">    q_drift_threshold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lower = more frequent rebalancing (higher quality, more CPU)</w:t>
      </w:r>
      <w:r>
        <w:br/>
      </w:r>
      <w:r>
        <w:rPr>
          <w:rStyle w:val="NormalTok"/>
        </w:rPr>
        <w:t xml:space="preserve">    min_interval_s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minimum seconds between rebalances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Rebalancing is expensive (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). For high-ingest deployments, set</w:t>
      </w:r>
      <w:r>
        <w:t xml:space="preserve"> </w:t>
      </w:r>
      <w:r>
        <w:rPr>
          <w:rStyle w:val="VerbatimChar"/>
        </w:rPr>
        <w:t xml:space="preserve">min_interval_s=120</w:t>
      </w:r>
      <w:r>
        <w:t xml:space="preserve"> </w:t>
      </w:r>
      <w:r>
        <w:t xml:space="preserve">to prevent rebalance storms during burst traffic.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robabilistic-mode-bayesian-beam-search"/>
    <w:p>
      <w:pPr>
        <w:pStyle w:val="Heading2"/>
      </w:pPr>
      <w:r>
        <w:t xml:space="preserve">4. Probabilistic Mode (Bayesian Beam Search)</w:t>
      </w:r>
    </w:p>
    <w:p>
      <w:pPr>
        <w:pStyle w:val="FirstParagraph"/>
      </w:pPr>
      <w:r>
        <w:t xml:space="preserve">Probabilistic mode adds Thompson sampling overhead (~15% latency increase) but improves quality on sparse graphs and provides confidence intervals.</w:t>
      </w:r>
    </w:p>
    <w:p>
      <w:pPr>
        <w:pStyle w:val="SourceCode"/>
      </w:pPr>
      <w:r>
        <w:rPr>
          <w:rStyle w:val="NormalTok"/>
        </w:rPr>
        <w:t xml:space="preserve">BeamTraversal(</w:t>
      </w:r>
      <w:r>
        <w:br/>
      </w:r>
      <w:r>
        <w:rPr>
          <w:rStyle w:val="NormalTok"/>
        </w:rPr>
        <w:t xml:space="preserve">    probabilistic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warm_start_strength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0.0 = uniform prior (cold), 5.0 = CSA-seeded (warm)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warm_start_strength</w:t>
      </w:r>
      <w:r>
        <w:t xml:space="preserve"> </w:t>
      </w:r>
      <w:r>
        <w:t xml:space="preserve">guidance: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— standard uniform Beta(1,1) prior (v0.4.0 behavior)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2.0</w:t>
      </w:r>
      <w:r>
        <w:t xml:space="preserve"> </w:t>
      </w:r>
      <w:r>
        <w:t xml:space="preserve">— mild warm-start (reduces first-hop variance ~40%)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5.0</w:t>
      </w:r>
      <w:r>
        <w:t xml:space="preserve"> </w:t>
      </w:r>
      <w:r>
        <w:t xml:space="preserve">— strong warm-start (reduces first-hop variance ~85%, recommended for sparse graphs)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10.0</w:t>
      </w:r>
      <w:r>
        <w:t xml:space="preserve"> </w:t>
      </w:r>
      <w:r>
        <w:t xml:space="preserve">— aggressive seeding (can reduce diversity; use only on very sparse graphs)</w:t>
      </w:r>
    </w:p>
    <w:p>
      <w:r>
        <w:pict>
          <v:rect style="width:0;height:1.5pt" o:hralign="center" o:hrstd="t" o:hr="t"/>
        </w:pict>
      </w:r>
    </w:p>
    <w:bookmarkEnd w:id="21"/>
    <w:bookmarkStart w:id="22" w:name="embedding-choice"/>
    <w:p>
      <w:pPr>
        <w:pStyle w:val="Heading2"/>
      </w:pPr>
      <w:r>
        <w:t xml:space="preserve">5. Embedding Choice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Semantic quality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RandomEngine(dim=64)</w:t>
            </w:r>
          </w:p>
        </w:tc>
        <w:tc>
          <w:tcPr/>
          <w:p>
            <w:pPr>
              <w:pStyle w:val="Compact"/>
            </w:pPr>
            <w:r>
              <w:t xml:space="preserve">None (structural only)</w:t>
            </w:r>
          </w:p>
        </w:tc>
        <w:tc>
          <w:tcPr/>
          <w:p>
            <w:pPr>
              <w:pStyle w:val="Compact"/>
            </w:pPr>
            <w:r>
              <w:t xml:space="preserve">Fastest</w:t>
            </w:r>
          </w:p>
        </w:tc>
        <w:tc>
          <w:tcPr/>
          <w:p>
            <w:pPr>
              <w:pStyle w:val="Compact"/>
            </w:pPr>
            <w:r>
              <w:t xml:space="preserve">Graph topology dominates; no text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RandomEngine(dim=128)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Larger graphs needing more embedding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SentenceEngine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Slow (GPU-accelerated)</w:t>
            </w:r>
          </w:p>
        </w:tc>
        <w:tc>
          <w:tcPr/>
          <w:p>
            <w:pPr>
              <w:pStyle w:val="Compact"/>
            </w:pPr>
            <w:r>
              <w:t xml:space="preserve">Entity names carry semantic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RotatEEngine</w:t>
            </w:r>
            <w:r>
              <w:t xml:space="preserve"> </w:t>
            </w:r>
            <w:r>
              <w:t xml:space="preserve">(trained)</w:t>
            </w:r>
          </w:p>
        </w:tc>
        <w:tc>
          <w:tcPr/>
          <w:p>
            <w:pPr>
              <w:pStyle w:val="Compact"/>
            </w:pPr>
            <w:r>
              <w:t xml:space="preserve">Relational</w:t>
            </w:r>
          </w:p>
        </w:tc>
        <w:tc>
          <w:tcPr/>
          <w:p>
            <w:pPr>
              <w:pStyle w:val="Compact"/>
            </w:pPr>
            <w:r>
              <w:t xml:space="preserve">Medium (after training)</w:t>
            </w:r>
          </w:p>
        </w:tc>
        <w:tc>
          <w:tcPr/>
          <w:p>
            <w:pPr>
              <w:pStyle w:val="Compact"/>
            </w:pPr>
            <w:r>
              <w:t xml:space="preserve">Rich relation diversity</w:t>
            </w:r>
          </w:p>
        </w:tc>
      </w:tr>
    </w:tbl>
    <w:p>
      <w:pPr>
        <w:pStyle w:val="BodyText"/>
      </w:pPr>
      <w:r>
        <w:t xml:space="preserve">For pure structural reasoning (graphs where entity names are opaque IDs),</w:t>
      </w:r>
      <w:r>
        <w:t xml:space="preserve"> </w:t>
      </w:r>
      <w:r>
        <w:rPr>
          <w:rStyle w:val="VerbatimChar"/>
        </w:rPr>
        <w:t xml:space="preserve">RandomEngine</w:t>
      </w:r>
      <w:r>
        <w:t xml:space="preserve"> </w:t>
      </w:r>
      <w:r>
        <w:t xml:space="preserve">achieves the same H@10 as</w:t>
      </w:r>
      <w:r>
        <w:t xml:space="preserve"> </w:t>
      </w:r>
      <w:r>
        <w:rPr>
          <w:rStyle w:val="VerbatimChar"/>
        </w:rPr>
        <w:t xml:space="preserve">SentenceEngine</w:t>
      </w:r>
      <w:r>
        <w:t xml:space="preserve"> </w:t>
      </w:r>
      <w:r>
        <w:t xml:space="preserve">because the community consensus term (</w:t>
      </w:r>
      <m:oMath>
        <m:r>
          <m:t>β</m:t>
        </m:r>
      </m:oMath>
      <w:r>
        <w:t xml:space="preserve">) dominates over semantic similarity (</w:t>
      </w:r>
      <m:oMath>
        <m:r>
          <m:t>α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resourcegovernor-budgets"/>
    <w:p>
      <w:pPr>
        <w:pStyle w:val="Heading2"/>
      </w:pPr>
      <w:r>
        <w:t xml:space="preserve">6. ResourceGovernor Budgets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core.hardware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ResourceGovernor</w:t>
      </w:r>
      <w:r>
        <w:br/>
      </w:r>
      <w:r>
        <w:br/>
      </w:r>
      <w:r>
        <w:rPr>
          <w:rStyle w:val="NormalTok"/>
        </w:rPr>
        <w:t xml:space="preserve">governor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ResourceGovernor(</w:t>
      </w:r>
      <w:r>
        <w:br/>
      </w:r>
      <w:r>
        <w:rPr>
          <w:rStyle w:val="NormalTok"/>
        </w:rPr>
        <w:t xml:space="preserve">    max_cpu_percent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cap CPU usage across all queries</w:t>
      </w:r>
      <w:r>
        <w:br/>
      </w:r>
      <w:r>
        <w:rPr>
          <w:rStyle w:val="NormalTok"/>
        </w:rPr>
        <w:t xml:space="preserve">    max_memory_mb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hard memory limit</w:t>
      </w:r>
      <w:r>
        <w:br/>
      </w:r>
      <w:r>
        <w:rPr>
          <w:rStyle w:val="NormalTok"/>
        </w:rPr>
        <w:t xml:space="preserve">    query_timeout_ms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abort queries exceeding this</w:t>
      </w:r>
      <w:r>
        <w:br/>
      </w:r>
      <w:r>
        <w:rPr>
          <w:rStyle w:val="NormalTok"/>
        </w:rPr>
        <w:t xml:space="preserve">    rem_cpu_budget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fraction of CPU reserved for REM cycle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latency-critical deployments, set</w:t>
      </w:r>
      <w:r>
        <w:t xml:space="preserve"> </w:t>
      </w:r>
      <w:r>
        <w:rPr>
          <w:rStyle w:val="VerbatimChar"/>
        </w:rPr>
        <w:t xml:space="preserve">rem_cpu_budget=0.05</w:t>
      </w:r>
      <w:r>
        <w:t xml:space="preserve"> </w:t>
      </w:r>
      <w:r>
        <w:t xml:space="preserve">to give more CPU to query processing and reduce REM cycle priority.</w:t>
      </w:r>
    </w:p>
    <w:p>
      <w:r>
        <w:pict>
          <v:rect style="width:0;height:1.5pt" o:hralign="center" o:hrstd="t" o:hr="t"/>
        </w:pict>
      </w:r>
    </w:p>
    <w:bookmarkEnd w:id="23"/>
    <w:bookmarkStart w:id="24" w:name="memory-optimization"/>
    <w:p>
      <w:pPr>
        <w:pStyle w:val="Heading2"/>
      </w:pPr>
      <w:r>
        <w:t xml:space="preserve">7. Memory Optimization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Reduction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× dim × 4 bytes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  <w:r>
              <w:t xml:space="preserve"> </w:t>
            </w:r>
            <w:r>
              <w:rPr>
                <w:rStyle w:val="VerbatimChar"/>
              </w:rPr>
              <w:t xml:space="preserve">dim</w:t>
            </w:r>
            <w:r>
              <w:t xml:space="preserve"> </w:t>
            </w:r>
            <w:r>
              <w:t xml:space="preserve">(64→32 halves 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× 8 bytes</w:t>
            </w:r>
          </w:p>
        </w:tc>
        <w:tc>
          <w:tcPr/>
          <w:p>
            <w:pPr>
              <w:pStyle w:val="Compact"/>
            </w:pPr>
            <w:r>
              <w:t xml:space="preserve">Minimal — unavoidable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Sliding window buffer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 × 200 bytes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  <w:r>
              <w:t xml:space="preserve"> </w:t>
            </w:r>
            <w:r>
              <w:rPr>
                <w:rStyle w:val="VerbatimChar"/>
              </w:rPr>
              <w:t xml:space="preserve">window_size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Materialized path store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adapter.clear_path_cache()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InsightEvent graph</w:t>
            </w:r>
          </w:p>
        </w:tc>
        <w:tc>
          <w:tcPr/>
          <w:p>
            <w:pPr>
              <w:pStyle w:val="Compact"/>
            </w:pPr>
            <w:r>
              <w:t xml:space="preserve">Capped at 10K nodes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  <w:r>
              <w:t xml:space="preserve"> </w:t>
            </w:r>
            <w:r>
              <w:rPr>
                <w:rStyle w:val="VerbatimChar"/>
              </w:rPr>
              <w:t xml:space="preserve">meta_insight_engine.max_events</w:t>
            </w:r>
          </w:p>
        </w:tc>
      </w:tr>
    </w:tbl>
    <w:p>
      <w:pPr>
        <w:pStyle w:val="BodyText"/>
      </w:pPr>
      <w:r>
        <w:t xml:space="preserve">For a 100K-node graph with</w:t>
      </w:r>
      <w:r>
        <w:t xml:space="preserve"> </w:t>
      </w:r>
      <w:r>
        <w:rPr>
          <w:rStyle w:val="VerbatimChar"/>
        </w:rPr>
        <w:t xml:space="preserve">dim=64</w:t>
      </w:r>
      <w:r>
        <w:t xml:space="preserve">: embedding matrix ≈ 25MB. For 1M nodes: ≈ 250MB.</w:t>
      </w:r>
    </w:p>
    <w:p>
      <w:r>
        <w:pict>
          <v:rect style="width:0;height:1.5pt" o:hralign="center" o:hrstd="t" o:hr="t"/>
        </w:pict>
      </w:r>
    </w:p>
    <w:bookmarkEnd w:id="24"/>
    <w:bookmarkStart w:id="25" w:name="benchmark-your-deployment"/>
    <w:p>
      <w:pPr>
        <w:pStyle w:val="Heading2"/>
      </w:pPr>
      <w:r>
        <w:t xml:space="preserve">8. Benchmark Your Deployment</w:t>
      </w:r>
    </w:p>
    <w:p>
      <w:pPr>
        <w:pStyle w:val="SourceCode"/>
      </w:pPr>
      <w:r>
        <w:rPr>
          <w:rStyle w:val="CommentTok"/>
        </w:rPr>
        <w:t xml:space="preserve"># Run the synthetic benchmark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benchmarks/synthetic_eval.py </w:t>
      </w:r>
      <w:r>
        <w:rPr>
          <w:rStyle w:val="AttributeTok"/>
        </w:rPr>
        <w:t xml:space="preserve">--nodes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--edges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--queries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Run baseline comparison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benchmarks/baseline_comparison.py </w:t>
      </w:r>
      <w:r>
        <w:rPr>
          <w:rStyle w:val="AttributeTok"/>
        </w:rPr>
        <w:t xml:space="preserve">--algorithm</w:t>
      </w:r>
      <w:r>
        <w:rPr>
          <w:rStyle w:val="NormalTok"/>
        </w:rPr>
        <w:t xml:space="preserve"> dscf </w:t>
      </w:r>
      <w:r>
        <w:rPr>
          <w:rStyle w:val="AttributeTok"/>
        </w:rPr>
        <w:t xml:space="preserve">--beam-width</w:t>
      </w:r>
      <w:r>
        <w:rPr>
          <w:rStyle w:val="NormalTok"/>
        </w:rPr>
        <w:t xml:space="preserve"> 10</w:t>
      </w:r>
      <w:r>
        <w:br/>
      </w:r>
      <w:r>
        <w:br/>
      </w:r>
      <w:r>
        <w:rPr>
          <w:rStyle w:val="CommentTok"/>
        </w:rPr>
        <w:t xml:space="preserve"># Profile a specific configuration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cProfile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cumulative benchmarks/synthetic_eval.py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benchmarks/README.md</w:t>
      </w:r>
      <w:r>
        <w:t xml:space="preserve"> </w:t>
      </w:r>
      <w:r>
        <w:t xml:space="preserve">for full benchmark documentation.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Copyright © 2026 Bryan Alexander Buchorn. All Rights Reserved.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2026-04-08T01:42:42Z</dcterms:created>
  <dcterms:modified xsi:type="dcterms:W3CDTF">2026-04-08T01:42:42Z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