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erebrum-reasoning-studio-user-guide"/>
    <w:p>
      <w:pPr>
        <w:pStyle w:val="Heading1"/>
      </w:pPr>
      <w:r>
        <w:t xml:space="preserve">CEREBRUM Reasoning Studio — User Guide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v1.9.8</w:t>
      </w:r>
      <w:r>
        <w:t xml:space="preserve"> </w:t>
      </w:r>
      <w:r>
        <w:rPr>
          <w:b/>
          <w:bCs/>
        </w:rPr>
        <w:t xml:space="preserve">Interface</w:t>
      </w:r>
      <w:r>
        <w:t xml:space="preserve">: Gradio web UI + pyvis graph visualization</w:t>
      </w:r>
      <w:r>
        <w:t xml:space="preserve"> </w:t>
      </w:r>
      <w:r>
        <w:rPr>
          <w:b/>
          <w:bCs/>
        </w:rPr>
        <w:t xml:space="preserve">Business Logic 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core/studio_engine.py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StudioEngine</w:t>
      </w:r>
      <w:r>
        <w:t xml:space="preserve">)</w:t>
      </w:r>
      <w:r>
        <w:t xml:space="preserve"> </w:t>
      </w:r>
      <w:r>
        <w:rPr>
          <w:b/>
          <w:bCs/>
        </w:rPr>
        <w:t xml:space="preserve">UI Entry 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ui/studio.py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Reasoning Studio is CEREBRUM’s interactive visual interface. It lets you load a Knowledge Graph, run multi-hop reasoning queries, inspect every step of the CSA attention mechanism, and watch community structure form in real time — all without writing code.</w:t>
      </w:r>
    </w:p>
    <w:p>
      <w:pPr>
        <w:pStyle w:val="BodyText"/>
      </w:pPr>
      <w:r>
        <w:t xml:space="preserve">This is the</w:t>
      </w:r>
      <w:r>
        <w:t xml:space="preserve"> </w:t>
      </w:r>
      <w:r>
        <w:t xml:space="preserve">“Glass-Box”</w:t>
      </w:r>
      <w:r>
        <w:t xml:space="preserve"> </w:t>
      </w:r>
      <w:r>
        <w:t xml:space="preserve">in action: you can see exactly what the AI is doing at every reasoning step.</w:t>
      </w:r>
    </w:p>
    <w:p>
      <w:pPr>
        <w:pStyle w:val="BodyText"/>
      </w:pPr>
      <w:r>
        <w:t xml:space="preserve">As of</w:t>
      </w:r>
      <w:r>
        <w:t xml:space="preserve"> </w:t>
      </w:r>
      <w:r>
        <w:rPr>
          <w:b/>
          <w:bCs/>
        </w:rPr>
        <w:t xml:space="preserve">Phase 54</w:t>
      </w:r>
      <w:r>
        <w:t xml:space="preserve">, the Studio’s business logic has been fully extracted into</w:t>
      </w:r>
      <w:r>
        <w:t xml:space="preserve"> </w:t>
      </w:r>
      <w:r>
        <w:rPr>
          <w:rStyle w:val="VerbatimChar"/>
        </w:rPr>
        <w:t xml:space="preserve">core/studio_engine.py</w:t>
      </w:r>
      <w:r>
        <w:t xml:space="preserve">. The Gradio layer in</w:t>
      </w:r>
      <w:r>
        <w:t xml:space="preserve"> </w:t>
      </w:r>
      <w:r>
        <w:rPr>
          <w:rStyle w:val="VerbatimChar"/>
        </w:rPr>
        <w:t xml:space="preserve">ui/studio.py</w:t>
      </w:r>
      <w:r>
        <w:t xml:space="preserve"> </w:t>
      </w:r>
      <w:r>
        <w:t xml:space="preserve">is now a thin UI shell over</w:t>
      </w:r>
      <w:r>
        <w:t xml:space="preserve"> </w:t>
      </w:r>
      <w:r>
        <w:rPr>
          <w:rStyle w:val="VerbatimChar"/>
        </w:rPr>
        <w:t xml:space="preserve">StudioEngine</w:t>
      </w:r>
      <w:r>
        <w:t xml:space="preserve">. This means Studio functionality is fully unit-testable without a running server or browser — see</w:t>
      </w:r>
      <w:r>
        <w:t xml:space="preserve"> </w:t>
      </w:r>
      <w:r>
        <w:rPr>
          <w:rStyle w:val="VerbatimChar"/>
        </w:rPr>
        <w:t xml:space="preserve">tests/test_studio_engine.py</w:t>
      </w:r>
      <w:r>
        <w:t xml:space="preserve"> </w:t>
      </w:r>
      <w:r>
        <w:t xml:space="preserve">(38 tests).</w:t>
      </w:r>
    </w:p>
    <w:p>
      <w:r>
        <w:pict>
          <v:rect style="width:0;height:1.5pt" o:hralign="center" o:hrstd="t" o:hr="t"/>
        </w:pict>
      </w:r>
    </w:p>
    <w:bookmarkEnd w:id="9"/>
    <w:bookmarkStart w:id="10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ui/requirements.txt</w:t>
      </w:r>
    </w:p>
    <w:p>
      <w:pPr>
        <w:pStyle w:val="FirstParagraph"/>
      </w:pPr>
      <w:r>
        <w:t xml:space="preserve">Dependencies installed: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gradio</w:t>
      </w:r>
      <w:r>
        <w:t xml:space="preserve"> </w:t>
      </w:r>
      <w:r>
        <w:t xml:space="preserve">— web UI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pyvis</w:t>
      </w:r>
      <w:r>
        <w:t xml:space="preserve"> </w:t>
      </w:r>
      <w:r>
        <w:t xml:space="preserve">— interactive graph visualization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t xml:space="preserve">— graph backend (already in core)</w:t>
      </w:r>
    </w:p>
    <w:p>
      <w:r>
        <w:pict>
          <v:rect style="width:0;height:1.5pt" o:hralign="center" o:hrstd="t" o:hr="t"/>
        </w:pict>
      </w:r>
    </w:p>
    <w:bookmarkEnd w:id="10"/>
    <w:bookmarkStart w:id="12" w:name="starting-the-studio"/>
    <w:p>
      <w:pPr>
        <w:pStyle w:val="Heading2"/>
      </w:pPr>
      <w:r>
        <w:t xml:space="preserve">Starting the Studio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ui/studio.py</w:t>
      </w:r>
    </w:p>
    <w:p>
      <w:pPr>
        <w:pStyle w:val="FirstParagraph"/>
      </w:pPr>
      <w:r>
        <w:t xml:space="preserve">The Studio opens at</w:t>
      </w:r>
      <w:r>
        <w:t xml:space="preserve"> </w:t>
      </w:r>
      <w:r>
        <w:rPr>
          <w:rStyle w:val="VerbatimChar"/>
        </w:rPr>
        <w:t xml:space="preserve">http://localhost:7860</w:t>
      </w:r>
      <w:r>
        <w:t xml:space="preserve"> </w:t>
      </w:r>
      <w:r>
        <w:t xml:space="preserve">in your browser. No API server is required — the Studio embeds the full CEREBRUM engine directly via</w:t>
      </w:r>
      <w:r>
        <w:t xml:space="preserve"> </w:t>
      </w:r>
      <w:r>
        <w:rPr>
          <w:rStyle w:val="VerbatimChar"/>
        </w:rPr>
        <w:t xml:space="preserve">StudioEngine</w:t>
      </w:r>
      <w:r>
        <w:t xml:space="preserve">.</w:t>
      </w:r>
    </w:p>
    <w:bookmarkStart w:id="11" w:name="command-line-options"/>
    <w:p>
      <w:pPr>
        <w:pStyle w:val="Heading3"/>
      </w:pPr>
      <w:r>
        <w:t xml:space="preserve">Command-line options</w:t>
      </w:r>
    </w:p>
    <w:p>
      <w:pPr>
        <w:pStyle w:val="SourceCode"/>
      </w:pPr>
      <w:r>
        <w:rPr>
          <w:rStyle w:val="CommentTok"/>
        </w:rPr>
        <w:t xml:space="preserve"># Specify a graph file to load on startup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ui/studio.py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path/to/graph.csv</w:t>
      </w:r>
      <w:r>
        <w:br/>
      </w:r>
      <w:r>
        <w:br/>
      </w:r>
      <w:r>
        <w:rPr>
          <w:rStyle w:val="CommentTok"/>
        </w:rPr>
        <w:t xml:space="preserve"># Use semantic embeddings (requires sentence-transformers)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ui/studio.py </w:t>
      </w:r>
      <w:r>
        <w:rPr>
          <w:rStyle w:val="AttributeTok"/>
        </w:rPr>
        <w:t xml:space="preserve">--embeddings</w:t>
      </w:r>
      <w:r>
        <w:rPr>
          <w:rStyle w:val="NormalTok"/>
        </w:rPr>
        <w:t xml:space="preserve"> sentence</w:t>
      </w:r>
      <w:r>
        <w:br/>
      </w:r>
      <w:r>
        <w:br/>
      </w:r>
      <w:r>
        <w:rPr>
          <w:rStyle w:val="CommentTok"/>
        </w:rPr>
        <w:t xml:space="preserve"># Change 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ui/studio.py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Share publicly (Gradio tunnel — for demos)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ui/studio.py </w:t>
      </w:r>
      <w:r>
        <w:rPr>
          <w:rStyle w:val="AttributeTok"/>
        </w:rPr>
        <w:t xml:space="preserve">--share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architecture-studioengine-phase-54"/>
    <w:p>
      <w:pPr>
        <w:pStyle w:val="Heading2"/>
      </w:pPr>
      <w:r>
        <w:t xml:space="preserve">Architecture: StudioEngine (Phase 54)</w:t>
      </w:r>
    </w:p>
    <w:p>
      <w:pPr>
        <w:pStyle w:val="FirstParagraph"/>
      </w:pPr>
      <w:r>
        <w:t xml:space="preserve">All Studio business logic now lives in</w:t>
      </w:r>
      <w:r>
        <w:t xml:space="preserve"> </w:t>
      </w:r>
      <w:r>
        <w:rPr>
          <w:rStyle w:val="VerbatimChar"/>
        </w:rPr>
        <w:t xml:space="preserve">core/studio_engine.py</w:t>
      </w:r>
      <w:r>
        <w:t xml:space="preserve">. This is a deliberate architectural separation:</w:t>
      </w:r>
    </w:p>
    <w:p>
      <w:pPr>
        <w:pStyle w:val="SourceCode"/>
      </w:pPr>
      <w:r>
        <w:rPr>
          <w:rStyle w:val="VerbatimChar"/>
        </w:rPr>
        <w:t xml:space="preserve">ui/studio.py          ← Gradio UI layer (thin shell)</w:t>
      </w:r>
      <w:r>
        <w:br/>
      </w:r>
      <w:r>
        <w:rPr>
          <w:rStyle w:val="VerbatimChar"/>
        </w:rPr>
        <w:t xml:space="preserve">    └── core/studio_engine.py   ← StudioEngine (all business logic)</w:t>
      </w:r>
      <w:r>
        <w:br/>
      </w:r>
      <w:r>
        <w:rPr>
          <w:rStyle w:val="VerbatimChar"/>
        </w:rPr>
        <w:t xml:space="preserve">            ├── load_graph()</w:t>
      </w:r>
      <w:r>
        <w:br/>
      </w:r>
      <w:r>
        <w:rPr>
          <w:rStyle w:val="VerbatimChar"/>
        </w:rPr>
        <w:t xml:space="preserve">            ├── run_query()</w:t>
      </w:r>
      <w:r>
        <w:br/>
      </w:r>
      <w:r>
        <w:rPr>
          <w:rStyle w:val="VerbatimChar"/>
        </w:rPr>
        <w:t xml:space="preserve">            ├── get_community_map()</w:t>
      </w:r>
      <w:r>
        <w:br/>
      </w:r>
      <w:r>
        <w:rPr>
          <w:rStyle w:val="VerbatimChar"/>
        </w:rPr>
        <w:t xml:space="preserve">            ├── get_logs()</w:t>
      </w:r>
      <w:r>
        <w:br/>
      </w:r>
      <w:r>
        <w:rPr>
          <w:rStyle w:val="VerbatimChar"/>
        </w:rPr>
        <w:t xml:space="preserve">            └── build_from_csv()</w:t>
      </w:r>
    </w:p>
    <w:bookmarkStart w:id="13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testing without a server</w:t>
      </w:r>
      <w:r>
        <w:t xml:space="preserve">: 38 new tests in</w:t>
      </w:r>
      <w:r>
        <w:t xml:space="preserve"> </w:t>
      </w:r>
      <w:r>
        <w:rPr>
          <w:rStyle w:val="VerbatimChar"/>
        </w:rPr>
        <w:t xml:space="preserve">tests/test_studio_engine.py</w:t>
      </w:r>
      <w:r>
        <w:t xml:space="preserve"> </w:t>
      </w:r>
      <w:r>
        <w:t xml:space="preserve">validate all Studio business logic in isolation.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Embeddability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StudioEngine</w:t>
      </w:r>
      <w:r>
        <w:t xml:space="preserve"> </w:t>
      </w:r>
      <w:r>
        <w:t xml:space="preserve">can be imported and used in scripts, notebooks, or other UIs without Gradio.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Separation of concerns</w:t>
      </w:r>
      <w:r>
        <w:t xml:space="preserve">: UI layout changes do not affect reasoning logic, and vice versa.</w:t>
      </w:r>
    </w:p>
    <w:bookmarkEnd w:id="13"/>
    <w:bookmarkStart w:id="14" w:name="programmatic-use"/>
    <w:p>
      <w:pPr>
        <w:pStyle w:val="Heading3"/>
      </w:pPr>
      <w:r>
        <w:t xml:space="preserve">Programmatic use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core.studio_engine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StudioEngine</w:t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StudioEngine()</w:t>
      </w:r>
      <w:r>
        <w:br/>
      </w:r>
      <w:r>
        <w:rPr>
          <w:rStyle w:val="NormalTok"/>
        </w:rPr>
        <w:t xml:space="preserve">engine.load_graph(</w:t>
      </w:r>
      <w:r>
        <w:rPr>
          <w:rStyle w:val="StringTok"/>
        </w:rPr>
        <w:t xml:space="preserve">"tests/fixtures/toy_graph.csv"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engine.run_query(</w:t>
      </w:r>
      <w:r>
        <w:rPr>
          <w:rStyle w:val="StringTok"/>
        </w:rPr>
        <w:t xml:space="preserve">"Marie Curie"</w:t>
      </w:r>
      <w:r>
        <w:rPr>
          <w:rStyle w:val="NormalTok"/>
        </w:rPr>
        <w:t xml:space="preserve">, max_hops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beam_width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engine.get_logs(level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interface-overview"/>
    <w:p>
      <w:pPr>
        <w:pStyle w:val="Heading2"/>
      </w:pPr>
      <w:r>
        <w:t xml:space="preserve">Interface Overview</w:t>
      </w:r>
    </w:p>
    <w:p>
      <w:pPr>
        <w:pStyle w:val="FirstParagraph"/>
      </w:pPr>
      <w:r>
        <w:t xml:space="preserve">The Studio has four main panels:</w:t>
      </w:r>
    </w:p>
    <w:bookmarkStart w:id="16" w:name="graph-panel-left"/>
    <w:p>
      <w:pPr>
        <w:pStyle w:val="Heading3"/>
      </w:pPr>
      <w:r>
        <w:t xml:space="preserve">1. Graph Panel (left)</w:t>
      </w:r>
    </w:p>
    <w:p>
      <w:pPr>
        <w:pStyle w:val="FirstParagraph"/>
      </w:pPr>
      <w:r>
        <w:t xml:space="preserve">An interactive force-directed visualization of the loaded Knowledge Graph powered by pyvis.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Nodes</w:t>
      </w:r>
      <w:r>
        <w:t xml:space="preserve"> </w:t>
      </w:r>
      <w:r>
        <w:t xml:space="preserve">are colored by community (each community gets a distinct color)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Edges</w:t>
      </w:r>
      <w:r>
        <w:t xml:space="preserve"> </w:t>
      </w:r>
      <w:r>
        <w:t xml:space="preserve">show relation types as labels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 size</w:t>
      </w:r>
      <w:r>
        <w:t xml:space="preserve"> </w:t>
      </w:r>
      <w:r>
        <w:t xml:space="preserve">reflects PageRank centrality — important nodes appear larger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Click any node</w:t>
      </w:r>
      <w:r>
        <w:t xml:space="preserve"> </w:t>
      </w:r>
      <w:r>
        <w:t xml:space="preserve">to set it as the query start entity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Hover</w:t>
      </w:r>
      <w:r>
        <w:t xml:space="preserve"> </w:t>
      </w:r>
      <w:r>
        <w:t xml:space="preserve">over an edge to see its CSA attention weight</w:t>
      </w:r>
    </w:p>
    <w:bookmarkEnd w:id="16"/>
    <w:bookmarkStart w:id="17" w:name="query-panel-top-center"/>
    <w:p>
      <w:pPr>
        <w:pStyle w:val="Heading3"/>
      </w:pPr>
      <w:r>
        <w:t xml:space="preserve">2. Query Panel (top center)</w:t>
      </w:r>
    </w:p>
    <w:p>
      <w:pPr>
        <w:pStyle w:val="FirstParagraph"/>
      </w:pPr>
      <w:r>
        <w:t xml:space="preserve">Controls for running reasoning queries: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Starting node for traversal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Hops</w:t>
            </w:r>
          </w:p>
        </w:tc>
        <w:tc>
          <w:tcPr/>
          <w:p>
            <w:pPr>
              <w:pStyle w:val="Compact"/>
            </w:pPr>
            <w:r>
              <w:t xml:space="preserve">Maximum reasoning depth (1–5)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Beam Width</w:t>
            </w:r>
          </w:p>
        </w:tc>
        <w:tc>
          <w:tcPr/>
          <w:p>
            <w:pPr>
              <w:pStyle w:val="Compact"/>
            </w:pPr>
            <w:r>
              <w:t xml:space="preserve">Candidates per hop (1–50)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Top-K</w:t>
            </w:r>
          </w:p>
        </w:tc>
        <w:tc>
          <w:tcPr/>
          <w:p>
            <w:pPr>
              <w:pStyle w:val="Compact"/>
            </w:pPr>
            <w:r>
              <w:t xml:space="preserve">Number of answer paths to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Probabilistic</w:t>
            </w:r>
          </w:p>
        </w:tc>
        <w:tc>
          <w:tcPr/>
          <w:p>
            <w:pPr>
              <w:pStyle w:val="Compact"/>
            </w:pPr>
            <w:r>
              <w:t xml:space="preserve">Enable Bayesian beam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Warm-Start</w:t>
            </w:r>
          </w:p>
        </w:tc>
        <w:tc>
          <w:tcPr/>
          <w:p>
            <w:pPr>
              <w:pStyle w:val="Compact"/>
            </w:pPr>
            <w:r>
              <w:t xml:space="preserve">Beta prior seeding strength (0–10)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Run Query</w:t>
      </w:r>
      <w:r>
        <w:t xml:space="preserve"> </w:t>
      </w:r>
      <w:r>
        <w:t xml:space="preserve">to execute. Results appear in the Answer Panel within milliseconds.</w:t>
      </w:r>
    </w:p>
    <w:bookmarkEnd w:id="17"/>
    <w:bookmarkStart w:id="18" w:name="answer-panel-center"/>
    <w:p>
      <w:pPr>
        <w:pStyle w:val="Heading3"/>
      </w:pPr>
      <w:r>
        <w:t xml:space="preserve">3. Answer Panel (center)</w:t>
      </w:r>
    </w:p>
    <w:p>
      <w:pPr>
        <w:pStyle w:val="FirstParagraph"/>
      </w:pPr>
      <w:r>
        <w:t xml:space="preserve">Displays ranked answer paths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Entity</w:t>
      </w:r>
      <w:r>
        <w:t xml:space="preserve">: the terminal node of each path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</w:t>
      </w:r>
      <w:r>
        <w:t xml:space="preserve">: composite CSA path score (0–1)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</w:t>
      </w:r>
      <w:r>
        <w:t xml:space="preserve">: the full hop-by-hop trace (</w:t>
      </w:r>
      <w:r>
        <w:rPr>
          <w:rStyle w:val="VerbatimChar"/>
        </w:rPr>
        <w:t xml:space="preserve">A → rel → B → rel → C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: when probabilistic mode is 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Community trace</w:t>
      </w:r>
      <w:r>
        <w:t xml:space="preserve">: which communities were traversed at each hop</w:t>
      </w:r>
    </w:p>
    <w:p>
      <w:pPr>
        <w:pStyle w:val="BodyText"/>
      </w:pPr>
      <w:r>
        <w:t xml:space="preserve">Click any answer row to</w:t>
      </w:r>
      <w:r>
        <w:t xml:space="preserve"> </w:t>
      </w:r>
      <w:r>
        <w:rPr>
          <w:b/>
          <w:bCs/>
        </w:rPr>
        <w:t xml:space="preserve">highlight the reasoning path</w:t>
      </w:r>
      <w:r>
        <w:t xml:space="preserve"> </w:t>
      </w:r>
      <w:r>
        <w:t xml:space="preserve">in the Graph Panel.</w:t>
      </w:r>
    </w:p>
    <w:bookmarkEnd w:id="18"/>
    <w:bookmarkStart w:id="19" w:name="attention-math-panel-right"/>
    <w:p>
      <w:pPr>
        <w:pStyle w:val="Heading3"/>
      </w:pPr>
      <w:r>
        <w:t xml:space="preserve">4. Attention Math Panel (right)</w:t>
      </w:r>
    </w:p>
    <w:p>
      <w:pPr>
        <w:pStyle w:val="FirstParagraph"/>
      </w:pPr>
      <w:r>
        <w:t xml:space="preserve">When you click an edge in the Graph Panel or an answer path in the Answer Panel, this panel shows the full 10-parameter CSA formula breakdown for that specific edge:</w:t>
      </w:r>
    </w:p>
    <w:p>
      <w:pPr>
        <w:pStyle w:val="SourceCode"/>
      </w:pPr>
      <w:r>
        <w:rPr>
          <w:rStyle w:val="VerbatimChar"/>
        </w:rPr>
        <w:t xml:space="preserve">a(Marie Curie → Radium, hop=1) = sigmoid(</w:t>
      </w:r>
      <w:r>
        <w:br/>
      </w:r>
      <w:r>
        <w:rPr>
          <w:rStyle w:val="VerbatimChar"/>
        </w:rPr>
        <w:t xml:space="preserve">  alpha=0.4  × sim=0.71   =  0.284   ← semantic similarity</w:t>
      </w:r>
      <w:r>
        <w:br/>
      </w:r>
      <w:r>
        <w:rPr>
          <w:rStyle w:val="VerbatimChar"/>
        </w:rPr>
        <w:t xml:space="preserve">  beta=0.4   × cs=1.00    =  0.400   ← same community</w:t>
      </w:r>
      <w:r>
        <w:br/>
      </w:r>
      <w:r>
        <w:rPr>
          <w:rStyle w:val="VerbatimChar"/>
        </w:rPr>
        <w:t xml:space="preserve">  gamma=0.1  × etw=0.95   =  0.095   ← "discovered" weight</w:t>
      </w:r>
      <w:r>
        <w:br/>
      </w:r>
      <w:r>
        <w:rPr>
          <w:rStyle w:val="VerbatimChar"/>
        </w:rPr>
        <w:t xml:space="preserve">  delta=0.05 × nd=0.10    = -0.005   ← distance penalty</w:t>
      </w:r>
      <w:r>
        <w:br/>
      </w:r>
      <w:r>
        <w:rPr>
          <w:rStyle w:val="VerbatimChar"/>
        </w:rPr>
        <w:t xml:space="preserve">  eps=0.05   × hd=1.00    =  0.050   ← hop 1</w:t>
      </w:r>
      <w:r>
        <w:br/>
      </w:r>
      <w:r>
        <w:rPr>
          <w:rStyle w:val="VerbatimChar"/>
        </w:rPr>
        <w:t xml:space="preserve">  zeta=0.1   × pr=0.43    =  0.043   ← PageRank prior</w:t>
      </w:r>
      <w:r>
        <w:br/>
      </w:r>
      <w:r>
        <w:rPr>
          <w:rStyle w:val="VerbatimChar"/>
        </w:rPr>
        <w:t xml:space="preserve">  eta=0.1    × td=0.95    =  0.095   ← temporal decay</w:t>
      </w:r>
      <w:r>
        <w:br/>
      </w:r>
      <w:r>
        <w:rPr>
          <w:rStyle w:val="VerbatimChar"/>
        </w:rPr>
        <w:t xml:space="preserve">  iota=0.05  × nr=0.80    =  0.040   ← node recency</w:t>
      </w:r>
      <w:r>
        <w:br/>
      </w:r>
      <w:r>
        <w:rPr>
          <w:rStyle w:val="VerbatimChar"/>
        </w:rPr>
        <w:t xml:space="preserve">  mu=0.1     × sd=0.00    = -0.000   ← synthesis penalty (real edge)</w:t>
      </w:r>
      <w:r>
        <w:br/>
      </w:r>
      <w:r>
        <w:rPr>
          <w:rStyle w:val="VerbatimChar"/>
        </w:rPr>
        <w:t xml:space="preserve">  theta=1.0  × gc=0.90    =  0.900   ← grounding confidence</w:t>
      </w:r>
      <w:r>
        <w:br/>
      </w:r>
      <w:r>
        <w:rPr>
          <w:rStyle w:val="VerbatimChar"/>
        </w:rPr>
        <w:t xml:space="preserve">                             ──────</w:t>
      </w:r>
      <w:r>
        <w:br/>
      </w:r>
      <w:r>
        <w:rPr>
          <w:rStyle w:val="VerbatimChar"/>
        </w:rPr>
        <w:t xml:space="preserve">                             total  =  1.902</w:t>
      </w:r>
      <w:r>
        <w:br/>
      </w:r>
      <w:r>
        <w:rPr>
          <w:rStyle w:val="VerbatimChar"/>
        </w:rPr>
        <w:t xml:space="preserve">  sigmoid(1.902)           =  0.870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“Forensic Math Panel”</w:t>
      </w:r>
      <w:r>
        <w:t xml:space="preserve"> </w:t>
      </w:r>
      <w:r>
        <w:t xml:space="preserve">— you see exactly why this edge received its score.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interactive-attention-tuning-dialectics"/>
    <w:p>
      <w:pPr>
        <w:pStyle w:val="Heading2"/>
      </w:pPr>
      <w:r>
        <w:t xml:space="preserve">Interactive Attention Tuning (Dialectics)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Attention Sliders</w:t>
      </w:r>
      <w:r>
        <w:t xml:space="preserve"> </w:t>
      </w:r>
      <w:r>
        <w:t xml:space="preserve">section exposes all</w:t>
      </w:r>
      <w:r>
        <w:t xml:space="preserve"> </w:t>
      </w:r>
      <w:r>
        <w:rPr>
          <w:b/>
          <w:bCs/>
        </w:rPr>
        <w:t xml:space="preserve">10 CSA weight sliders</w:t>
      </w:r>
      <w:r>
        <w:t xml:space="preserve"> </w:t>
      </w:r>
      <w:r>
        <w:t xml:space="preserve">(α, β, γ, δ, ε, ζ, η, ι, μ, θ) in real time. When you move a slider, the last query automatically re-runs with the new weights and the Graph Panel updates to show how the reasoning path changes.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 (α)</w:t>
            </w:r>
          </w:p>
        </w:tc>
        <w:tc>
          <w:tcPr/>
          <w:p>
            <w:pPr>
              <w:pStyle w:val="Compact"/>
            </w:pPr>
            <w:r>
              <w:t xml:space="preserve">Semantic similarity</w:t>
            </w:r>
          </w:p>
        </w:tc>
        <w:tc>
          <w:tcPr/>
          <w:p>
            <w:pPr>
              <w:pStyle w:val="Compact"/>
            </w:pPr>
            <w:r>
              <w:t xml:space="preserve">Weight on embedding cosine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(β)</w:t>
            </w:r>
          </w:p>
        </w:tc>
        <w:tc>
          <w:tcPr/>
          <w:p>
            <w:pPr>
              <w:pStyle w:val="Compact"/>
            </w:pPr>
            <w:r>
              <w:t xml:space="preserve">Community score</w:t>
            </w:r>
          </w:p>
        </w:tc>
        <w:tc>
          <w:tcPr/>
          <w:p>
            <w:pPr>
              <w:pStyle w:val="Compact"/>
            </w:pPr>
            <w:r>
              <w:t xml:space="preserve">Weight on structural co-membership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 (γ)</w:t>
            </w:r>
          </w:p>
        </w:tc>
        <w:tc>
          <w:tcPr/>
          <w:p>
            <w:pPr>
              <w:pStyle w:val="Compact"/>
            </w:pPr>
            <w:r>
              <w:t xml:space="preserve">Edge-type weight</w:t>
            </w:r>
          </w:p>
        </w:tc>
        <w:tc>
          <w:tcPr/>
          <w:p>
            <w:pPr>
              <w:pStyle w:val="Compact"/>
            </w:pPr>
            <w:r>
              <w:t xml:space="preserve">Importance of relationship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(δ)</w:t>
            </w:r>
          </w:p>
        </w:tc>
        <w:tc>
          <w:tcPr/>
          <w:p>
            <w:pPr>
              <w:pStyle w:val="Compact"/>
            </w:pPr>
            <w:r>
              <w:t xml:space="preserve">Distance penalty</w:t>
            </w:r>
          </w:p>
        </w:tc>
        <w:tc>
          <w:tcPr/>
          <w:p>
            <w:pPr>
              <w:pStyle w:val="Compact"/>
            </w:pPr>
            <w:r>
              <w:t xml:space="preserve">Penalizes long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Epsilon (ε)</w:t>
            </w:r>
          </w:p>
        </w:tc>
        <w:tc>
          <w:tcPr/>
          <w:p>
            <w:pPr>
              <w:pStyle w:val="Compact"/>
            </w:pPr>
            <w:r>
              <w:t xml:space="preserve">Hop decay</w:t>
            </w:r>
          </w:p>
        </w:tc>
        <w:tc>
          <w:tcPr/>
          <w:p>
            <w:pPr>
              <w:pStyle w:val="Compact"/>
            </w:pPr>
            <w:r>
              <w:t xml:space="preserve">Relevance drop-off per 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Zeta (ζ)</w:t>
            </w:r>
          </w:p>
        </w:tc>
        <w:tc>
          <w:tcPr/>
          <w:p>
            <w:pPr>
              <w:pStyle w:val="Compact"/>
            </w:pPr>
            <w:r>
              <w:t xml:space="preserve">PageRank prior</w:t>
            </w:r>
          </w:p>
        </w:tc>
        <w:tc>
          <w:tcPr/>
          <w:p>
            <w:pPr>
              <w:pStyle w:val="Compact"/>
            </w:pPr>
            <w:r>
              <w:t xml:space="preserve">Preference for high-centrality destinations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 (η)</w:t>
            </w:r>
          </w:p>
        </w:tc>
        <w:tc>
          <w:tcPr/>
          <w:p>
            <w:pPr>
              <w:pStyle w:val="Compact"/>
            </w:pPr>
            <w:r>
              <w:t xml:space="preserve">Temporal decay</w:t>
            </w:r>
          </w:p>
        </w:tc>
        <w:tc>
          <w:tcPr/>
          <w:p>
            <w:pPr>
              <w:pStyle w:val="Compact"/>
            </w:pPr>
            <w:r>
              <w:t xml:space="preserve">Preference for recent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Iota (ι)</w:t>
            </w:r>
          </w:p>
        </w:tc>
        <w:tc>
          <w:tcPr/>
          <w:p>
            <w:pPr>
              <w:pStyle w:val="Compact"/>
            </w:pPr>
            <w:r>
              <w:t xml:space="preserve">Node recency</w:t>
            </w:r>
          </w:p>
        </w:tc>
        <w:tc>
          <w:tcPr/>
          <w:p>
            <w:pPr>
              <w:pStyle w:val="Compact"/>
            </w:pPr>
            <w:r>
              <w:t xml:space="preserve">Preference for recently-touched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 (μ)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Synthesis penalty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Penalizes edges synthesized by REM (new in v1.9.8)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Theta (θ)</w:t>
            </w:r>
          </w:p>
        </w:tc>
        <w:tc>
          <w:tcPr/>
          <w:p>
            <w:pPr>
              <w:pStyle w:val="Compact"/>
            </w:pPr>
            <w:r>
              <w:t xml:space="preserve">Grounding confidence</w:t>
            </w:r>
          </w:p>
        </w:tc>
        <w:tc>
          <w:tcPr/>
          <w:p>
            <w:pPr>
              <w:pStyle w:val="Compact"/>
            </w:pPr>
            <w:r>
              <w:t xml:space="preserve">Weight on source reliability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Mu (μ) is new in v1.9.8. It penalizes paths that rely on synthetic (REM-synthesized) edges, giving you control over how much CEREBRUM trusts its own hypotheses versus grounded facts.</w:t>
      </w:r>
    </w:p>
    <w:p>
      <w:pPr>
        <w:pStyle w:val="BodyText"/>
      </w:pPr>
      <w:r>
        <w:t xml:space="preserve">This allows you to answer questions like:</w:t>
      </w:r>
      <w:r>
        <w:t xml:space="preserve"> </w:t>
      </w:r>
      <w:r>
        <w:t xml:space="preserve">-</w:t>
      </w:r>
      <w:r>
        <w:t xml:space="preserve"> </w:t>
      </w:r>
      <w:r>
        <w:t xml:space="preserve">“What if I trust community structure more than semantic similarity?”</w:t>
      </w:r>
      <w:r>
        <w:t xml:space="preserve"> </w:t>
      </w:r>
      <w:r>
        <w:t xml:space="preserve">(increase β)</w:t>
      </w:r>
      <w:r>
        <w:t xml:space="preserve"> </w:t>
      </w:r>
      <w:r>
        <w:t xml:space="preserve">-</w:t>
      </w:r>
      <w:r>
        <w:t xml:space="preserve"> </w:t>
      </w:r>
      <w:r>
        <w:t xml:space="preserve">“What if I penalize synthetic edges heavily?”</w:t>
      </w:r>
      <w:r>
        <w:t xml:space="preserve"> </w:t>
      </w:r>
      <w:r>
        <w:t xml:space="preserve">(increase μ)</w:t>
      </w:r>
      <w:r>
        <w:t xml:space="preserve"> </w:t>
      </w:r>
      <w:r>
        <w:t xml:space="preserve">-</w:t>
      </w:r>
      <w:r>
        <w:t xml:space="preserve"> </w:t>
      </w:r>
      <w:r>
        <w:t xml:space="preserve">“What if I prioritize well-grounded sources?”</w:t>
      </w:r>
      <w:r>
        <w:t xml:space="preserve"> </w:t>
      </w:r>
      <w:r>
        <w:t xml:space="preserve">(increase θ)</w:t>
      </w:r>
    </w:p>
    <w:p>
      <w:r>
        <w:pict>
          <v:rect style="width:0;height:1.5pt" o:hralign="center" o:hrstd="t" o:hr="t"/>
        </w:pict>
      </w:r>
    </w:p>
    <w:bookmarkEnd w:id="21"/>
    <w:bookmarkStart w:id="26" w:name="loading-a-graph"/>
    <w:p>
      <w:pPr>
        <w:pStyle w:val="Heading2"/>
      </w:pPr>
      <w:r>
        <w:t xml:space="preserve">Loading a Graph</w:t>
      </w:r>
    </w:p>
    <w:bookmarkStart w:id="22" w:name="from-a-csv-file"/>
    <w:p>
      <w:pPr>
        <w:pStyle w:val="Heading3"/>
      </w:pPr>
      <w:r>
        <w:t xml:space="preserve">From a CSV file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Upload CSV</w:t>
      </w:r>
      <w:r>
        <w:t xml:space="preserve"> </w:t>
      </w:r>
      <w:r>
        <w:t xml:space="preserve">in the Graph Panel toolbar. Format:</w:t>
      </w:r>
      <w:r>
        <w:t xml:space="preserve"> </w:t>
      </w:r>
      <w:r>
        <w:rPr>
          <w:rStyle w:val="VerbatimChar"/>
        </w:rPr>
        <w:t xml:space="preserve">subject,predicate,object[,weight]</w:t>
      </w:r>
    </w:p>
    <w:bookmarkEnd w:id="22"/>
    <w:bookmarkStart w:id="23" w:name="from-the-toy-graph-built-in"/>
    <w:p>
      <w:pPr>
        <w:pStyle w:val="Heading3"/>
      </w:pPr>
      <w:r>
        <w:t xml:space="preserve">From the toy graph (built-in)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Load Toy Graph</w:t>
      </w:r>
      <w:r>
        <w:t xml:space="preserve"> </w:t>
      </w:r>
      <w:r>
        <w:t xml:space="preserve">to load the canonical 21-node test graph from</w:t>
      </w:r>
      <w:r>
        <w:t xml:space="preserve"> </w:t>
      </w:r>
      <w:r>
        <w:rPr>
          <w:rStyle w:val="VerbatimChar"/>
        </w:rPr>
        <w:t xml:space="preserve">tests/fixtures/toy_graph.csv</w:t>
      </w:r>
      <w:r>
        <w:t xml:space="preserve">.</w:t>
      </w:r>
    </w:p>
    <w:bookmarkEnd w:id="23"/>
    <w:bookmarkStart w:id="24" w:name="from-a-url-remote-csv"/>
    <w:p>
      <w:pPr>
        <w:pStyle w:val="Heading3"/>
      </w:pPr>
      <w:r>
        <w:t xml:space="preserve">From a URL (Remote CSV)</w:t>
      </w:r>
    </w:p>
    <w:p>
      <w:pPr>
        <w:pStyle w:val="FirstParagraph"/>
      </w:pPr>
      <w:r>
        <w:t xml:space="preserve">Enter a URL in the</w:t>
      </w:r>
      <w:r>
        <w:t xml:space="preserve"> </w:t>
      </w:r>
      <w:r>
        <w:rPr>
          <w:b/>
          <w:bCs/>
        </w:rPr>
        <w:t xml:space="preserve">Graph URL</w:t>
      </w:r>
      <w:r>
        <w:t xml:space="preserve"> </w:t>
      </w:r>
      <w:r>
        <w:t xml:space="preserve">field and click</w:t>
      </w:r>
      <w:r>
        <w:t xml:space="preserve"> </w:t>
      </w:r>
      <w:r>
        <w:rPr>
          <w:b/>
          <w:bCs/>
        </w:rPr>
        <w:t xml:space="preserve">Load</w:t>
      </w:r>
      <w:r>
        <w:t xml:space="preserve">. The Studio fetches and parses the CSV remotely.</w:t>
      </w:r>
    </w:p>
    <w:bookmarkEnd w:id="24"/>
    <w:bookmarkStart w:id="25" w:name="hot-reload-via-build-new-in-v1.9.8"/>
    <w:p>
      <w:pPr>
        <w:pStyle w:val="Heading3"/>
      </w:pPr>
      <w:r>
        <w:t xml:space="preserve">Hot Reload via /build (new in v1.9.8)</w:t>
      </w:r>
    </w:p>
    <w:p>
      <w:pPr>
        <w:pStyle w:val="FirstParagraph"/>
      </w:pPr>
      <w:r>
        <w:t xml:space="preserve">The server exposes</w:t>
      </w:r>
      <w:r>
        <w:t xml:space="preserve"> </w:t>
      </w:r>
      <w:r>
        <w:rPr>
          <w:rStyle w:val="VerbatimChar"/>
        </w:rPr>
        <w:t xml:space="preserve">POST /build</w:t>
      </w:r>
      <w:r>
        <w:t xml:space="preserve"> </w:t>
      </w:r>
      <w:r>
        <w:t xml:space="preserve">— a multipart endpoint that accepts a CSV file and rebuilds the graph in-process without a server restart. The Studio’s</w:t>
      </w:r>
      <w:r>
        <w:t xml:space="preserve"> </w:t>
      </w:r>
      <w:r>
        <w:rPr>
          <w:b/>
          <w:bCs/>
        </w:rPr>
        <w:t xml:space="preserve">Reload Graph</w:t>
      </w:r>
      <w:r>
        <w:t xml:space="preserve"> </w:t>
      </w:r>
      <w:r>
        <w:t xml:space="preserve">button calls this endpoint. Useful for CI/CD pipelines and rapid iteration.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http://localhost:8200/build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"file=@new_graph.csv"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mmunity-visualization"/>
    <w:p>
      <w:pPr>
        <w:pStyle w:val="Heading2"/>
      </w:pPr>
      <w:r>
        <w:t xml:space="preserve">Community Visualization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Communities</w:t>
      </w:r>
      <w:r>
        <w:t xml:space="preserve"> </w:t>
      </w:r>
      <w:r>
        <w:t xml:space="preserve">tab to switch the Graph Panel to community-focus mode:</w:t>
      </w:r>
      <w:r>
        <w:t xml:space="preserve"> </w:t>
      </w:r>
      <w:r>
        <w:t xml:space="preserve">- Each community is shown as a convex hull overlay</w:t>
      </w:r>
      <w:r>
        <w:t xml:space="preserve"> </w:t>
      </w:r>
      <w:r>
        <w:t xml:space="preserve">- Community sizes and modularity Q score are displayed in the sidebar</w:t>
      </w:r>
      <w:r>
        <w:t xml:space="preserve"> </w:t>
      </w:r>
      <w:r>
        <w:t xml:space="preserve">- Use the</w:t>
      </w:r>
      <w:r>
        <w:t xml:space="preserve"> </w:t>
      </w:r>
      <w:r>
        <w:rPr>
          <w:b/>
          <w:bCs/>
        </w:rPr>
        <w:t xml:space="preserve">Rebalance</w:t>
      </w:r>
      <w:r>
        <w:t xml:space="preserve"> </w:t>
      </w:r>
      <w:r>
        <w:t xml:space="preserve">button to trigger a fresh DSCF run and watch communities reorganize</w:t>
      </w:r>
      <w:r>
        <w:t xml:space="preserve"> </w:t>
      </w:r>
      <w:r>
        <w:t xml:space="preserve">- The algorithm selector (dscf / tsc / leiden / lpa) is configurable in the Studio settings panel</w:t>
      </w:r>
    </w:p>
    <w:p>
      <w:r>
        <w:pict>
          <v:rect style="width:0;height:1.5pt" o:hralign="center" o:hrstd="t" o:hr="t"/>
        </w:pict>
      </w:r>
    </w:p>
    <w:bookmarkEnd w:id="27"/>
    <w:bookmarkStart w:id="30" w:name="live-log-monitor-new-in-v1.9.8"/>
    <w:p>
      <w:pPr>
        <w:pStyle w:val="Heading2"/>
      </w:pPr>
      <w:r>
        <w:t xml:space="preserve">Live Log Monitor (new in v1.9.8)</w:t>
      </w:r>
    </w:p>
    <w:p>
      <w:pPr>
        <w:pStyle w:val="FirstParagraph"/>
      </w:pPr>
      <w:r>
        <w:t xml:space="preserve">The Studio now includes a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tab powered by</w:t>
      </w:r>
      <w:r>
        <w:t xml:space="preserve"> </w:t>
      </w:r>
      <w:r>
        <w:rPr>
          <w:rStyle w:val="VerbatimChar"/>
        </w:rPr>
        <w:t xml:space="preserve">GET /logs</w:t>
      </w:r>
      <w:r>
        <w:t xml:space="preserve">. This streams recent server log entries from the</w:t>
      </w:r>
      <w:r>
        <w:t xml:space="preserve"> </w:t>
      </w:r>
      <w:r>
        <w:rPr>
          <w:rStyle w:val="VerbatimChar"/>
        </w:rPr>
        <w:t xml:space="preserve">RingBufferHandler</w:t>
      </w:r>
      <w:r>
        <w:t xml:space="preserve"> </w:t>
      </w:r>
      <w:r>
        <w:t xml:space="preserve">(defined in</w:t>
      </w:r>
      <w:r>
        <w:t xml:space="preserve"> </w:t>
      </w:r>
      <w:r>
        <w:rPr>
          <w:rStyle w:val="VerbatimChar"/>
        </w:rPr>
        <w:t xml:space="preserve">core/log_config.py</w:t>
      </w:r>
      <w:r>
        <w:t xml:space="preserve">) directly into the Studio UI.</w:t>
      </w:r>
    </w:p>
    <w:bookmarkStart w:id="28" w:name="log-filter-options"/>
    <w:p>
      <w:pPr>
        <w:pStyle w:val="Heading3"/>
      </w:pPr>
      <w:r>
        <w:t xml:space="preserve">Log filter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Minimum log level: DEBUG, INFO, WARNING,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Maximum number of entries to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since</w:t>
            </w:r>
          </w:p>
        </w:tc>
        <w:tc>
          <w:tcPr/>
          <w:p>
            <w:pPr>
              <w:pStyle w:val="Compact"/>
            </w:pPr>
            <w:r>
              <w:t xml:space="preserve">ISO timestamp — only entries after this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Substring filter on log message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Clear Logs</w:t>
      </w:r>
      <w:r>
        <w:t xml:space="preserve"> </w:t>
      </w:r>
      <w:r>
        <w:t xml:space="preserve">button calls</w:t>
      </w:r>
      <w:r>
        <w:t xml:space="preserve"> </w:t>
      </w:r>
      <w:r>
        <w:rPr>
          <w:rStyle w:val="VerbatimChar"/>
        </w:rPr>
        <w:t xml:space="preserve">DELETE /logs</w:t>
      </w:r>
      <w:r>
        <w:t xml:space="preserve"> </w:t>
      </w:r>
      <w:r>
        <w:t xml:space="preserve">to flush the ring buffer.</w:t>
      </w:r>
    </w:p>
    <w:bookmarkEnd w:id="28"/>
    <w:bookmarkStart w:id="29" w:name="ringbufferhandler"/>
    <w:p>
      <w:pPr>
        <w:pStyle w:val="Heading3"/>
      </w:pPr>
      <w:r>
        <w:t xml:space="preserve">RingBufferHandler</w:t>
      </w:r>
    </w:p>
    <w:p>
      <w:pPr>
        <w:pStyle w:val="FirstParagraph"/>
      </w:pPr>
      <w:r>
        <w:t xml:space="preserve">The handler is installed at server startup and captures all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-module records into a fixed-size circular buffer. When the buffer fills, the oldest entries are dropped. This provides low-overhead, zero-persistence observability suitable for development and staging environments.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ive-streaming-mode"/>
    <w:p>
      <w:pPr>
        <w:pStyle w:val="Heading2"/>
      </w:pPr>
      <w:r>
        <w:t xml:space="preserve">Live Streaming Mode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Stream</w:t>
      </w:r>
      <w:r>
        <w:t xml:space="preserve"> </w:t>
      </w:r>
      <w:r>
        <w:t xml:space="preserve">tab to enable streaming ingest mode:</w:t>
      </w:r>
      <w:r>
        <w:t xml:space="preserve"> </w:t>
      </w:r>
      <w:r>
        <w:t xml:space="preserve">1. Select a discretizer (Threshold, STDP, Delta, Frequency, Pattern)</w:t>
      </w:r>
      <w:r>
        <w:t xml:space="preserve"> </w:t>
      </w:r>
      <w:r>
        <w:t xml:space="preserve">2. Configure thresholds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Start Stream</w:t>
      </w:r>
      <w:r>
        <w:t xml:space="preserve"> </w:t>
      </w:r>
      <w:r>
        <w:t xml:space="preserve">4. Watch edges materialize in the Graph Panel in real time as events are processed</w:t>
      </w:r>
      <w:r>
        <w:t xml:space="preserve"> </w:t>
      </w:r>
      <w:r>
        <w:t xml:space="preserve">5. Community structure auto-updates when modularity drift triggers a rebalance</w:t>
      </w:r>
    </w:p>
    <w:p>
      <w:r>
        <w:pict>
          <v:rect style="width:0;height:1.5pt" o:hralign="center" o:hrstd="t" o:hr="t"/>
        </w:pict>
      </w:r>
    </w:p>
    <w:bookmarkEnd w:id="31"/>
    <w:bookmarkStart w:id="32" w:name="exporting-results"/>
    <w:p>
      <w:pPr>
        <w:pStyle w:val="Heading2"/>
      </w:pPr>
      <w:r>
        <w:t xml:space="preserve">Exporting Results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 Path</w:t>
      </w:r>
      <w:r>
        <w:t xml:space="preserve"> </w:t>
      </w:r>
      <w:r>
        <w:t xml:space="preserve">— saves the selected reasoning trace as a JSON file including the full CSA math breakdown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 Graph</w:t>
      </w:r>
      <w:r>
        <w:t xml:space="preserve"> </w:t>
      </w:r>
      <w:r>
        <w:t xml:space="preserve">— saves the current graph (with community assignments) as a 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Screenshot</w:t>
      </w:r>
      <w:r>
        <w:t xml:space="preserve"> </w:t>
      </w:r>
      <w:r>
        <w:t xml:space="preserve">— captures the current Graph Panel view as a PNG</w:t>
      </w:r>
    </w:p>
    <w:p>
      <w:r>
        <w:pict>
          <v:rect style="width:0;height:1.5pt" o:hralign="center" o:hrstd="t" o:hr="t"/>
        </w:pict>
      </w:r>
    </w:p>
    <w:bookmarkEnd w:id="32"/>
    <w:bookmarkStart w:id="33" w:name="production-monitoring-dashboard.html"/>
    <w:p>
      <w:pPr>
        <w:pStyle w:val="Heading2"/>
      </w:pPr>
      <w:r>
        <w:t xml:space="preserve">Production Monitoring: dashboard.html</w:t>
      </w:r>
    </w:p>
    <w:p>
      <w:pPr>
        <w:pStyle w:val="FirstParagraph"/>
      </w:pPr>
      <w:r>
        <w:t xml:space="preserve">For production environments,</w:t>
      </w:r>
      <w:r>
        <w:t xml:space="preserve"> </w:t>
      </w:r>
      <w:r>
        <w:rPr>
          <w:rStyle w:val="VerbatimChar"/>
        </w:rPr>
        <w:t xml:space="preserve">ui/dashboard.html</w:t>
      </w:r>
      <w:r>
        <w:t xml:space="preserve"> </w:t>
      </w:r>
      <w:r>
        <w:t xml:space="preserve">provides a lightweight monitoring page that does not require Gradio. It displays:</w:t>
      </w:r>
      <w:r>
        <w:t xml:space="preserve"> </w:t>
      </w:r>
      <w:r>
        <w:t xml:space="preserve">- Node and edge counts</w:t>
      </w:r>
      <w:r>
        <w:t xml:space="preserve"> </w:t>
      </w:r>
      <w:r>
        <w:t xml:space="preserve">- Active community count and modularity Q</w:t>
      </w:r>
      <w:r>
        <w:t xml:space="preserve"> </w:t>
      </w:r>
      <w:r>
        <w:t xml:space="preserve">- Recent query latencies</w:t>
      </w:r>
      <w:r>
        <w:t xml:space="preserve"> </w:t>
      </w:r>
      <w:r>
        <w:t xml:space="preserve">- Live log stream (polling</w:t>
      </w:r>
      <w:r>
        <w:t xml:space="preserve"> </w:t>
      </w:r>
      <w:r>
        <w:rPr>
          <w:rStyle w:val="VerbatimChar"/>
        </w:rPr>
        <w:t xml:space="preserve">GET /logs</w:t>
      </w:r>
      <w:r>
        <w:t xml:space="preserve">)</w:t>
      </w:r>
      <w:r>
        <w:t xml:space="preserve"> </w:t>
      </w:r>
      <w:r>
        <w:t xml:space="preserve">- Server uptime</w:t>
      </w:r>
    </w:p>
    <w:p>
      <w:pPr>
        <w:pStyle w:val="BodyText"/>
      </w:pPr>
      <w:r>
        <w:t xml:space="preserve">Open it in any browser pointed at a running CEREBRUM API server. No installation required.</w:t>
      </w:r>
    </w:p>
    <w:p>
      <w:r>
        <w:pict>
          <v:rect style="width:0;height:1.5pt" o:hralign="center" o:hrstd="t" o:hr="t"/>
        </w:pict>
      </w:r>
    </w:p>
    <w:bookmarkEnd w:id="33"/>
    <w:bookmarkStart w:id="34" w:name="unit-testing-studioengine"/>
    <w:p>
      <w:pPr>
        <w:pStyle w:val="Heading2"/>
      </w:pPr>
      <w:r>
        <w:t xml:space="preserve">Unit Testing StudioEngine</w:t>
      </w:r>
    </w:p>
    <w:p>
      <w:pPr>
        <w:pStyle w:val="FirstParagraph"/>
      </w:pPr>
      <w:r>
        <w:t xml:space="preserve">Because all business logic is isolated in</w:t>
      </w:r>
      <w:r>
        <w:t xml:space="preserve"> </w:t>
      </w:r>
      <w:r>
        <w:rPr>
          <w:rStyle w:val="VerbatimChar"/>
        </w:rPr>
        <w:t xml:space="preserve">core/studio_engine.py</w:t>
      </w:r>
      <w:r>
        <w:t xml:space="preserve">, the Studio can be tested without a browser or Gradio: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tests/test_studio_engine.py</w:t>
      </w:r>
    </w:p>
    <w:p>
      <w:pPr>
        <w:pStyle w:val="FirstParagraph"/>
      </w:pPr>
      <w:r>
        <w:t xml:space="preserve">38 tests cover:</w:t>
      </w:r>
      <w:r>
        <w:t xml:space="preserve"> </w:t>
      </w:r>
      <w:r>
        <w:t xml:space="preserve">- Graph loading and hot-reload</w:t>
      </w:r>
      <w:r>
        <w:t xml:space="preserve"> </w:t>
      </w:r>
      <w:r>
        <w:t xml:space="preserve">- Query execution and result schema</w:t>
      </w:r>
      <w:r>
        <w:t xml:space="preserve"> </w:t>
      </w:r>
      <w:r>
        <w:t xml:space="preserve">- CSA weight application</w:t>
      </w:r>
      <w:r>
        <w:t xml:space="preserve"> </w:t>
      </w:r>
      <w:r>
        <w:t xml:space="preserve">- Log buffer read/write/clear</w:t>
      </w:r>
      <w:r>
        <w:t xml:space="preserve"> </w:t>
      </w:r>
      <w:r>
        <w:t xml:space="preserve">- Community algorithm selection</w:t>
      </w:r>
      <w:r>
        <w:t xml:space="preserve"> </w:t>
      </w:r>
      <w:r>
        <w:t xml:space="preserve">- CSV build pipeline</w:t>
      </w:r>
    </w:p>
    <w:p>
      <w:r>
        <w:pict>
          <v:rect style="width:0;height:1.5pt" o:hralign="center" o:hrstd="t" o:hr="t"/>
        </w:pict>
      </w:r>
    </w:p>
    <w:bookmarkEnd w:id="34"/>
    <w:bookmarkStart w:id="35" w:name="keyboard-shortcuts"/>
    <w:p>
      <w:pPr>
        <w:pStyle w:val="Heading2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Run query with current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Clear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Toggle community overlay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Rebalance communities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Step through reasoning path (hop by hop)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Studio won’t start</w:t>
      </w:r>
      <w:r>
        <w:t xml:space="preserve">: Ensure</w:t>
      </w:r>
      <w:r>
        <w:t xml:space="preserve"> </w:t>
      </w:r>
      <w:r>
        <w:rPr>
          <w:rStyle w:val="VerbatimChar"/>
        </w:rPr>
        <w:t xml:space="preserve">gradio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pyvis</w:t>
      </w:r>
      <w:r>
        <w:t xml:space="preserve"> </w:t>
      </w:r>
      <w:r>
        <w:t xml:space="preserve">are installed:</w:t>
      </w:r>
      <w:r>
        <w:t xml:space="preserve"> </w:t>
      </w:r>
      <w:r>
        <w:rPr>
          <w:rStyle w:val="VerbatimChar"/>
        </w:rPr>
        <w:t xml:space="preserve">pip install -r ui/requirements.txt</w:t>
      </w:r>
    </w:p>
    <w:p>
      <w:pPr>
        <w:pStyle w:val="BodyText"/>
      </w:pPr>
      <w:r>
        <w:rPr>
          <w:b/>
          <w:bCs/>
        </w:rPr>
        <w:t xml:space="preserve">Graph not rendering</w:t>
      </w:r>
      <w:r>
        <w:t xml:space="preserve">: Large graphs (&gt;5,000 nodes) may take several seconds for pyvis to lay out. Use the</w:t>
      </w:r>
      <w:r>
        <w:t xml:space="preserve"> </w:t>
      </w:r>
      <w:r>
        <w:rPr>
          <w:b/>
          <w:bCs/>
        </w:rPr>
        <w:t xml:space="preserve">Limit Display</w:t>
      </w:r>
      <w:r>
        <w:t xml:space="preserve"> </w:t>
      </w:r>
      <w:r>
        <w:t xml:space="preserve">slider to show only the top-N nodes by PageRank.</w:t>
      </w:r>
    </w:p>
    <w:p>
      <w:pPr>
        <w:pStyle w:val="BodyText"/>
      </w:pPr>
      <w:r>
        <w:rPr>
          <w:b/>
          <w:bCs/>
        </w:rPr>
        <w:t xml:space="preserve">No paths found</w:t>
      </w:r>
      <w:r>
        <w:t xml:space="preserve">: The query entity may not exist in the loaded graph. Try the autocomplete dropdown or check entity names are exact matches (case-sensitive).</w:t>
      </w:r>
    </w:p>
    <w:p>
      <w:pPr>
        <w:pStyle w:val="BodyText"/>
      </w:pPr>
      <w:r>
        <w:rPr>
          <w:b/>
          <w:bCs/>
        </w:rPr>
        <w:t xml:space="preserve">Slow queries</w:t>
      </w:r>
      <w:r>
        <w:t xml:space="preserve">: Reduce</w:t>
      </w:r>
      <w:r>
        <w:t xml:space="preserve"> </w:t>
      </w:r>
      <w:r>
        <w:rPr>
          <w:rStyle w:val="VerbatimChar"/>
        </w:rPr>
        <w:t xml:space="preserve">beam_width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max_hops</w:t>
      </w:r>
      <w:r>
        <w:t xml:space="preserve"> </w:t>
      </w:r>
      <w:r>
        <w:t xml:space="preserve">in the Query Panel. With Adaptive Search (Phase 53), these are auto-tuned but can still be overridden manually.</w:t>
      </w:r>
    </w:p>
    <w:p>
      <w:pPr>
        <w:pStyle w:val="BodyText"/>
      </w:pPr>
      <w:r>
        <w:rPr>
          <w:b/>
          <w:bCs/>
        </w:rPr>
        <w:t xml:space="preserve">Mu slider not visible</w:t>
      </w:r>
      <w:r>
        <w:t xml:space="preserve">: Ensure you are running v1.9.8 or later. Older Studio versions had 9 sliders (alpha through theta, without mu).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Copyright © 2026 Bryan Alexander Buchorn. All Rights Reserved.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2026-04-08T01:42:42Z</dcterms:created>
  <dcterms:modified xsi:type="dcterms:W3CDTF">2026-04-08T01:42:42Z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