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78" w:rsidRDefault="00AF6FE4" w:rsidP="00AF6FE4">
      <w:pPr>
        <w:pStyle w:val="berschrift1"/>
      </w:pPr>
      <w:r>
        <w:t>Ringen</w:t>
      </w:r>
    </w:p>
    <w:p w:rsidR="00645045" w:rsidRDefault="00645045"/>
    <w:p w:rsidR="00645045" w:rsidRDefault="00645045">
      <w:r>
        <w:t>Zu Beginn ist es notwendig, dass man sich im Programm autorisiert. Es handelt sich um die Login-Daten des jeweiligen Verbands (Beispiel BRV oder NRW). Nur dann können Passnummern abgefragt werden. Dies ist einem späteren Schritt notwendig.</w:t>
      </w:r>
    </w:p>
    <w:p w:rsidR="00645045" w:rsidRDefault="00645045">
      <w:r w:rsidRPr="00645045">
        <w:rPr>
          <w:noProof/>
          <w:lang w:eastAsia="de-DE"/>
        </w:rPr>
        <w:drawing>
          <wp:inline distT="0" distB="0" distL="0" distR="0" wp14:anchorId="742284D6" wp14:editId="5CD43633">
            <wp:extent cx="5760720" cy="2977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45" w:rsidRDefault="00645045"/>
    <w:p w:rsidR="00645045" w:rsidRDefault="00645045">
      <w:r>
        <w:t xml:space="preserve">Zurück im „Home-Screen“ wählen sie den jeweiligen Kampf durch einen Doppelklick aus. Es </w:t>
      </w:r>
      <w:proofErr w:type="gramStart"/>
      <w:r>
        <w:t>öffnet</w:t>
      </w:r>
      <w:proofErr w:type="gramEnd"/>
      <w:r>
        <w:t xml:space="preserve"> sich der „Editor“ und der „</w:t>
      </w:r>
      <w:proofErr w:type="spellStart"/>
      <w:r w:rsidR="003F2A90">
        <w:t>Beamer</w:t>
      </w:r>
      <w:proofErr w:type="spellEnd"/>
      <w:r>
        <w:t>“:</w:t>
      </w:r>
    </w:p>
    <w:p w:rsidR="00645045" w:rsidRDefault="003F2A90">
      <w:r w:rsidRPr="003F2A90">
        <w:lastRenderedPageBreak/>
        <w:drawing>
          <wp:inline distT="0" distB="0" distL="0" distR="0" wp14:anchorId="100C8086" wp14:editId="53418A72">
            <wp:extent cx="5760720" cy="4241165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45" w:rsidRDefault="00645045"/>
    <w:p w:rsidR="00645045" w:rsidRDefault="00645045">
      <w:r>
        <w:t>Der „</w:t>
      </w:r>
      <w:proofErr w:type="spellStart"/>
      <w:r w:rsidR="003F2A90">
        <w:t>Beamer</w:t>
      </w:r>
      <w:proofErr w:type="spellEnd"/>
      <w:r>
        <w:t xml:space="preserve">“ kann vom Hauptfester abgedockt werden und auf einen zweiten Bildschirm geschoben werden. Damit kann die </w:t>
      </w:r>
      <w:proofErr w:type="spellStart"/>
      <w:r>
        <w:t>Beameranzeige</w:t>
      </w:r>
      <w:proofErr w:type="spellEnd"/>
      <w:r>
        <w:t xml:space="preserve"> realisiert werden.</w:t>
      </w:r>
      <w:r w:rsidR="003F2A90">
        <w:t xml:space="preserve"> </w:t>
      </w:r>
    </w:p>
    <w:p w:rsidR="003F2A90" w:rsidRDefault="003F2A90"/>
    <w:p w:rsidR="003F2A90" w:rsidRDefault="003F2A90">
      <w:r>
        <w:t>Wichtig hierfür ist, dass in den Anzeigeeinstellungen von Windows der zweite Bildschirm auf „Erweitert“ gestellt ist.</w:t>
      </w:r>
    </w:p>
    <w:p w:rsidR="003F2A90" w:rsidRDefault="003F2A90">
      <w:r>
        <w:t>Das erreichen sie durch einen Rechtsklick auf den Desktop. Hier gehen sie bitten in die „Anzeigeeinstellungen“.</w:t>
      </w:r>
    </w:p>
    <w:p w:rsidR="003F2A90" w:rsidRDefault="003F2A90">
      <w:r w:rsidRPr="003F2A90">
        <w:drawing>
          <wp:inline distT="0" distB="0" distL="0" distR="0" wp14:anchorId="3DF63823" wp14:editId="138B0262">
            <wp:extent cx="1885950" cy="2607383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291" cy="26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90" w:rsidRDefault="003F2A90">
      <w:r>
        <w:lastRenderedPageBreak/>
        <w:t>Wo sie dann die erweiterte Anzeige wählen:</w:t>
      </w:r>
    </w:p>
    <w:p w:rsidR="003F2A90" w:rsidRDefault="003F2A90">
      <w:r w:rsidRPr="003F2A90">
        <w:drawing>
          <wp:inline distT="0" distB="0" distL="0" distR="0" wp14:anchorId="0D561DB2" wp14:editId="6B5AFC11">
            <wp:extent cx="4324954" cy="2886478"/>
            <wp:effectExtent l="152400" t="152400" r="361950" b="3714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86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A90" w:rsidRDefault="003F2A90"/>
    <w:p w:rsidR="003F2A90" w:rsidRDefault="003F2A90">
      <w:r>
        <w:t>Das „</w:t>
      </w:r>
      <w:proofErr w:type="spellStart"/>
      <w:r>
        <w:t>Beamer</w:t>
      </w:r>
      <w:proofErr w:type="spellEnd"/>
      <w:r>
        <w:t>“-Fenster können sie nun auf den zweiten Bildschirm platzieren.</w:t>
      </w:r>
      <w:bookmarkStart w:id="0" w:name="_GoBack"/>
      <w:bookmarkEnd w:id="0"/>
    </w:p>
    <w:p w:rsidR="00645045" w:rsidRDefault="00645045">
      <w:r w:rsidRPr="00645045">
        <w:rPr>
          <w:noProof/>
          <w:lang w:eastAsia="de-DE"/>
        </w:rPr>
        <w:drawing>
          <wp:inline distT="0" distB="0" distL="0" distR="0" wp14:anchorId="76963C18" wp14:editId="6BF71363">
            <wp:extent cx="5760720" cy="41649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E4" w:rsidRDefault="00AF6FE4"/>
    <w:p w:rsidR="00AF6FE4" w:rsidRDefault="00AF6FE4">
      <w:r>
        <w:lastRenderedPageBreak/>
        <w:t>Nach der Waage ist das Wettkampfprotokoll auszufüllen. Die Lizenznummern werden direkt von der Verbandshomepage abgerufen. Hierfür ist eine Freischaltung durch den jeweiligen Webmaster notwendig. Ansonsten wird die Abfrage verweigert.</w:t>
      </w:r>
    </w:p>
    <w:p w:rsidR="00AF6FE4" w:rsidRDefault="00AF6FE4">
      <w:r w:rsidRPr="00AF6FE4">
        <w:rPr>
          <w:noProof/>
          <w:lang w:eastAsia="de-DE"/>
        </w:rPr>
        <w:drawing>
          <wp:inline distT="0" distB="0" distL="0" distR="0" wp14:anchorId="41BD0A11" wp14:editId="72C39FD9">
            <wp:extent cx="5713171" cy="2444723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371" cy="24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E4" w:rsidRDefault="00AF6FE4"/>
    <w:p w:rsidR="00AF6FE4" w:rsidRDefault="00AF6FE4">
      <w:r>
        <w:t>Im Anschluss daran kann das Protokoll und der Ersatz-Punktezettel gedruckt werden:</w:t>
      </w:r>
    </w:p>
    <w:p w:rsidR="00AF6FE4" w:rsidRDefault="00AF6FE4">
      <w:r w:rsidRPr="00AF6FE4">
        <w:rPr>
          <w:noProof/>
          <w:lang w:eastAsia="de-DE"/>
        </w:rPr>
        <w:drawing>
          <wp:inline distT="0" distB="0" distL="0" distR="0" wp14:anchorId="4AC442BF" wp14:editId="310904CE">
            <wp:extent cx="5676595" cy="1580586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118" cy="158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E4" w:rsidRDefault="00AF6FE4"/>
    <w:p w:rsidR="00645045" w:rsidRDefault="00AF6FE4">
      <w:r>
        <w:t>Wählt man nun einen Kampf an so kann der jeweilige Kampf ausgetragen werden:</w:t>
      </w:r>
    </w:p>
    <w:p w:rsidR="00AF6FE4" w:rsidRDefault="00AF6FE4">
      <w:r w:rsidRPr="00AF6FE4">
        <w:rPr>
          <w:noProof/>
          <w:lang w:eastAsia="de-DE"/>
        </w:rPr>
        <w:drawing>
          <wp:inline distT="0" distB="0" distL="0" distR="0" wp14:anchorId="43D71D53" wp14:editId="52DDC464">
            <wp:extent cx="5760720" cy="23437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45" w:rsidRDefault="00645045"/>
    <w:sectPr w:rsidR="00645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49"/>
    <w:rsid w:val="003F2A90"/>
    <w:rsid w:val="00645045"/>
    <w:rsid w:val="00664A1D"/>
    <w:rsid w:val="00782049"/>
    <w:rsid w:val="00AF6FE4"/>
    <w:rsid w:val="00B37878"/>
    <w:rsid w:val="00B4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3360E-11C9-4BA2-85AA-BE0B1C1D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Hennerfeind Christian, TP-210</dc:creator>
  <cp:keywords/>
  <dc:description/>
  <cp:lastModifiedBy>Hennerfeind Christian, TP-210</cp:lastModifiedBy>
  <cp:revision>4</cp:revision>
  <dcterms:created xsi:type="dcterms:W3CDTF">2020-08-11T19:36:00Z</dcterms:created>
  <dcterms:modified xsi:type="dcterms:W3CDTF">2020-08-17T22:46:00Z</dcterms:modified>
</cp:coreProperties>
</file>