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GASTOS DE VIAJE Y VIÁTICOS</w:t>
      </w:r>
    </w:p>
    <w:p>
      <w:r>
        <w:t>TechCorp Internacional S.A.S. — Área de Finanzas. Versión vigente desde febrero de 2026.</w:t>
      </w:r>
    </w:p>
    <w:p>
      <w:pPr>
        <w:pStyle w:val="Heading1"/>
      </w:pPr>
      <w:r>
        <w:t>1. AUTORIZACIONES</w:t>
      </w:r>
    </w:p>
    <w:p>
      <w:r>
        <w:t>Todo viaje nacional o internacional requiere plan de viaje aprobado por el jefe directo y por Dirección Financiera con al menos 10 días hábiles de anticipación. Los viajes internacionales de más de 7 días requieren adicionalmente la aprobación de Gerencia General.</w:t>
      </w:r>
    </w:p>
    <w:p>
      <w:pPr>
        <w:pStyle w:val="Heading1"/>
      </w:pPr>
      <w:r>
        <w:t>2. VIÁTICOS DIARIOS</w:t>
      </w:r>
    </w:p>
    <w:p>
      <w:r>
        <w:t>Los viáticos cubren alimentación y gastos menores por día natural de viaje:</w:t>
      </w:r>
    </w:p>
    <w:p>
      <w:pPr>
        <w:pStyle w:val="ListBullet"/>
      </w:pPr>
      <w:r>
        <w:t>Viajes nacionales: 120.000 COP por día.</w:t>
      </w:r>
    </w:p>
    <w:p>
      <w:pPr>
        <w:pStyle w:val="ListBullet"/>
      </w:pPr>
      <w:r>
        <w:t>Viajes internacionales América Latina: 70 USD por día.</w:t>
      </w:r>
    </w:p>
    <w:p>
      <w:pPr>
        <w:pStyle w:val="ListBullet"/>
      </w:pPr>
      <w:r>
        <w:t>Viajes internacionales Estados Unidos, Canadá y Europa: 110 USD por día.</w:t>
      </w:r>
    </w:p>
    <w:p>
      <w:r>
        <w:t>En viajes de más de 15 días consecutivos, los viáticos se reducen al 70% a partir del día 16.</w:t>
      </w:r>
    </w:p>
    <w:p>
      <w:pPr>
        <w:pStyle w:val="Heading1"/>
      </w:pPr>
      <w:r>
        <w:t>3. ALOJAMIENTO Y TRANSPORTE</w:t>
      </w:r>
    </w:p>
    <w:p>
      <w:r>
        <w:t>El alojamiento se reserva por la agencia corporativa con tope nocturno de 180 USD en destinos internacionales y 350.000 COP en ciudades nacionales. Solo se aprueba clase ejecutiva en vuelos superiores a 8 horas para cargos de director en adelante; el resto viaja en clase económica.</w:t>
      </w:r>
    </w:p>
    <w:p>
      <w:r>
        <w:t>El traslado aeropuerto-hotel se realiza en transporte oficial o taxi con factura. No se reembolsan multas de tránsito ni gasolina de vehículo propio salvo autorización expresa.</w:t>
      </w:r>
    </w:p>
    <w:p>
      <w:pPr>
        <w:pStyle w:val="Heading1"/>
      </w:pPr>
      <w:r>
        <w:t>4. ANTICIPOS Y LIQUIDACIÓN</w:t>
      </w:r>
    </w:p>
    <w:p>
      <w:r>
        <w:t>Se puede solicitar anticipo del 70% del presupuesto total del viaje. La liquidación con facturas originales o soportes electrónicos debe cargarse en el sistema de gastos dentro de los 10 días hábiles posteriores al regreso. Los anticipos no liquidados en ese plazo se descuentan de la siguiente nómina.</w:t>
      </w:r>
    </w:p>
    <w:p>
      <w:r>
        <w:t>Los gastos sin soporte válido se tratan como viáticos adicionales sujetos a retención en la fuente. El fraude en gastos de viaje (facturas alteradas, gastos personales como empresariales) es causal de despido con justa causa y acción legal.</w:t>
      </w:r>
    </w:p>
    <w:p>
      <w:pPr>
        <w:pStyle w:val="Heading1"/>
      </w:pPr>
      <w:r>
        <w:t>5. SEGURO DE VIAJE</w:t>
      </w:r>
    </w:p>
    <w:p>
      <w:r>
        <w:t>Toda persona que viaje en misión cuenta con póliza corporativa de asistencia médica internacional, cobertura de equipaje y cancelación. Los acompañantes familiares no están cubiertos por la póliza y sus gastos corren por cuenta del empleado.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