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SALARIO Y BENEFICIOS 2026</w:t>
      </w:r>
    </w:p>
    <w:p>
      <w:r>
        <w:t>TechCorp Internacional S.A.S. — Aprobada por Gerencia General y Vigilada por Recursos Humanos. Vigencia anual.</w:t>
      </w:r>
    </w:p>
    <w:p>
      <w:pPr>
        <w:pStyle w:val="Heading1"/>
      </w:pPr>
      <w:r>
        <w:t>1. ESTRUCTURA SALARIAL</w:t>
      </w:r>
    </w:p>
    <w:p>
      <w:r>
        <w:t>Cada cargo cuenta con una banda salarial definida en tres niveles: mínimo (80%), medio (100%) y máximo (130%) del valor de referencia del mercado publicado por el estudio salarial anual contratado. Ningún empleado puede superar el 130% de la banda sin aprobación de Gerencia General.</w:t>
      </w:r>
    </w:p>
    <w:p>
      <w:r>
        <w:t>El salario base se paga de forma mensual el último día hábil de cada mes por transferencia electrónica. En caso de festivo, el pago se anticipa al día hábil anterior.</w:t>
      </w:r>
    </w:p>
    <w:p>
      <w:pPr>
        <w:pStyle w:val="Heading1"/>
      </w:pPr>
      <w:r>
        <w:t>2. AUMENTOS SALARIALES</w:t>
      </w:r>
    </w:p>
    <w:p>
      <w:r>
        <w:t>La revisión salarial anual se realiza en enero sobre el resultado de la evaluación de desempeño del año anterior:</w:t>
      </w:r>
    </w:p>
    <w:p>
      <w:pPr>
        <w:pStyle w:val="ListBullet"/>
      </w:pPr>
      <w:r>
        <w:t>Desempeño excepcional (calificación 5): aumento de hasta el 7%.</w:t>
      </w:r>
    </w:p>
    <w:p>
      <w:pPr>
        <w:pStyle w:val="ListBullet"/>
      </w:pPr>
      <w:r>
        <w:t>Desempeño superior (calificación 4): aumento de hasta el 5%.</w:t>
      </w:r>
    </w:p>
    <w:p>
      <w:pPr>
        <w:pStyle w:val="ListBullet"/>
      </w:pPr>
      <w:r>
        <w:t>Desempeño esperado (calificación 3): aumento de hasta el 3% o ajuste por inflación, el mayor.</w:t>
      </w:r>
    </w:p>
    <w:p>
      <w:pPr>
        <w:pStyle w:val="ListBullet"/>
      </w:pPr>
      <w:r>
        <w:t>Desempeño insuficiente (calificación 2 o menor): sin aumento; entra a plan de mejora personal de 90 días.</w:t>
      </w:r>
    </w:p>
    <w:p>
      <w:pPr>
        <w:pStyle w:val="Heading1"/>
      </w:pPr>
      <w:r>
        <w:t>3. BONOS E INCENTIVOS</w:t>
      </w:r>
    </w:p>
    <w:p>
      <w:r>
        <w:t>Bono anual por cumplimiento de objetivos: equivale hasta el 8% del salario anual devengado, prorrateado por el tiempo laborado. Requiere cumplimiento mínimo del 80% de los objetivos individuales y del 90% de los objetivos de compañía.</w:t>
      </w:r>
    </w:p>
    <w:p>
      <w:r>
        <w:t>Bono trimestral de productividad para áreas comerciales: 3% de las ventas netas superiores a la cuota asignada.</w:t>
      </w:r>
    </w:p>
    <w:p>
      <w:r>
        <w:t>Bono por antigüedad: después de 5 años de servicio se reconoce un bono único equivalente a un mes de salario; después de 10 años, dos meses de salario.</w:t>
      </w:r>
    </w:p>
    <w:p>
      <w:pPr>
        <w:pStyle w:val="Heading1"/>
      </w:pPr>
      <w:r>
        <w:t>4. BENEFICIOS SOCIALES</w:t>
      </w:r>
    </w:p>
    <w:p>
      <w:r>
        <w:t>Seguro médico familiar clase ejecutiva para el empleado, cónyuge e hijos menores de 25 años. La empresa cubre el 90% de la prima y el empleado el 10%.</w:t>
      </w:r>
    </w:p>
    <w:p>
      <w:r>
        <w:t>Vales de alimentación electrónicos por valor diario de 28.000 COP en días laborados.</w:t>
      </w:r>
    </w:p>
    <w:p>
      <w:r>
        <w:t>Auxilio educativo: hasta el 50% de matrícula para estudios de posgrado relacionados con el cargo, con tope anual de 8 millones de COP y compromiso de permanencia de 2 años posterior a la terminación del programa.</w:t>
      </w:r>
    </w:p>
    <w:p>
      <w:r>
        <w:t>Caja de ahorro voluntaria con aporte patronal del 5% sobre el aporte del empleado, topado a 400.000 COP mensuales.</w:t>
      </w:r>
    </w:p>
    <w:p>
      <w:r>
        <w:t>Auxilio funerario de 10 millones de COP para fallecimiento del empleado titular y de 5 millones para familiares directos.</w:t>
      </w:r>
    </w:p>
    <w:p>
      <w:r>
        <w:t>Día libre en el cumpleaños del empleado, programable dentro del mes correspondiente con aprobación del líder.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