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drawing>
          <wp:inline distT="0" distB="0" distL="0" distR="0">
            <wp:extent cx="1993392" cy="6949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392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</w:pPr>
      <w:r>
        <w:rPr>
          <w:rFonts w:ascii="Times New Roman" w:cs="Times New Roman" w:eastAsia="Times New Roman" w:hAnsi="Times New Roman"/>
          <w:color w:val="1F3864"/>
          <w:sz w:val="20"/>
          <w:szCs w:val="20"/>
        </w:rPr>
        <w:t xml:space="preserve">Facultad de Ingeniería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color w:val="1F3864"/>
          <w:sz w:val="20"/>
          <w:szCs w:val="20"/>
        </w:rPr>
        <w:t xml:space="preserve">Escuela de Ingeniería en Computación</w:t>
      </w:r>
    </w:p>
    <w:p>
      <w:pPr>
        <w:spacing w:after="32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Asignatura: </w:t>
      </w:r>
      <w:r>
        <w:rPr>
          <w:rFonts w:ascii="Times New Roman" w:cs="Times New Roman" w:eastAsia="Times New Roman" w:hAnsi="Times New Roman"/>
          <w:color w:val="1F3864"/>
          <w:sz w:val="22"/>
          <w:szCs w:val="22"/>
        </w:rPr>
        <w:t xml:space="preserve">Desarrollo de Aplicaciones con Web Frameworks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color w:val="1F3864"/>
          <w:sz w:val="36"/>
          <w:szCs w:val="36"/>
        </w:rPr>
        <w:t xml:space="preserve">PROYECTO DE CATEDRA</w:t>
      </w:r>
    </w:p>
    <w:p>
      <w:pPr>
        <w:spacing w:after="500"/>
        <w:ind w:left="360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Fase 2 — Evidencias de Swagger / OpenAPI</w:t>
      </w:r>
    </w:p>
    <w:p>
      <w:pPr>
        <w:spacing w:after="32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Ciclo / Grupo: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02– 2026 / 01T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Docente: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Ing. Yesenia Escobar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Elaborado por:</w:t>
      </w:r>
    </w:p>
    <w:p>
      <w:pPr>
        <w:tabs>
          <w:tab w:val="left" w:pos="4600"/>
        </w:tabs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David Ezequiel Alvarado Alvarado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AA250233</w:t>
      </w:r>
    </w:p>
    <w:p>
      <w:pPr>
        <w:tabs>
          <w:tab w:val="left" w:pos="4600"/>
        </w:tabs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Bryan Ernesto Anaya Brizuela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AB250136</w:t>
      </w:r>
    </w:p>
    <w:p>
      <w:pPr>
        <w:tabs>
          <w:tab w:val="left" w:pos="4600"/>
        </w:tabs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Dominic Alejandro Castillo Gonzales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CG251726</w:t>
      </w:r>
    </w:p>
    <w:p>
      <w:pPr>
        <w:tabs>
          <w:tab w:val="left" w:pos="4600"/>
        </w:tabs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Concepción Getsemaní Miranda Cuéllar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MC250288</w:t>
      </w:r>
    </w:p>
    <w:p>
      <w:pPr>
        <w:tabs>
          <w:tab w:val="left" w:pos="4600"/>
        </w:tabs>
        <w:spacing w:after="6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Dania Merari Urias Viscarra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UV253195</w:t>
      </w:r>
    </w:p>
    <w:p>
      <w:pPr>
        <w:spacing w:before="62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Fecha de Entrega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25 de Septiembre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1. Introducción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reúne las evidencias visuales del funcionamiento de la API REST del proyecto UCA-CFC Connect, correspondientes a la Fase 2 de desarrollo, en la que se implementaron la base de datos, las operaciones CRUD de los nueve módulos, la persistencia con JPA, las validaciones, el manejo centralizado de excepciones y la documentación con Swagger.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Todas las capturas se tomaron con la aplicación en ejecución local, sobre la base de datos generada automáticamente por las migraciones de Flyway y con los datos iniciales de demostración. Las respuestas que se muestran son reales, no simuladas.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Las pruebas automatizadas de los endpoints se encuentran en el archivo evidencias/EVIDENCIAS.md del repositorio, generado por un script que recorre la API y registra la petición y la respuesta de cada caso.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1.1 Entorno de las pruebas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Aplicación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Spring Boot 4.0.6 sobre Java 21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 16, esquema creado por Flyway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Dirección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http://localhost:8080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Documentación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http://localhost:8080/swagger-ui.html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Datos de prueba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Migración V2__datos_iniciales.sql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 Documentación de la API con Swagger / OpenAPI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API se documenta con OpenAPI 3.1 mediante springdoc. La documentación no se escribe aparte: se genera a partir del propio código, de modo que se mantiene sincronizada con los endpoints reales.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2.1 Información general de la API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23890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1. Encabezado de la documentación, con la descripción del sistema y las reglas de negocio destacadas.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encabezado resume el propósito del sistema, las dos reglas de negocio críticas y las convenciones de paginación y ordenamiento que siguen todos los listados.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2.2 Módulos documentados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endpoints se agrupan por módulo. Las siguientes figuras recorren la totalidad de los grupos publicados, que corresponden a los nueve módulos del sistema más sus catálogos de apoyo.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0141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2. Módulos de agenda institucional y alquiler de espacios.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0149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1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3. Módulos de categorías y clientes.</w:t>
      </w:r>
    </w:p>
    <w:p>
      <w:r>
        <w:br w:type="page"/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0833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8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4. Módulos de cotizaciones y cursos.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44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5. Módulos de diplomados y docentes.</w:t>
      </w:r>
    </w:p>
    <w:p>
      <w:r>
        <w:br w:type="page"/>
      </w:r>
    </w:p>
    <w:p>
      <w:pPr>
        <w:spacing w:after="60" w:before="100"/>
        <w:jc w:val="center"/>
      </w:pPr>
      <w:r>
        <w:drawing>
          <wp:inline distT="0" distB="0" distL="0" distR="0">
            <wp:extent cx="5760720" cy="47964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9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6. Módulos de espacios e inscripciones.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42478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2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7. Módulos de modalidades y pagos.</w:t>
      </w:r>
    </w:p>
    <w:p>
      <w:r>
        <w:br w:type="page"/>
      </w:r>
    </w:p>
    <w:p>
      <w:pPr>
        <w:spacing w:after="60" w:before="100"/>
        <w:jc w:val="center"/>
      </w:pPr>
      <w:r>
        <w:drawing>
          <wp:inline distT="0" distB="0" distL="0" distR="0">
            <wp:extent cx="5760720" cy="483377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8. Módulos de roles y servicios de catering.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196845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9. Módulo de solicitudes de catering.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total se publican 99 operaciones bajo el prefijo /api/v1. Cada módulo expone su CRUD completo, y algunos añaden operaciones propias como la consulta de disponibilidad de un espacio, el historial de un cliente o la detección de conflictos en la agenda.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2.3 Detalle de una operación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24288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10. Operaciones del módulo de cursos.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275896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11. Parámetros documentados de la consulta de cursos.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operación documenta sus parámetros con el tipo de dato correspondiente. El desplegable del parámetro estado se genera automáticamente a partir del enum definido en el código, por lo que la documentación no puede quedar desactualizada respecto de los valores admitidos.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 Operaciones CRUD y persistencia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3.1 Consulta con paginación (200 OK)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8622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12. Respuesta paginada del catálogo de cursos.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respuesta emplea una envoltura propia con los campos contenido, pagina, tamanio, totalElementos, totalPaginas y ultima. Los datos provienen de PostgreSQL a través de Spring Data JPA.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campos cuposOcupados y cuposDisponibles no existen como columnas en la tabla: se calculan contando las inscripciones vigentes de cada oferta, y son la base de la regla de cupo máximo.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3.2 Creación de un recurso (201 Created)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3550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13. Cuerpo de la petición para registrar un alquiler.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7133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14. Respuesta 201 con el alquiler creado.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monto no se envía en la petición: el servicio lo calcula a partir de las horas reservadas y el precio por hora del espacio. La respuesta incluye la cabecera Location, que apunta a la dirección del recurso recién creado, y el alquiler queda en estado PENDIENTE.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 Reglas de negocio críticas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enunciado del proyecto define dos reglas que el sistema nunca debe permitir incumplir: que una inscripción supere el cupo máximo de una oferta, y que un mismo espacio quede reservado dos veces en horarios que se superponen. Ambas se validan en la capa de servicio, dentro de una transacción y con la fila correspondiente bloqueada, de modo que dos peticiones simultáneas no puedan sortearlas.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4.1 Prevención de conflictos de espacios (409 Conflict)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repite la misma reserva de la figura 13, sin modificar ningún dato.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30255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0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15. Rechazo de una reserva que se superpone con otra existente.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sistema responde 409 CONFLICT y no registra nada. El mensaje de error indica contra qué actividad se produce el choque y en qué horario, que es la información que necesita mostrar la pantalla de reservas del portal.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condición aplicada es la siguiente:</w:t>
      </w:r>
    </w:p>
    <w:p>
      <w:pPr>
        <w:shd w:fill="F3F4F6" w:val="clear"/>
        <w:spacing w:after="160" w:before="10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nuevoInicio &lt; existenteFin   AND   nuevoFin &gt; existenteInicio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final del intervalo es exclusivo, por lo que dos reservas contiguas sí se permiten: una reserva que comienza exactamente cuando termina la anterior no se considera traslape.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5. Validación de datos de entrada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validaciones se declaran con Bean Validation sobre los DTO de petición, de modo que se aplican antes de que el dato llegue a la capa de servicio.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6092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16. Petición con varios campos inválidos.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48593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5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17. Respuesta 400 con el detalle por campo.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respuesta incluye el arreglo errores, donde cada elemento indica el campo que falló y el motivo, en español. En una sola petición se reportan todas las violaciones encontradas, no únicamente la primera.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6. Manejo centralizado de excepciones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Ningún controlador maneja errores por su cuenta. Todas las excepciones del sistema pasan por una única clase anotada con @RestControllerAdvice, que las traduce al código HTTP que corresponde y las devuelve siempre con el mismo formato.</w:t>
      </w:r>
    </w:p>
    <w:p>
      <w:pPr>
        <w:spacing w:after="60" w:before="100"/>
        <w:jc w:val="center"/>
      </w:pPr>
      <w:r>
        <w:drawing>
          <wp:inline distT="0" distB="0" distL="0" distR="0">
            <wp:extent cx="5760720" cy="57001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0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Figura 18. Respuesta 404 ante la consulta de un recurso inexistente.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formato de error es común a toda la API e incluye los campos timestamp, status, error, message y path. En los errores de validación se añade el arreglo errores con el detalle por campo.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6.1 Códigos HTTP utilizados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7500"/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Cuándo se devuelve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Consulta o actualización correcta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 Created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Recurso creado, con cabecera Location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204 No Content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Eliminación correcta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400 Bad Request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Validación fallida o parámetro con formato incorrecto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404 Not Found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El recurso solicitado no existe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405 Method Not Allowed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Método HTTP no soportado por la ruta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409 Conflict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Cupo agotado, espacio ocupado, duplicados o recurso en uso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422 Unprocessable Content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Regla de negocio incumplida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 Internal Server Error</w:t>
            </w:r>
          </w:p>
        </w:tc>
        <w:tc>
          <w:tcPr>
            <w:tcW w:type="dxa" w:w="7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Error inesperado del servidor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7. Resumen de lo evidenciado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siguiente tabla relaciona cada entregable solicitado para la Fase 2 con las figuras de este documento que lo demuestran.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Entregable solicitado</w:t>
            </w:r>
          </w:p>
        </w:tc>
        <w:tc>
          <w:tcPr>
            <w:tcW w:type="dxa" w:w="6100"/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Dónde se evidencia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 de datos implementada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Figuras 12 a 18: todas las respuestas provienen de datos reales almacenados en PostgreSQL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CRUD completos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Figuras 2 a 10: operaciones de los nueve módulos. Figuras 13 y 14: creación de un recurso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Persistencia JPA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Figura 12: datos leídos mediante Spring Data JPA con sus relaciones resueltas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Validaciones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Figuras 16 y 17: errores por campo generados con Bean Validation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Manejo de excepciones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Figuras 15 y 18: formato uniforme de error con el código HTTP correcto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Swagger / OpenAPI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Figuras 1 a 11: documentación completa, navegable y generada desde el código</w:t>
            </w:r>
          </w:p>
        </w:tc>
      </w:tr>
    </w:tbl>
    <w:p>
      <w:pPr>
        <w:spacing w:before="300"/>
      </w:pP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Adicionalmente, el repositorio incluye el script completo de la base de datos en db/esquema_completo.sql, las 52 pruebas unitarias de las reglas de negocio en src/test, y el informe automatizado de pruebas de los endpoints en evidencias/EVIDENCIAS.md.</w:t>
      </w:r>
    </w:p>
    <w:sectPr>
      <w:pgSz w:w="12240" w:h="15840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50bce1048f75a106e583cb4f27bab66bcabae1.png"/><Relationship Id="rId8" Type="http://schemas.openxmlformats.org/officeDocument/2006/relationships/image" Target="media/9f9d5392757652ff893be33e3be2638dec92af40.png"/><Relationship Id="rId9" Type="http://schemas.openxmlformats.org/officeDocument/2006/relationships/image" Target="media/d6841a9fec5614974e07bcd00b0305c493389a96.png"/><Relationship Id="rId10" Type="http://schemas.openxmlformats.org/officeDocument/2006/relationships/image" Target="media/040cfee8e45ddcc9de693ddea2a40cf6442f46f7.png"/><Relationship Id="rId11" Type="http://schemas.openxmlformats.org/officeDocument/2006/relationships/image" Target="media/76a50c34627248454e4233c0ac78ebcfd3f12c76.png"/><Relationship Id="rId12" Type="http://schemas.openxmlformats.org/officeDocument/2006/relationships/image" Target="media/6a362585af7b4d7c5b462f1c73056bf7c3f87bf3.png"/><Relationship Id="rId13" Type="http://schemas.openxmlformats.org/officeDocument/2006/relationships/image" Target="media/9974a0098220cb34f51d6f09582937c8c024126d.png"/><Relationship Id="rId14" Type="http://schemas.openxmlformats.org/officeDocument/2006/relationships/image" Target="media/e113f1bb19ef3a2feee2a730488532f333ee8b29.png"/><Relationship Id="rId15" Type="http://schemas.openxmlformats.org/officeDocument/2006/relationships/image" Target="media/32ce0d58f7a1f05f931e03bf2532d94003c32f6e.png"/><Relationship Id="rId16" Type="http://schemas.openxmlformats.org/officeDocument/2006/relationships/image" Target="media/4a1a17624526b51e22ee51d02046d5b4db4dc38b.png"/><Relationship Id="rId17" Type="http://schemas.openxmlformats.org/officeDocument/2006/relationships/image" Target="media/7262c45bad0e13f8a37773537eab71fa04734a32.png"/><Relationship Id="rId18" Type="http://schemas.openxmlformats.org/officeDocument/2006/relationships/image" Target="media/ee697b4bb4cf235caf7279a6b56dd78e96535d38.png"/><Relationship Id="rId19" Type="http://schemas.openxmlformats.org/officeDocument/2006/relationships/image" Target="media/879c0dd363d61902f27f1204af1844bd474cb05f.png"/><Relationship Id="rId20" Type="http://schemas.openxmlformats.org/officeDocument/2006/relationships/image" Target="media/aaeaca2c374500c9562d4e9146ca73bfe4aa07a5.png"/><Relationship Id="rId21" Type="http://schemas.openxmlformats.org/officeDocument/2006/relationships/image" Target="media/7a595e45c06d35f0d925c6c3c62ea8c0edb0d287.png"/><Relationship Id="rId22" Type="http://schemas.openxmlformats.org/officeDocument/2006/relationships/image" Target="media/0c01142785055bd27bba8a8818fc3f98e2a972c7.png"/><Relationship Id="rId23" Type="http://schemas.openxmlformats.org/officeDocument/2006/relationships/image" Target="media/bd37a43fa5bc4eca20063ff2be53db58a866b43a.png"/><Relationship Id="rId24" Type="http://schemas.openxmlformats.org/officeDocument/2006/relationships/image" Target="media/f46ed4d1c3d93e52a3f2b3f150606a5ba5c48a12.png"/><Relationship Id="rId25" Type="http://schemas.openxmlformats.org/officeDocument/2006/relationships/image" Target="media/726eb2c83e0532eccaeb72af13a9141f3d0aacec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Swagger / OpenAPI — UCA-CFC Connect Fase 2</dc:title>
  <dc:creator>Equipo UCA-CFC Connect</dc:creator>
  <cp:lastModifiedBy>Un-named</cp:lastModifiedBy>
  <cp:revision>1</cp:revision>
  <dcterms:created xsi:type="dcterms:W3CDTF">2026-09-25T08:13:06.598Z</dcterms:created>
  <dcterms:modified xsi:type="dcterms:W3CDTF">2026-09-25T08:13:06.608Z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