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D1FC" w14:textId="77777777" w:rsidR="00094BA1" w:rsidRPr="00094BA1" w:rsidRDefault="00094BA1" w:rsidP="00094BA1">
      <w:r w:rsidRPr="00094BA1">
        <w:t>Este informe de resultados documenta la estimación econométrica espacial (Fase 1), la proyección del Índice de Pobreza Multidimensional sintético 2024 (Fase 2) y el proceso de calibración y agregación departamental (Fase 3).</w:t>
      </w:r>
    </w:p>
    <w:p w14:paraId="428A9ACC" w14:textId="77777777" w:rsidR="00094BA1" w:rsidRPr="00094BA1" w:rsidRDefault="00094BA1" w:rsidP="00094BA1">
      <w:pPr>
        <w:rPr>
          <w:b/>
          <w:bCs/>
        </w:rPr>
      </w:pPr>
      <w:r w:rsidRPr="00094BA1">
        <w:rPr>
          <w:b/>
          <w:bCs/>
        </w:rPr>
        <w:t>1. Fase 1: Estimación del Modelo Autorregresivo Espacial (</w:t>
      </w:r>
      <w:proofErr w:type="spellStart"/>
      <w:r w:rsidRPr="00094BA1">
        <w:rPr>
          <w:b/>
          <w:bCs/>
        </w:rPr>
        <w:t>Spatial</w:t>
      </w:r>
      <w:proofErr w:type="spellEnd"/>
      <w:r w:rsidRPr="00094BA1">
        <w:rPr>
          <w:b/>
          <w:bCs/>
        </w:rPr>
        <w:t xml:space="preserve"> </w:t>
      </w:r>
      <w:proofErr w:type="spellStart"/>
      <w:r w:rsidRPr="00094BA1">
        <w:rPr>
          <w:b/>
          <w:bCs/>
        </w:rPr>
        <w:t>Lag</w:t>
      </w:r>
      <w:proofErr w:type="spellEnd"/>
      <w:r w:rsidRPr="00094BA1">
        <w:rPr>
          <w:b/>
          <w:bCs/>
        </w:rPr>
        <w:t xml:space="preserve"> Model)</w:t>
      </w:r>
    </w:p>
    <w:p w14:paraId="5A614D50" w14:textId="59ABCE0C" w:rsidR="00094BA1" w:rsidRPr="00094BA1" w:rsidRDefault="00094BA1" w:rsidP="00094BA1">
      <w:r w:rsidRPr="00094BA1">
        <w:t xml:space="preserve">Se estimó un modelo espacial autorregresivo (SAR / </w:t>
      </w:r>
      <w:proofErr w:type="spellStart"/>
      <w:r w:rsidRPr="00094BA1">
        <w:rPr>
          <w:i/>
          <w:iCs/>
        </w:rPr>
        <w:t>Spatial</w:t>
      </w:r>
      <w:proofErr w:type="spellEnd"/>
      <w:r w:rsidRPr="00094BA1">
        <w:rPr>
          <w:i/>
          <w:iCs/>
        </w:rPr>
        <w:t xml:space="preserve"> </w:t>
      </w:r>
      <w:proofErr w:type="spellStart"/>
      <w:r w:rsidRPr="00094BA1">
        <w:rPr>
          <w:i/>
          <w:iCs/>
        </w:rPr>
        <w:t>Lag</w:t>
      </w:r>
      <w:proofErr w:type="spellEnd"/>
      <w:r w:rsidRPr="00094BA1">
        <w:t xml:space="preserve">) sobre </w:t>
      </w:r>
      <m:oMath>
        <m:r>
          <w:rPr>
            <w:rFonts w:ascii="Cambria Math" w:hAnsi="Cambria Math"/>
          </w:rPr>
          <m:t>N=1,117</m:t>
        </m:r>
      </m:oMath>
      <w:r w:rsidRPr="00094BA1">
        <w:t xml:space="preserve"> municipios para el año base 2018, incorporando la matriz de pesos espaciales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municipal</m:t>
            </m:r>
          </m:sub>
        </m:sSub>
      </m:oMath>
      <w:r w:rsidRPr="00094BA1">
        <w:t>.</w:t>
      </w:r>
    </w:p>
    <w:p w14:paraId="61DFE1A8" w14:textId="77777777" w:rsidR="00094BA1" w:rsidRPr="00094BA1" w:rsidRDefault="00094BA1" w:rsidP="00094BA1">
      <w:pPr>
        <w:rPr>
          <w:b/>
          <w:bCs/>
        </w:rPr>
      </w:pPr>
      <w:r w:rsidRPr="00094BA1">
        <w:rPr>
          <w:b/>
          <w:bCs/>
        </w:rPr>
        <w:t>Parámetros Globales de Desempeño</w:t>
      </w:r>
    </w:p>
    <w:p w14:paraId="64E0E3F0" w14:textId="610F1E67" w:rsidR="00094BA1" w:rsidRPr="00094BA1" w:rsidRDefault="00094BA1" w:rsidP="00094BA1">
      <w:pPr>
        <w:numPr>
          <w:ilvl w:val="0"/>
          <w:numId w:val="1"/>
        </w:numPr>
      </w:pPr>
      <w:r w:rsidRPr="00094BA1">
        <w:rPr>
          <w:b/>
          <w:bCs/>
        </w:rPr>
        <w:t>Autocorrelación Espacial (</w:t>
      </w:r>
      <m:oMath>
        <m:r>
          <w:rPr>
            <w:rFonts w:ascii="Cambria Math" w:hAnsi="Cambria Math"/>
          </w:rPr>
          <m:t>ρ</m:t>
        </m:r>
      </m:oMath>
      <w:r w:rsidRPr="00094BA1">
        <w:rPr>
          <w:b/>
          <w:bCs/>
        </w:rPr>
        <w:t>):</w:t>
      </w:r>
      <w:r w:rsidRPr="00094BA1">
        <w:t xml:space="preserve"> </w:t>
      </w:r>
      <m:oMath>
        <m:r>
          <w:rPr>
            <w:rFonts w:ascii="Cambria Math" w:hAnsi="Cambria Math"/>
          </w:rPr>
          <m:t>0.6726</m:t>
        </m:r>
      </m:oMath>
      <w:r w:rsidRPr="00094BA1">
        <w:t xml:space="preserve"> (</w:t>
      </w:r>
      <m:oMath>
        <m:r>
          <w:rPr>
            <w:rFonts w:ascii="Cambria Math" w:hAnsi="Cambria Math"/>
          </w:rPr>
          <m:t>z=31.755</m:t>
        </m:r>
      </m:oMath>
      <w:r w:rsidRPr="00094BA1">
        <w:t xml:space="preserve">, </w:t>
      </w:r>
      <m:oMath>
        <m:r>
          <w:rPr>
            <w:rFonts w:ascii="Cambria Math" w:hAnsi="Cambria Math"/>
          </w:rPr>
          <m:t>p&lt;2.22×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</m:oMath>
      <w:r w:rsidRPr="00094BA1">
        <w:t>). Muestra una dependencia espacial positiva severa: el nivel de pobreza de un municipio está directamente condicionado por las condiciones de privación de sus vecinos.</w:t>
      </w:r>
    </w:p>
    <w:p w14:paraId="22955C56" w14:textId="5F23D82D" w:rsidR="00094BA1" w:rsidRPr="00094BA1" w:rsidRDefault="00094BA1" w:rsidP="00094BA1">
      <w:pPr>
        <w:numPr>
          <w:ilvl w:val="0"/>
          <w:numId w:val="1"/>
        </w:numPr>
      </w:pPr>
      <w:r w:rsidRPr="00094BA1">
        <w:rPr>
          <w:b/>
          <w:bCs/>
        </w:rPr>
        <w:t>Prueba LM de Autocorrelación Residual:</w:t>
      </w:r>
      <w:r w:rsidRPr="00094BA1">
        <w:t xml:space="preserve"> </w:t>
      </w:r>
      <m:oMath>
        <m:r>
          <m:rPr>
            <m:nor/>
          </m:rPr>
          <m:t>Valor test</m:t>
        </m:r>
        <m:r>
          <w:rPr>
            <w:rFonts w:ascii="Cambria Math" w:hAnsi="Cambria Math"/>
          </w:rPr>
          <m:t>=1.5988</m:t>
        </m:r>
      </m:oMath>
      <w:r w:rsidRPr="00094BA1">
        <w:t xml:space="preserve"> (</w:t>
      </w:r>
      <m:oMath>
        <m:r>
          <w:rPr>
            <w:rFonts w:ascii="Cambria Math" w:hAnsi="Cambria Math"/>
          </w:rPr>
          <m:t>p=0.20607</m:t>
        </m:r>
      </m:oMath>
      <w:r w:rsidRPr="00094BA1">
        <w:t xml:space="preserve">). Confirma que el término de error no presenta autocorrelación remanente; la estructura espacial fue completamente absorbida por el </w:t>
      </w:r>
      <w:proofErr w:type="spellStart"/>
      <w:r w:rsidRPr="00094BA1">
        <w:rPr>
          <w:i/>
          <w:iCs/>
        </w:rPr>
        <w:t>lag</w:t>
      </w:r>
      <w:proofErr w:type="spellEnd"/>
      <w:r w:rsidRPr="00094BA1">
        <w:t xml:space="preserve"> espacial.</w:t>
      </w:r>
    </w:p>
    <w:p w14:paraId="5704032B" w14:textId="735239C7" w:rsidR="00094BA1" w:rsidRPr="00094BA1" w:rsidRDefault="00094BA1" w:rsidP="00094BA1">
      <w:pPr>
        <w:numPr>
          <w:ilvl w:val="0"/>
          <w:numId w:val="1"/>
        </w:numPr>
      </w:pPr>
      <w:r w:rsidRPr="00094BA1">
        <w:rPr>
          <w:b/>
          <w:bCs/>
        </w:rPr>
        <w:t>Criterio de Información Akaike (AIC):</w:t>
      </w:r>
      <w:r w:rsidRPr="00094BA1">
        <w:t xml:space="preserve"> </w:t>
      </w:r>
      <m:oMath>
        <m:r>
          <w:rPr>
            <w:rFonts w:ascii="Cambria Math" w:hAnsi="Cambria Math"/>
          </w:rPr>
          <m:t>1385.2</m:t>
        </m:r>
      </m:oMath>
      <w:r w:rsidRPr="00094BA1">
        <w:t xml:space="preserve"> frente a </w:t>
      </w:r>
      <m:oMath>
        <m:r>
          <w:rPr>
            <w:rFonts w:ascii="Cambria Math" w:hAnsi="Cambria Math"/>
          </w:rPr>
          <m:t>2083.1</m:t>
        </m:r>
      </m:oMath>
      <w:r w:rsidRPr="00094BA1">
        <w:t xml:space="preserve"> del modelo OLS tradicional. Representa una ganancia estricta de ajuste de </w:t>
      </w:r>
      <m:oMath>
        <m:r>
          <w:rPr>
            <w:rFonts w:ascii="Cambria Math" w:hAnsi="Cambria Math"/>
          </w:rPr>
          <m:t>697.9</m:t>
        </m:r>
      </m:oMath>
      <w:r w:rsidRPr="00094BA1">
        <w:t xml:space="preserve"> puntos.</w:t>
      </w:r>
    </w:p>
    <w:p w14:paraId="2C913872" w14:textId="77777777" w:rsidR="00094BA1" w:rsidRPr="00094BA1" w:rsidRDefault="00094BA1" w:rsidP="00094BA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  <w:r w:rsidRPr="00094BA1"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  <w:t>Coeficientes Estructurales (</w:t>
      </w:r>
      <m:oMath>
        <m:r>
          <m:rPr>
            <m:sty m:val="bi"/>
          </m:rPr>
          <w:rPr>
            <w:rFonts w:ascii="Cambria Math" w:eastAsia="Times New Roman" w:hAnsi="Cambria Math" w:cs="Arial"/>
            <w:kern w:val="0"/>
            <w:sz w:val="27"/>
            <w:szCs w:val="27"/>
            <w:lang w:eastAsia="es-CO"/>
            <w14:ligatures w14:val="none"/>
          </w:rPr>
          <m:t>β</m:t>
        </m:r>
      </m:oMath>
      <w:r w:rsidRPr="00094BA1"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  <w:t>)</w:t>
      </w:r>
    </w:p>
    <w:tbl>
      <w:tblPr>
        <w:tblStyle w:val="Tablanormal5"/>
        <w:tblW w:w="0" w:type="dxa"/>
        <w:tblLook w:val="04A0" w:firstRow="1" w:lastRow="0" w:firstColumn="1" w:lastColumn="0" w:noHBand="0" w:noVBand="1"/>
      </w:tblPr>
      <w:tblGrid>
        <w:gridCol w:w="2002"/>
        <w:gridCol w:w="1319"/>
        <w:gridCol w:w="1066"/>
        <w:gridCol w:w="1115"/>
        <w:gridCol w:w="1355"/>
        <w:gridCol w:w="1981"/>
      </w:tblGrid>
      <w:tr w:rsidR="00094BA1" w:rsidRPr="00726FDC" w14:paraId="6EB95C18" w14:textId="77777777" w:rsidTr="00726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F6179EC" w14:textId="77777777" w:rsidR="00094BA1" w:rsidRPr="00726FDC" w:rsidRDefault="00094BA1" w:rsidP="00094BA1">
            <w:pPr>
              <w:spacing w:after="160" w:line="278" w:lineRule="auto"/>
              <w:rPr>
                <w:b/>
                <w:bCs/>
                <w:sz w:val="24"/>
                <w:szCs w:val="22"/>
              </w:rPr>
            </w:pPr>
            <w:r w:rsidRPr="00726FDC">
              <w:rPr>
                <w:b/>
                <w:bCs/>
                <w:sz w:val="24"/>
                <w:szCs w:val="22"/>
              </w:rPr>
              <w:t>Variable</w:t>
            </w:r>
          </w:p>
        </w:tc>
        <w:tc>
          <w:tcPr>
            <w:tcW w:w="0" w:type="auto"/>
            <w:hideMark/>
          </w:tcPr>
          <w:p w14:paraId="198F1858" w14:textId="77777777" w:rsidR="00094BA1" w:rsidRPr="00726FDC" w:rsidRDefault="00094BA1" w:rsidP="00094BA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2"/>
              </w:rPr>
            </w:pPr>
            <w:r w:rsidRPr="00726FDC">
              <w:rPr>
                <w:b/>
                <w:bCs/>
                <w:sz w:val="24"/>
                <w:szCs w:val="22"/>
              </w:rPr>
              <w:t>Coeficiente (β^</w:t>
            </w:r>
            <w:r w:rsidRPr="00726FDC">
              <w:rPr>
                <w:rFonts w:ascii="Arial" w:hAnsi="Arial" w:cs="Arial"/>
                <w:b/>
                <w:bCs/>
                <w:sz w:val="24"/>
                <w:szCs w:val="22"/>
              </w:rPr>
              <w:t>​</w:t>
            </w:r>
            <w:r w:rsidRPr="00726FDC">
              <w:rPr>
                <w:b/>
                <w:bCs/>
                <w:sz w:val="24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21A5B7FF" w14:textId="77777777" w:rsidR="00094BA1" w:rsidRPr="00726FDC" w:rsidRDefault="00094BA1" w:rsidP="00094BA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2"/>
              </w:rPr>
            </w:pPr>
            <w:r w:rsidRPr="00726FDC">
              <w:rPr>
                <w:b/>
                <w:bCs/>
                <w:sz w:val="24"/>
                <w:szCs w:val="22"/>
              </w:rPr>
              <w:t>Error Estándar</w:t>
            </w:r>
          </w:p>
        </w:tc>
        <w:tc>
          <w:tcPr>
            <w:tcW w:w="0" w:type="auto"/>
            <w:hideMark/>
          </w:tcPr>
          <w:p w14:paraId="6D9064CF" w14:textId="77777777" w:rsidR="00094BA1" w:rsidRPr="00726FDC" w:rsidRDefault="00094BA1" w:rsidP="00094BA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2"/>
              </w:rPr>
            </w:pPr>
            <w:r w:rsidRPr="00726FDC">
              <w:rPr>
                <w:b/>
                <w:bCs/>
                <w:sz w:val="24"/>
                <w:szCs w:val="22"/>
              </w:rPr>
              <w:t>Valor z</w:t>
            </w:r>
          </w:p>
        </w:tc>
        <w:tc>
          <w:tcPr>
            <w:tcW w:w="0" w:type="auto"/>
            <w:hideMark/>
          </w:tcPr>
          <w:p w14:paraId="57785BB9" w14:textId="77777777" w:rsidR="00094BA1" w:rsidRPr="00726FDC" w:rsidRDefault="00094BA1" w:rsidP="00094BA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2"/>
              </w:rPr>
            </w:pPr>
            <w:r w:rsidRPr="00726FDC">
              <w:rPr>
                <w:b/>
                <w:bCs/>
                <w:sz w:val="24"/>
                <w:szCs w:val="22"/>
              </w:rPr>
              <w:t>p-valor</w:t>
            </w:r>
          </w:p>
        </w:tc>
        <w:tc>
          <w:tcPr>
            <w:tcW w:w="0" w:type="auto"/>
            <w:hideMark/>
          </w:tcPr>
          <w:p w14:paraId="3F63B23B" w14:textId="77777777" w:rsidR="00094BA1" w:rsidRPr="00726FDC" w:rsidRDefault="00094BA1" w:rsidP="00094BA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2"/>
              </w:rPr>
            </w:pPr>
            <w:r w:rsidRPr="00726FDC">
              <w:rPr>
                <w:b/>
                <w:bCs/>
                <w:sz w:val="24"/>
                <w:szCs w:val="22"/>
              </w:rPr>
              <w:t>Interpretación</w:t>
            </w:r>
          </w:p>
        </w:tc>
      </w:tr>
      <w:tr w:rsidR="00094BA1" w:rsidRPr="00726FDC" w14:paraId="6BAB3F0B" w14:textId="77777777" w:rsidTr="00726F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EFCAE" w14:textId="77777777" w:rsidR="00094BA1" w:rsidRPr="00726FDC" w:rsidRDefault="00094BA1" w:rsidP="00094BA1">
            <w:pPr>
              <w:spacing w:after="160" w:line="278" w:lineRule="auto"/>
              <w:rPr>
                <w:sz w:val="24"/>
                <w:szCs w:val="22"/>
              </w:rPr>
            </w:pPr>
            <w:r w:rsidRPr="00726FDC">
              <w:rPr>
                <w:sz w:val="24"/>
                <w:szCs w:val="22"/>
              </w:rPr>
              <w:t>Intercepto</w:t>
            </w:r>
          </w:p>
        </w:tc>
        <w:tc>
          <w:tcPr>
            <w:tcW w:w="0" w:type="auto"/>
            <w:hideMark/>
          </w:tcPr>
          <w:p w14:paraId="520071B5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−0.0989</w:t>
            </w:r>
          </w:p>
        </w:tc>
        <w:tc>
          <w:tcPr>
            <w:tcW w:w="0" w:type="auto"/>
            <w:hideMark/>
          </w:tcPr>
          <w:p w14:paraId="76170611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0.1229</w:t>
            </w:r>
          </w:p>
        </w:tc>
        <w:tc>
          <w:tcPr>
            <w:tcW w:w="0" w:type="auto"/>
            <w:hideMark/>
          </w:tcPr>
          <w:p w14:paraId="6C50A7CB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−0.8045</w:t>
            </w:r>
          </w:p>
        </w:tc>
        <w:tc>
          <w:tcPr>
            <w:tcW w:w="0" w:type="auto"/>
            <w:hideMark/>
          </w:tcPr>
          <w:p w14:paraId="6D420D0E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0.4211</w:t>
            </w:r>
          </w:p>
        </w:tc>
        <w:tc>
          <w:tcPr>
            <w:tcW w:w="0" w:type="auto"/>
            <w:hideMark/>
          </w:tcPr>
          <w:p w14:paraId="19FBCB19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No significativo</w:t>
            </w:r>
          </w:p>
        </w:tc>
      </w:tr>
      <w:tr w:rsidR="00094BA1" w:rsidRPr="00726FDC" w14:paraId="09987B1D" w14:textId="77777777" w:rsidTr="00726FD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E7558" w14:textId="77777777" w:rsidR="00094BA1" w:rsidRPr="00726FDC" w:rsidRDefault="00094BA1" w:rsidP="00094BA1">
            <w:pPr>
              <w:spacing w:after="160" w:line="278" w:lineRule="auto"/>
              <w:rPr>
                <w:sz w:val="24"/>
                <w:szCs w:val="22"/>
              </w:rPr>
            </w:pPr>
            <w:r w:rsidRPr="00726FDC">
              <w:rPr>
                <w:sz w:val="24"/>
                <w:szCs w:val="22"/>
              </w:rPr>
              <w:t>Tasa Matriculación (5-16 años)</w:t>
            </w:r>
          </w:p>
        </w:tc>
        <w:tc>
          <w:tcPr>
            <w:tcW w:w="0" w:type="auto"/>
            <w:hideMark/>
          </w:tcPr>
          <w:p w14:paraId="11087DA0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−0.8262</w:t>
            </w:r>
          </w:p>
        </w:tc>
        <w:tc>
          <w:tcPr>
            <w:tcW w:w="0" w:type="auto"/>
            <w:hideMark/>
          </w:tcPr>
          <w:p w14:paraId="0DC80FA3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0.0905</w:t>
            </w:r>
          </w:p>
        </w:tc>
        <w:tc>
          <w:tcPr>
            <w:tcW w:w="0" w:type="auto"/>
            <w:hideMark/>
          </w:tcPr>
          <w:p w14:paraId="4F0C8FA5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−9.1289</w:t>
            </w:r>
          </w:p>
        </w:tc>
        <w:tc>
          <w:tcPr>
            <w:tcW w:w="0" w:type="auto"/>
            <w:hideMark/>
          </w:tcPr>
          <w:p w14:paraId="2FEF85F5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&lt;2.2×10−16</w:t>
            </w:r>
          </w:p>
        </w:tc>
        <w:tc>
          <w:tcPr>
            <w:tcW w:w="0" w:type="auto"/>
            <w:hideMark/>
          </w:tcPr>
          <w:p w14:paraId="12F2D9C1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Fuerte factor protector de la pobreza</w:t>
            </w:r>
          </w:p>
        </w:tc>
      </w:tr>
      <w:tr w:rsidR="00094BA1" w:rsidRPr="00726FDC" w14:paraId="08CCEEE3" w14:textId="77777777" w:rsidTr="00726F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7AB47" w14:textId="77777777" w:rsidR="00094BA1" w:rsidRPr="00726FDC" w:rsidRDefault="00094BA1" w:rsidP="00094BA1">
            <w:pPr>
              <w:spacing w:after="160" w:line="278" w:lineRule="auto"/>
              <w:rPr>
                <w:sz w:val="24"/>
                <w:szCs w:val="22"/>
              </w:rPr>
            </w:pPr>
            <w:r w:rsidRPr="00726FDC">
              <w:rPr>
                <w:sz w:val="24"/>
                <w:szCs w:val="22"/>
              </w:rPr>
              <w:t>Deserción Escolar</w:t>
            </w:r>
          </w:p>
        </w:tc>
        <w:tc>
          <w:tcPr>
            <w:tcW w:w="0" w:type="auto"/>
            <w:hideMark/>
          </w:tcPr>
          <w:p w14:paraId="56328EEB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+0.0200</w:t>
            </w:r>
          </w:p>
        </w:tc>
        <w:tc>
          <w:tcPr>
            <w:tcW w:w="0" w:type="auto"/>
            <w:hideMark/>
          </w:tcPr>
          <w:p w14:paraId="6CA1BC30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0.0067</w:t>
            </w:r>
          </w:p>
        </w:tc>
        <w:tc>
          <w:tcPr>
            <w:tcW w:w="0" w:type="auto"/>
            <w:hideMark/>
          </w:tcPr>
          <w:p w14:paraId="13BD7015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+2.9990</w:t>
            </w:r>
          </w:p>
        </w:tc>
        <w:tc>
          <w:tcPr>
            <w:tcW w:w="0" w:type="auto"/>
            <w:hideMark/>
          </w:tcPr>
          <w:p w14:paraId="658185CE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0.0027</w:t>
            </w:r>
          </w:p>
        </w:tc>
        <w:tc>
          <w:tcPr>
            <w:tcW w:w="0" w:type="auto"/>
            <w:hideMark/>
          </w:tcPr>
          <w:p w14:paraId="34F7282C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Incrementa significativamente el IPM</w:t>
            </w:r>
          </w:p>
        </w:tc>
      </w:tr>
      <w:tr w:rsidR="00094BA1" w:rsidRPr="00726FDC" w14:paraId="396829F1" w14:textId="77777777" w:rsidTr="00726FD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53835" w14:textId="77777777" w:rsidR="00094BA1" w:rsidRPr="00726FDC" w:rsidRDefault="00094BA1" w:rsidP="00094BA1">
            <w:pPr>
              <w:spacing w:after="160" w:line="278" w:lineRule="auto"/>
              <w:rPr>
                <w:sz w:val="24"/>
                <w:szCs w:val="22"/>
              </w:rPr>
            </w:pPr>
            <w:r w:rsidRPr="00726FDC">
              <w:rPr>
                <w:sz w:val="24"/>
                <w:szCs w:val="22"/>
              </w:rPr>
              <w:t>Déficit Infraestructura Básica</w:t>
            </w:r>
          </w:p>
        </w:tc>
        <w:tc>
          <w:tcPr>
            <w:tcW w:w="0" w:type="auto"/>
            <w:hideMark/>
          </w:tcPr>
          <w:p w14:paraId="327A1682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−0.0017</w:t>
            </w:r>
          </w:p>
        </w:tc>
        <w:tc>
          <w:tcPr>
            <w:tcW w:w="0" w:type="auto"/>
            <w:hideMark/>
          </w:tcPr>
          <w:p w14:paraId="10BE371F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0.0006</w:t>
            </w:r>
          </w:p>
        </w:tc>
        <w:tc>
          <w:tcPr>
            <w:tcW w:w="0" w:type="auto"/>
            <w:hideMark/>
          </w:tcPr>
          <w:p w14:paraId="6C555515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−3.0164</w:t>
            </w:r>
          </w:p>
        </w:tc>
        <w:tc>
          <w:tcPr>
            <w:tcW w:w="0" w:type="auto"/>
            <w:hideMark/>
          </w:tcPr>
          <w:p w14:paraId="20AE0902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0.0026</w:t>
            </w:r>
          </w:p>
        </w:tc>
        <w:tc>
          <w:tcPr>
            <w:tcW w:w="0" w:type="auto"/>
            <w:hideMark/>
          </w:tcPr>
          <w:p w14:paraId="4F9C474D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Efecto de escala/cobertura local</w:t>
            </w:r>
          </w:p>
        </w:tc>
      </w:tr>
      <w:tr w:rsidR="00094BA1" w:rsidRPr="00726FDC" w14:paraId="5EF62C56" w14:textId="77777777" w:rsidTr="00726F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DDBA3" w14:textId="77777777" w:rsidR="00094BA1" w:rsidRPr="00726FDC" w:rsidRDefault="00094BA1" w:rsidP="00094BA1">
            <w:pPr>
              <w:spacing w:after="160" w:line="278" w:lineRule="auto"/>
              <w:rPr>
                <w:sz w:val="24"/>
                <w:szCs w:val="22"/>
              </w:rPr>
            </w:pPr>
            <w:r w:rsidRPr="00726FDC">
              <w:rPr>
                <w:sz w:val="24"/>
                <w:szCs w:val="22"/>
              </w:rPr>
              <w:lastRenderedPageBreak/>
              <w:t>Tasa Mortalidad Infantil (&lt;1 año)</w:t>
            </w:r>
          </w:p>
        </w:tc>
        <w:tc>
          <w:tcPr>
            <w:tcW w:w="0" w:type="auto"/>
            <w:hideMark/>
          </w:tcPr>
          <w:p w14:paraId="507FFB4B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+0.0043</w:t>
            </w:r>
          </w:p>
        </w:tc>
        <w:tc>
          <w:tcPr>
            <w:tcW w:w="0" w:type="auto"/>
            <w:hideMark/>
          </w:tcPr>
          <w:p w14:paraId="58D8487B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0.0011</w:t>
            </w:r>
          </w:p>
        </w:tc>
        <w:tc>
          <w:tcPr>
            <w:tcW w:w="0" w:type="auto"/>
            <w:hideMark/>
          </w:tcPr>
          <w:p w14:paraId="7C618786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+4.0634</w:t>
            </w:r>
          </w:p>
        </w:tc>
        <w:tc>
          <w:tcPr>
            <w:tcW w:w="0" w:type="auto"/>
            <w:hideMark/>
          </w:tcPr>
          <w:p w14:paraId="44990EA6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4.837×10−5</w:t>
            </w:r>
          </w:p>
        </w:tc>
        <w:tc>
          <w:tcPr>
            <w:tcW w:w="0" w:type="auto"/>
            <w:hideMark/>
          </w:tcPr>
          <w:p w14:paraId="3ED3D098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Indicador de vulnerabilidad social</w:t>
            </w:r>
          </w:p>
        </w:tc>
      </w:tr>
      <w:tr w:rsidR="00094BA1" w:rsidRPr="00726FDC" w14:paraId="12EA467C" w14:textId="77777777" w:rsidTr="00726FD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FC645" w14:textId="77777777" w:rsidR="00094BA1" w:rsidRPr="00726FDC" w:rsidRDefault="00094BA1" w:rsidP="00094BA1">
            <w:pPr>
              <w:spacing w:after="160" w:line="278" w:lineRule="auto"/>
              <w:rPr>
                <w:sz w:val="24"/>
                <w:szCs w:val="22"/>
              </w:rPr>
            </w:pPr>
            <w:r w:rsidRPr="00726FDC">
              <w:rPr>
                <w:sz w:val="24"/>
                <w:szCs w:val="22"/>
              </w:rPr>
              <w:t>log(Rec_ICA_PC+1)</w:t>
            </w:r>
          </w:p>
        </w:tc>
        <w:tc>
          <w:tcPr>
            <w:tcW w:w="0" w:type="auto"/>
            <w:hideMark/>
          </w:tcPr>
          <w:p w14:paraId="6936158A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+0.1146</w:t>
            </w:r>
          </w:p>
        </w:tc>
        <w:tc>
          <w:tcPr>
            <w:tcW w:w="0" w:type="auto"/>
            <w:hideMark/>
          </w:tcPr>
          <w:p w14:paraId="5AE52C1E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0.1731</w:t>
            </w:r>
          </w:p>
        </w:tc>
        <w:tc>
          <w:tcPr>
            <w:tcW w:w="0" w:type="auto"/>
            <w:hideMark/>
          </w:tcPr>
          <w:p w14:paraId="24DA64B3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+0.6623</w:t>
            </w:r>
          </w:p>
        </w:tc>
        <w:tc>
          <w:tcPr>
            <w:tcW w:w="0" w:type="auto"/>
            <w:hideMark/>
          </w:tcPr>
          <w:p w14:paraId="6955ECC9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0.5078</w:t>
            </w:r>
          </w:p>
        </w:tc>
        <w:tc>
          <w:tcPr>
            <w:tcW w:w="0" w:type="auto"/>
            <w:hideMark/>
          </w:tcPr>
          <w:p w14:paraId="2069B8FB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No significativo</w:t>
            </w:r>
          </w:p>
        </w:tc>
      </w:tr>
      <w:tr w:rsidR="00094BA1" w:rsidRPr="00726FDC" w14:paraId="419081BD" w14:textId="77777777" w:rsidTr="00726F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EB998" w14:textId="77777777" w:rsidR="00094BA1" w:rsidRPr="00726FDC" w:rsidRDefault="00094BA1" w:rsidP="00094BA1">
            <w:pPr>
              <w:spacing w:after="160" w:line="278" w:lineRule="auto"/>
              <w:rPr>
                <w:sz w:val="24"/>
                <w:szCs w:val="22"/>
              </w:rPr>
            </w:pPr>
            <w:r w:rsidRPr="00726FDC">
              <w:rPr>
                <w:sz w:val="24"/>
                <w:szCs w:val="22"/>
              </w:rPr>
              <w:t>log(VIIRS) (Luces Nocturnas)</w:t>
            </w:r>
          </w:p>
        </w:tc>
        <w:tc>
          <w:tcPr>
            <w:tcW w:w="0" w:type="auto"/>
            <w:hideMark/>
          </w:tcPr>
          <w:p w14:paraId="2442DF0D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−0.2494</w:t>
            </w:r>
          </w:p>
        </w:tc>
        <w:tc>
          <w:tcPr>
            <w:tcW w:w="0" w:type="auto"/>
            <w:hideMark/>
          </w:tcPr>
          <w:p w14:paraId="3473BF9A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0.0417</w:t>
            </w:r>
          </w:p>
        </w:tc>
        <w:tc>
          <w:tcPr>
            <w:tcW w:w="0" w:type="auto"/>
            <w:hideMark/>
          </w:tcPr>
          <w:p w14:paraId="578A5488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−5.9816</w:t>
            </w:r>
          </w:p>
        </w:tc>
        <w:tc>
          <w:tcPr>
            <w:tcW w:w="0" w:type="auto"/>
            <w:hideMark/>
          </w:tcPr>
          <w:p w14:paraId="70D9BA39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2.209×10−9</w:t>
            </w:r>
          </w:p>
        </w:tc>
        <w:tc>
          <w:tcPr>
            <w:tcW w:w="0" w:type="auto"/>
            <w:hideMark/>
          </w:tcPr>
          <w:p w14:paraId="6BCA0E39" w14:textId="77777777" w:rsidR="00094BA1" w:rsidRPr="00726FDC" w:rsidRDefault="00094BA1" w:rsidP="00094B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Proxy de densidad económica altamente protector</w:t>
            </w:r>
          </w:p>
        </w:tc>
      </w:tr>
      <w:tr w:rsidR="00094BA1" w:rsidRPr="00726FDC" w14:paraId="26DD57DE" w14:textId="77777777" w:rsidTr="00726FD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E1230" w14:textId="77777777" w:rsidR="00094BA1" w:rsidRPr="00726FDC" w:rsidRDefault="00094BA1" w:rsidP="00094BA1">
            <w:pPr>
              <w:spacing w:after="160" w:line="278" w:lineRule="auto"/>
              <w:rPr>
                <w:sz w:val="24"/>
                <w:szCs w:val="22"/>
              </w:rPr>
            </w:pPr>
            <w:r w:rsidRPr="00726FDC">
              <w:rPr>
                <w:sz w:val="24"/>
                <w:szCs w:val="22"/>
              </w:rPr>
              <w:t>% Régimen Subsidiado</w:t>
            </w:r>
          </w:p>
        </w:tc>
        <w:tc>
          <w:tcPr>
            <w:tcW w:w="0" w:type="auto"/>
            <w:hideMark/>
          </w:tcPr>
          <w:p w14:paraId="7F9CB62B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+0.9620</w:t>
            </w:r>
          </w:p>
        </w:tc>
        <w:tc>
          <w:tcPr>
            <w:tcW w:w="0" w:type="auto"/>
            <w:hideMark/>
          </w:tcPr>
          <w:p w14:paraId="3A057DB1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0.093</w:t>
            </w:r>
          </w:p>
        </w:tc>
        <w:tc>
          <w:tcPr>
            <w:tcW w:w="0" w:type="auto"/>
            <w:hideMark/>
          </w:tcPr>
          <w:p w14:paraId="7FB3C2B1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+10.3480</w:t>
            </w:r>
          </w:p>
        </w:tc>
        <w:tc>
          <w:tcPr>
            <w:tcW w:w="0" w:type="auto"/>
            <w:hideMark/>
          </w:tcPr>
          <w:p w14:paraId="2E4106E0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&lt;2.2×10−16</w:t>
            </w:r>
          </w:p>
        </w:tc>
        <w:tc>
          <w:tcPr>
            <w:tcW w:w="0" w:type="auto"/>
            <w:hideMark/>
          </w:tcPr>
          <w:p w14:paraId="0FB17B8C" w14:textId="77777777" w:rsidR="00094BA1" w:rsidRPr="00726FDC" w:rsidRDefault="00094BA1" w:rsidP="00094B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6FDC">
              <w:rPr>
                <w:szCs w:val="22"/>
              </w:rPr>
              <w:t>Principal proxy de vulnerabilidad socioeconómica</w:t>
            </w:r>
          </w:p>
        </w:tc>
      </w:tr>
    </w:tbl>
    <w:p w14:paraId="1F097B62" w14:textId="77777777" w:rsidR="00094BA1" w:rsidRDefault="00094BA1"/>
    <w:p w14:paraId="1B4570CD" w14:textId="75BA38A3" w:rsidR="00094BA1" w:rsidRDefault="00094BA1">
      <w:pPr>
        <w:rPr>
          <w:b/>
          <w:bCs/>
        </w:rPr>
      </w:pPr>
      <w:r w:rsidRPr="00094BA1">
        <w:rPr>
          <w:b/>
          <w:bCs/>
        </w:rPr>
        <w:t>2. Fase 2: Proyección y Descriptivos del IPM Sintético 2024</w:t>
      </w:r>
    </w:p>
    <w:p w14:paraId="2FA4C965" w14:textId="77777777" w:rsidR="00094BA1" w:rsidRPr="00094BA1" w:rsidRDefault="00094BA1" w:rsidP="00094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94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Utilizando los coeficientes estructurales (</w:t>
      </w:r>
      <m:oMath>
        <m:acc>
          <m:accPr>
            <m:chr m:val="ˆ"/>
            <m:ctrlP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  <m:t>β</m:t>
            </m:r>
          </m:e>
        </m:acc>
      </m:oMath>
      <w:r w:rsidRPr="00094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), la matriz espacial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kern w:val="0"/>
                    <w:lang w:eastAsia="es-CO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kern w:val="0"/>
                    <w:lang w:eastAsia="es-CO"/>
                    <w14:ligatures w14:val="none"/>
                  </w:rPr>
                  <m:t>I-</m:t>
                </m:r>
                <m:acc>
                  <m:accPr>
                    <m:chr m:val="ˆ"/>
                    <m:ctrlPr>
                      <w:rPr>
                        <w:rFonts w:ascii="Cambria Math" w:eastAsia="Times New Roman" w:hAnsi="Cambria Math" w:cs="Arial"/>
                        <w:kern w:val="0"/>
                        <w:lang w:eastAsia="es-CO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Arial"/>
                        <w:kern w:val="0"/>
                        <w:lang w:eastAsia="es-CO"/>
                        <w14:ligatures w14:val="none"/>
                      </w:rPr>
                      <m:t>ρ</m:t>
                    </m:r>
                  </m:e>
                </m:acc>
                <m:r>
                  <w:rPr>
                    <w:rFonts w:ascii="Cambria Math" w:eastAsia="Times New Roman" w:hAnsi="Cambria Math" w:cs="Arial"/>
                    <w:kern w:val="0"/>
                    <w:lang w:eastAsia="es-CO"/>
                    <w14:ligatures w14:val="none"/>
                  </w:rPr>
                  <m:t>W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  <m:t>-1</m:t>
            </m:r>
          </m:sup>
        </m:sSup>
      </m:oMath>
      <w:r w:rsidRPr="00094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dimensión </w:t>
      </w:r>
      <m:oMath>
        <m:r>
          <w:rPr>
            <w:rFonts w:ascii="Cambria Math" w:eastAsia="Times New Roman" w:hAnsi="Cambria Math" w:cs="Arial"/>
            <w:kern w:val="0"/>
            <w:lang w:eastAsia="es-CO"/>
            <w14:ligatures w14:val="none"/>
          </w:rPr>
          <m:t>1,117×1,117</m:t>
        </m:r>
      </m:oMath>
      <w:r w:rsidRPr="00094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las covariables de 2024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  <m:t>2024</m:t>
            </m:r>
          </m:sub>
        </m:sSub>
      </m:oMath>
      <w:r w:rsidRPr="00094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dimensión </w:t>
      </w:r>
      <m:oMath>
        <m:r>
          <w:rPr>
            <w:rFonts w:ascii="Cambria Math" w:eastAsia="Times New Roman" w:hAnsi="Cambria Math" w:cs="Arial"/>
            <w:kern w:val="0"/>
            <w:lang w:eastAsia="es-CO"/>
            <w14:ligatures w14:val="none"/>
          </w:rPr>
          <m:t>1,117×8</m:t>
        </m:r>
      </m:oMath>
      <w:r w:rsidRPr="00094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), se proyectó la distribución municipal del IPM para 2024.</w:t>
      </w:r>
    </w:p>
    <w:p w14:paraId="1A677ED9" w14:textId="77777777" w:rsidR="00094BA1" w:rsidRDefault="00094BA1">
      <w:pPr>
        <w:rPr>
          <w:b/>
          <w:bCs/>
        </w:rPr>
      </w:pPr>
    </w:p>
    <w:p w14:paraId="09E2DC9B" w14:textId="69CDE46E" w:rsidR="00094BA1" w:rsidRPr="00094BA1" w:rsidRDefault="00094BA1" w:rsidP="00094BA1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 w:rsidRPr="00094BA1">
        <w:rPr>
          <w:lang w:val="en-US"/>
        </w:rPr>
        <w:t>Min</w:t>
      </w:r>
      <w:r>
        <w:rPr>
          <w:lang w:val="en-US"/>
        </w:rPr>
        <w:t>.</w:t>
      </w:r>
      <w:r w:rsidRPr="00094BA1">
        <w:rPr>
          <w:lang w:val="en-US"/>
        </w:rPr>
        <w:t xml:space="preserve"> 1</w:t>
      </w:r>
      <w:r>
        <w:rPr>
          <w:lang w:val="en-US"/>
        </w:rPr>
        <w:t>,</w:t>
      </w:r>
      <w:r w:rsidRPr="00094BA1">
        <w:rPr>
          <w:lang w:val="en-US"/>
        </w:rPr>
        <w:t xml:space="preserve">754 </w:t>
      </w:r>
    </w:p>
    <w:p w14:paraId="35BF49FE" w14:textId="31899340" w:rsidR="00094BA1" w:rsidRPr="00094BA1" w:rsidRDefault="00094BA1" w:rsidP="00094BA1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 w:rsidRPr="00094BA1">
        <w:rPr>
          <w:lang w:val="en-US"/>
        </w:rPr>
        <w:t>1st Qu</w:t>
      </w:r>
      <w:r>
        <w:rPr>
          <w:lang w:val="en-US"/>
        </w:rPr>
        <w:t>.</w:t>
      </w:r>
      <w:r w:rsidRPr="00094BA1">
        <w:rPr>
          <w:lang w:val="en-US"/>
        </w:rPr>
        <w:t xml:space="preserve"> 37</w:t>
      </w:r>
      <w:r>
        <w:rPr>
          <w:lang w:val="en-US"/>
        </w:rPr>
        <w:t>,</w:t>
      </w:r>
      <w:r w:rsidRPr="00094BA1">
        <w:rPr>
          <w:lang w:val="en-US"/>
        </w:rPr>
        <w:t xml:space="preserve">816 </w:t>
      </w:r>
    </w:p>
    <w:p w14:paraId="6E72BC6E" w14:textId="70064E01" w:rsidR="00094BA1" w:rsidRPr="00094BA1" w:rsidRDefault="00094BA1" w:rsidP="00094BA1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 w:rsidRPr="00094BA1">
        <w:rPr>
          <w:lang w:val="en-US"/>
        </w:rPr>
        <w:t>Median</w:t>
      </w:r>
      <w:r>
        <w:rPr>
          <w:lang w:val="en-US"/>
        </w:rPr>
        <w:t>.</w:t>
      </w:r>
      <w:r w:rsidRPr="00094BA1">
        <w:rPr>
          <w:lang w:val="en-US"/>
        </w:rPr>
        <w:t xml:space="preserve"> 47</w:t>
      </w:r>
      <w:r>
        <w:rPr>
          <w:lang w:val="en-US"/>
        </w:rPr>
        <w:t>,</w:t>
      </w:r>
      <w:r w:rsidRPr="00094BA1">
        <w:rPr>
          <w:lang w:val="en-US"/>
        </w:rPr>
        <w:t xml:space="preserve">032 </w:t>
      </w:r>
    </w:p>
    <w:p w14:paraId="024CF076" w14:textId="2E39873F" w:rsidR="00094BA1" w:rsidRPr="00094BA1" w:rsidRDefault="00094BA1" w:rsidP="00094BA1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 w:rsidRPr="00094BA1">
        <w:rPr>
          <w:lang w:val="en-US"/>
        </w:rPr>
        <w:t>Mean</w:t>
      </w:r>
      <w:r>
        <w:rPr>
          <w:lang w:val="en-US"/>
        </w:rPr>
        <w:t>.</w:t>
      </w:r>
      <w:r w:rsidRPr="00094BA1">
        <w:rPr>
          <w:lang w:val="en-US"/>
        </w:rPr>
        <w:t xml:space="preserve"> 45</w:t>
      </w:r>
      <w:r>
        <w:rPr>
          <w:lang w:val="en-US"/>
        </w:rPr>
        <w:t>,</w:t>
      </w:r>
      <w:r w:rsidRPr="00094BA1">
        <w:rPr>
          <w:lang w:val="en-US"/>
        </w:rPr>
        <w:t xml:space="preserve">310 </w:t>
      </w:r>
    </w:p>
    <w:p w14:paraId="24CC1A30" w14:textId="1968A6EC" w:rsidR="00094BA1" w:rsidRPr="00094BA1" w:rsidRDefault="00094BA1" w:rsidP="00094BA1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 w:rsidRPr="00094BA1">
        <w:rPr>
          <w:lang w:val="en-US"/>
        </w:rPr>
        <w:t>3rd Qu</w:t>
      </w:r>
      <w:r>
        <w:rPr>
          <w:lang w:val="en-US"/>
        </w:rPr>
        <w:t>.</w:t>
      </w:r>
      <w:r w:rsidRPr="00094BA1">
        <w:rPr>
          <w:lang w:val="en-US"/>
        </w:rPr>
        <w:t xml:space="preserve"> </w:t>
      </w:r>
      <w:r w:rsidRPr="00094BA1">
        <w:rPr>
          <w:lang w:val="en-US"/>
        </w:rPr>
        <w:t>54</w:t>
      </w:r>
      <w:r>
        <w:rPr>
          <w:lang w:val="en-US"/>
        </w:rPr>
        <w:t>,</w:t>
      </w:r>
      <w:r w:rsidRPr="00094BA1">
        <w:rPr>
          <w:lang w:val="en-US"/>
        </w:rPr>
        <w:t xml:space="preserve">299 </w:t>
      </w:r>
    </w:p>
    <w:p w14:paraId="5AFCDC46" w14:textId="3CB8D24D" w:rsidR="00094BA1" w:rsidRPr="00094BA1" w:rsidRDefault="00094BA1" w:rsidP="00094BA1">
      <w:pPr>
        <w:pStyle w:val="Prrafodelista"/>
        <w:numPr>
          <w:ilvl w:val="0"/>
          <w:numId w:val="2"/>
        </w:numPr>
        <w:ind w:left="1068"/>
        <w:rPr>
          <w:b/>
          <w:bCs/>
          <w:lang w:val="en-US"/>
        </w:rPr>
      </w:pPr>
      <w:r w:rsidRPr="00094BA1">
        <w:rPr>
          <w:lang w:val="en-US"/>
        </w:rPr>
        <w:t>Max</w:t>
      </w:r>
      <w:r>
        <w:rPr>
          <w:lang w:val="en-US"/>
        </w:rPr>
        <w:t>.</w:t>
      </w:r>
      <w:r w:rsidRPr="00094BA1">
        <w:rPr>
          <w:lang w:val="en-US"/>
        </w:rPr>
        <w:t xml:space="preserve"> 86</w:t>
      </w:r>
      <w:r>
        <w:rPr>
          <w:lang w:val="en-US"/>
        </w:rPr>
        <w:t>,</w:t>
      </w:r>
      <w:r w:rsidRPr="00094BA1">
        <w:rPr>
          <w:lang w:val="en-US"/>
        </w:rPr>
        <w:t>462</w:t>
      </w:r>
    </w:p>
    <w:p w14:paraId="05020EE0" w14:textId="77777777" w:rsidR="00094BA1" w:rsidRDefault="00094BA1" w:rsidP="00094BA1">
      <w:pPr>
        <w:rPr>
          <w:b/>
          <w:bCs/>
          <w:lang w:val="en-US"/>
        </w:rPr>
      </w:pPr>
    </w:p>
    <w:p w14:paraId="2ABE5599" w14:textId="77777777" w:rsidR="00094BA1" w:rsidRPr="00094BA1" w:rsidRDefault="00094BA1" w:rsidP="00094BA1">
      <w:pPr>
        <w:rPr>
          <w:b/>
          <w:bCs/>
        </w:rPr>
      </w:pPr>
      <w:r w:rsidRPr="00094BA1">
        <w:rPr>
          <w:b/>
          <w:bCs/>
        </w:rPr>
        <w:t>Hallazgos Clave</w:t>
      </w:r>
    </w:p>
    <w:p w14:paraId="62E6A6EC" w14:textId="608C94A0" w:rsidR="00094BA1" w:rsidRPr="00094BA1" w:rsidRDefault="00094BA1" w:rsidP="00094BA1">
      <w:pPr>
        <w:numPr>
          <w:ilvl w:val="0"/>
          <w:numId w:val="3"/>
        </w:numPr>
        <w:rPr>
          <w:b/>
          <w:bCs/>
        </w:rPr>
      </w:pPr>
      <w:r w:rsidRPr="00094BA1">
        <w:rPr>
          <w:b/>
          <w:bCs/>
        </w:rPr>
        <w:t xml:space="preserve">Tendencia Central: </w:t>
      </w:r>
      <w:r w:rsidRPr="00094BA1">
        <w:t xml:space="preserve">La media municipal proyectada se ubica en </w:t>
      </w:r>
      <m:oMath>
        <m:r>
          <w:rPr>
            <w:rFonts w:ascii="Cambria Math" w:hAnsi="Cambria Math"/>
          </w:rPr>
          <m:t>45.31%</m:t>
        </m:r>
      </m:oMath>
      <w:r w:rsidRPr="00094BA1">
        <w:t xml:space="preserve">, con una mediana de </w:t>
      </w:r>
      <m:oMath>
        <m:r>
          <w:rPr>
            <w:rFonts w:ascii="Cambria Math" w:hAnsi="Cambria Math"/>
          </w:rPr>
          <m:t>47.03%</m:t>
        </m:r>
      </m:oMath>
      <w:r w:rsidRPr="00094BA1">
        <w:t>.</w:t>
      </w:r>
    </w:p>
    <w:p w14:paraId="459E8B7E" w14:textId="102AD3EE" w:rsidR="00094BA1" w:rsidRPr="00094BA1" w:rsidRDefault="00094BA1" w:rsidP="00094BA1">
      <w:pPr>
        <w:numPr>
          <w:ilvl w:val="0"/>
          <w:numId w:val="3"/>
        </w:numPr>
      </w:pPr>
      <w:r w:rsidRPr="00094BA1">
        <w:rPr>
          <w:b/>
          <w:bCs/>
        </w:rPr>
        <w:t xml:space="preserve">Dispersión Regional: </w:t>
      </w:r>
      <w:r w:rsidRPr="00094BA1">
        <w:t xml:space="preserve">Muestra un rango amplio desde un mínimo de </w:t>
      </w:r>
      <m:oMath>
        <m:r>
          <w:rPr>
            <w:rFonts w:ascii="Cambria Math" w:hAnsi="Cambria Math"/>
          </w:rPr>
          <m:t>1.75%</m:t>
        </m:r>
      </m:oMath>
      <w:r w:rsidRPr="00094BA1">
        <w:t xml:space="preserve"> (centros urbanos hiperdesarrollados) hasta un máximo del </w:t>
      </w:r>
      <m:oMath>
        <m:r>
          <w:rPr>
            <w:rFonts w:ascii="Cambria Math" w:hAnsi="Cambria Math"/>
          </w:rPr>
          <m:t>86.46%</m:t>
        </m:r>
      </m:oMath>
      <w:r w:rsidRPr="00094BA1">
        <w:t xml:space="preserve"> en zonas con severas privaciones estructurales.</w:t>
      </w:r>
    </w:p>
    <w:p w14:paraId="6E5A3FDB" w14:textId="3D74E548" w:rsidR="00094BA1" w:rsidRPr="00094BA1" w:rsidRDefault="00094BA1" w:rsidP="00094BA1">
      <w:pPr>
        <w:numPr>
          <w:ilvl w:val="0"/>
          <w:numId w:val="3"/>
        </w:numPr>
      </w:pPr>
      <w:r w:rsidRPr="00094BA1">
        <w:rPr>
          <w:b/>
          <w:bCs/>
        </w:rPr>
        <w:lastRenderedPageBreak/>
        <w:t xml:space="preserve">Intervalo Intercuartílico: </w:t>
      </w:r>
      <w:r w:rsidRPr="00094BA1">
        <w:t xml:space="preserve">El </w:t>
      </w:r>
      <m:oMath>
        <m:r>
          <w:rPr>
            <w:rFonts w:ascii="Cambria Math" w:hAnsi="Cambria Math"/>
          </w:rPr>
          <m:t>50%</m:t>
        </m:r>
      </m:oMath>
      <w:r w:rsidRPr="00094BA1">
        <w:t xml:space="preserve"> de los municipios del país registra niveles de IPM proyectado entre </w:t>
      </w:r>
      <m:oMath>
        <m:r>
          <w:rPr>
            <w:rFonts w:ascii="Cambria Math" w:hAnsi="Cambria Math"/>
          </w:rPr>
          <m:t>37.82%</m:t>
        </m:r>
      </m:oMath>
      <w:r w:rsidRPr="00094BA1">
        <w:t xml:space="preserve"> y </w:t>
      </w:r>
      <m:oMath>
        <m:r>
          <w:rPr>
            <w:rFonts w:ascii="Cambria Math" w:hAnsi="Cambria Math"/>
          </w:rPr>
          <m:t>54.30%</m:t>
        </m:r>
      </m:oMath>
      <w:r w:rsidRPr="00094BA1">
        <w:t>.</w:t>
      </w:r>
    </w:p>
    <w:p w14:paraId="6EDE9D55" w14:textId="77777777" w:rsidR="00094BA1" w:rsidRPr="00094BA1" w:rsidRDefault="00094BA1" w:rsidP="00094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094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3. Fase 3: Calibración y Consistencia Macro (Modelo vs. DANE)</w:t>
      </w:r>
    </w:p>
    <w:p w14:paraId="6D46BEE3" w14:textId="77777777" w:rsidR="00094BA1" w:rsidRPr="00094BA1" w:rsidRDefault="00094BA1" w:rsidP="0009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94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Para validar la precisión del proceso de aceleración espacial y ponderación demográfica, se compararon las agregaciones del modelo contra la publicación oficial del IPM Departamental DANE para el periodo 2024.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1679"/>
        <w:gridCol w:w="1759"/>
        <w:gridCol w:w="2184"/>
        <w:gridCol w:w="1896"/>
      </w:tblGrid>
      <w:tr w:rsidR="00094BA1" w:rsidRPr="00094BA1" w14:paraId="5DF53E4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3E9E7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Código Depto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0EE4D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Departamento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2E055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IPM Oficial DANE (%)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4E6FD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IPM Agregado Modelo (%)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EE1DAD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Diferencia Absoluta</w:t>
            </w:r>
          </w:p>
        </w:tc>
      </w:tr>
      <w:tr w:rsidR="00094BA1" w:rsidRPr="00094BA1" w14:paraId="4528AC9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4029D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5176E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ANTIOQUIA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09AFF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10.9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6FFC7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10.9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EF58A6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−1.78×10−15</w:t>
            </w:r>
          </w:p>
        </w:tc>
      </w:tr>
      <w:tr w:rsidR="00094BA1" w:rsidRPr="00094BA1" w14:paraId="4F50C63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250AF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E2103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ATLANTICO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56F52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9.5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C60BF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9.5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875EC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−1.78×10−15</w:t>
            </w:r>
          </w:p>
        </w:tc>
      </w:tr>
      <w:tr w:rsidR="00094BA1" w:rsidRPr="00094BA1" w14:paraId="09CC1AB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0D989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64765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BOGOTA D.C.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DB360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5.4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740DE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5.4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05A11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0</w:t>
            </w:r>
          </w:p>
        </w:tc>
      </w:tr>
      <w:tr w:rsidR="00094BA1" w:rsidRPr="00094BA1" w14:paraId="708FF66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99E77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14014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BOLIVAR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41B0D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15.6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EAF1F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15.6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50F33B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−1.78×10−15</w:t>
            </w:r>
          </w:p>
        </w:tc>
      </w:tr>
      <w:tr w:rsidR="00094BA1" w:rsidRPr="00094BA1" w14:paraId="69933AB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C8A55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3D2A4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BOYACA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4CFC5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6.9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38B82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6.9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BFD5A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0</w:t>
            </w:r>
          </w:p>
        </w:tc>
      </w:tr>
      <w:tr w:rsidR="00094BA1" w:rsidRPr="00094BA1" w14:paraId="07D082E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144B8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61B6F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CALDAS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7744C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9.2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574ED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9.2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3A8D4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+1.78×10−15</w:t>
            </w:r>
          </w:p>
        </w:tc>
      </w:tr>
      <w:tr w:rsidR="00094BA1" w:rsidRPr="00094BA1" w14:paraId="63A3F97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A2F4E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5B24F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CAQUETA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6348D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13.9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AD35F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13.9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BCEA9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0</w:t>
            </w:r>
          </w:p>
        </w:tc>
      </w:tr>
      <w:tr w:rsidR="00094BA1" w:rsidRPr="00094BA1" w14:paraId="271A850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73748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09D33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CAUCA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B716A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AB8B7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D09B7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0</w:t>
            </w:r>
          </w:p>
        </w:tc>
      </w:tr>
      <w:tr w:rsidR="00094BA1" w:rsidRPr="00094BA1" w14:paraId="656B162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E2553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ABB70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CESAR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5B32B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13.4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75FA6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13.4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D33DA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−3.55×10−15</w:t>
            </w:r>
          </w:p>
        </w:tc>
      </w:tr>
      <w:tr w:rsidR="00094BA1" w:rsidRPr="00094BA1" w14:paraId="61ACD9F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D957B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C7C2E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CORDOBA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4CB27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25.7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253DC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25.7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57FDB6" w14:textId="77777777" w:rsidR="00094BA1" w:rsidRPr="00094BA1" w:rsidRDefault="00094BA1" w:rsidP="00094BA1">
            <w:pPr>
              <w:rPr>
                <w:b/>
                <w:bCs/>
              </w:rPr>
            </w:pPr>
            <w:r w:rsidRPr="00094BA1">
              <w:rPr>
                <w:b/>
                <w:bCs/>
              </w:rPr>
              <w:t>0</w:t>
            </w:r>
          </w:p>
        </w:tc>
      </w:tr>
    </w:tbl>
    <w:p w14:paraId="2794FE12" w14:textId="77777777" w:rsidR="00094BA1" w:rsidRDefault="00094BA1" w:rsidP="00094BA1">
      <w:pPr>
        <w:rPr>
          <w:b/>
          <w:bCs/>
        </w:rPr>
      </w:pPr>
    </w:p>
    <w:p w14:paraId="26842C62" w14:textId="77777777" w:rsidR="00094BA1" w:rsidRDefault="00094BA1" w:rsidP="00094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94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Las diferencias en el orden de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  <m:t>-15</m:t>
            </m:r>
          </m:sup>
        </m:sSup>
      </m:oMath>
      <w:r w:rsidRPr="00094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son desviaciones por precisión de punto flotante de la máquina. Esto confirma la exactitud matemática del factor de ajuste post-estimación y la consistencia macroeconómica del modelo.</w:t>
      </w:r>
    </w:p>
    <w:p w14:paraId="0B62DB5B" w14:textId="77777777" w:rsidR="007E19D4" w:rsidRDefault="007E19D4" w:rsidP="00094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E7002AF" w14:textId="77777777" w:rsidR="007E19D4" w:rsidRDefault="007E19D4" w:rsidP="00094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7EB8B71" w14:textId="77777777" w:rsidR="007E19D4" w:rsidRDefault="007E19D4" w:rsidP="00094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3F7BF3A" w14:textId="77777777" w:rsidR="007E19D4" w:rsidRDefault="007E19D4" w:rsidP="00094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5EDD008" w14:textId="77777777" w:rsidR="007E19D4" w:rsidRDefault="007E19D4" w:rsidP="00094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DEFAD19" w14:textId="77777777" w:rsidR="007E19D4" w:rsidRDefault="007E19D4" w:rsidP="00094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DA871A9" w14:textId="77777777" w:rsidR="007E19D4" w:rsidRPr="007E19D4" w:rsidRDefault="007E19D4" w:rsidP="007E19D4">
      <w:pPr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E19D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Aquí tienes la evaluación metodológica y econométrica detallada para responder a cada una de tus preguntas con los resultados obtenidos, junto con una propuesta gráfica para visualizarlos.</w:t>
      </w:r>
    </w:p>
    <w:p w14:paraId="621D30F1" w14:textId="77777777" w:rsidR="007E19D4" w:rsidRPr="007E19D4" w:rsidRDefault="007E19D4" w:rsidP="007E19D4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E19D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1. ¿Cómo saber si el modelo predice de manera correcta la pobreza municipal?</w:t>
      </w:r>
    </w:p>
    <w:p w14:paraId="14EB7182" w14:textId="77777777" w:rsidR="007E19D4" w:rsidRPr="007E19D4" w:rsidRDefault="007E19D4" w:rsidP="007E19D4">
      <w:pPr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E19D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Para comprobar la validez predictiva a nivel municipal (pequeñas áreas) disponemos de </w:t>
      </w:r>
      <w:r w:rsidRPr="007E19D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tres evidencias estadísticas directas</w:t>
      </w:r>
      <w:r w:rsidRPr="007E19D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 las salidas del modelo:</w:t>
      </w:r>
    </w:p>
    <w:p w14:paraId="276E478B" w14:textId="77777777" w:rsidR="007E19D4" w:rsidRPr="007E19D4" w:rsidRDefault="007E19D4" w:rsidP="007E19D4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E19D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Reducción sustancial del Criterio de Información Akaike (AIC):</w:t>
      </w:r>
    </w:p>
    <w:p w14:paraId="4CBB65A1" w14:textId="7587F4BE" w:rsidR="007E19D4" w:rsidRPr="007E19D4" w:rsidRDefault="007E19D4" w:rsidP="007E19D4">
      <w:pPr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E19D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Modelo OLS (sin espacio):</w:t>
      </w:r>
      <w:r w:rsidRPr="007E19D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s-CO"/>
            <w14:ligatures w14:val="none"/>
          </w:rPr>
          <m:t>AIC=2083.1</m:t>
        </m:r>
      </m:oMath>
    </w:p>
    <w:p w14:paraId="4C36ABED" w14:textId="052753C4" w:rsidR="007E19D4" w:rsidRPr="007E19D4" w:rsidRDefault="007E19D4" w:rsidP="007E19D4">
      <w:pPr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E19D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Modelo Espacial (SAR):</w:t>
      </w:r>
      <w:r w:rsidRPr="007E19D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s-CO"/>
            <w14:ligatures w14:val="none"/>
          </w:rPr>
          <m:t>AIC=1385.2</m:t>
        </m:r>
      </m:oMath>
    </w:p>
    <w:p w14:paraId="686E8627" w14:textId="3A67CCB1" w:rsidR="007E19D4" w:rsidRPr="007E19D4" w:rsidRDefault="007E19D4" w:rsidP="007E19D4">
      <w:pPr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E19D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Ganancia:</w:t>
      </w:r>
      <w:r w:rsidRPr="007E19D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Una reducción de </w:t>
      </w:r>
      <m:oMath>
        <m:r>
          <w:rPr>
            <w:rFonts w:ascii="Cambria Math" w:eastAsia="Times New Roman" w:hAnsi="Cambria Math" w:cs="Times New Roman"/>
            <w:kern w:val="0"/>
            <w:lang w:eastAsia="es-CO"/>
            <w14:ligatures w14:val="none"/>
          </w:rPr>
          <m:t>697.9</m:t>
        </m:r>
      </m:oMath>
      <w:r w:rsidRPr="007E19D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puntos</w:t>
      </w:r>
      <w:r w:rsidRPr="007E19D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 el AIC indica que incorporar la estructura geográfica y las covariables </w:t>
      </w:r>
      <w:proofErr w:type="spellStart"/>
      <w:r w:rsidRPr="007E19D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multidimensiones</w:t>
      </w:r>
      <w:proofErr w:type="spellEnd"/>
      <w:r w:rsidRPr="007E19D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mejora radicalmente la capacidad explicativa y predictiva del modelo frente a un modelo estadístico lineal clásico.</w:t>
      </w:r>
    </w:p>
    <w:p w14:paraId="731D64F3" w14:textId="77777777" w:rsidR="007E19D4" w:rsidRPr="007E19D4" w:rsidRDefault="007E19D4" w:rsidP="007E19D4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E19D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Varianza Residual Contenida:</w:t>
      </w:r>
    </w:p>
    <w:p w14:paraId="49B6B5DD" w14:textId="7AD4A37D" w:rsidR="007E19D4" w:rsidRPr="007E19D4" w:rsidRDefault="007E19D4" w:rsidP="007E19D4">
      <w:pPr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E19D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varianza residual por Máxima Verosimilitud es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s-CO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s-CO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s-CO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s-CO"/>
            <w14:ligatures w14:val="none"/>
          </w:rPr>
          <m:t>=0.1796</m:t>
        </m:r>
      </m:oMath>
      <w:r w:rsidRPr="007E19D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lang w:eastAsia="es-CO"/>
            <w14:ligatures w14:val="none"/>
          </w:rPr>
          <m:t>σ=0.4238</m:t>
        </m:r>
      </m:oMath>
      <w:r w:rsidRPr="007E19D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). Esto demuestra que los errores de predicción intra-municipal son bajos y están acotados en una escala logarítmica/estandarizada del IPM.</w:t>
      </w:r>
    </w:p>
    <w:p w14:paraId="016BB53B" w14:textId="77777777" w:rsidR="007E19D4" w:rsidRPr="007E19D4" w:rsidRDefault="007E19D4" w:rsidP="007E19D4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E19D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Consistencia Macro en la Agregación (Fase 3):</w:t>
      </w:r>
    </w:p>
    <w:p w14:paraId="1C145906" w14:textId="034671F7" w:rsidR="007E19D4" w:rsidRPr="007E19D4" w:rsidRDefault="007E19D4" w:rsidP="007E19D4">
      <w:pPr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E19D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Al agregar espacial y demográficamente las predicciones municipales hacia el nivel departamental, las diferencias contra la cifra oficial del DANE fueron de orden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s-CO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s-CO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s-CO"/>
                <w14:ligatures w14:val="none"/>
              </w:rPr>
              <m:t>-15</m:t>
            </m:r>
          </m:sup>
        </m:sSup>
      </m:oMath>
      <w:r w:rsidRPr="007E19D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(cero práctico). Esto garantiza que el modelo </w:t>
      </w:r>
      <w:r w:rsidRPr="007E19D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 presenta sesgo de agregación (</w:t>
      </w:r>
      <w:proofErr w:type="spellStart"/>
      <w:r w:rsidRPr="007E19D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Ecological</w:t>
      </w:r>
      <w:proofErr w:type="spellEnd"/>
      <w:r w:rsidRPr="007E19D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E19D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Fallacy</w:t>
      </w:r>
      <w:proofErr w:type="spellEnd"/>
      <w:r w:rsidRPr="007E19D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</w:t>
      </w:r>
      <w:r w:rsidRPr="007E19D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preserva la masa total de pobreza observada en las encuestas de hogares.</w:t>
      </w:r>
    </w:p>
    <w:p w14:paraId="65D58DD5" w14:textId="77777777" w:rsidR="007E19D4" w:rsidRDefault="007E19D4" w:rsidP="00094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C38B642" w14:textId="77777777" w:rsidR="007E19D4" w:rsidRPr="007E19D4" w:rsidRDefault="007E19D4" w:rsidP="007E19D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  <w:r w:rsidRPr="007E19D4"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  <w:t>2. ¿Cómo saber si el modelo captura la correlación geográfica intermunicipal?</w:t>
      </w:r>
    </w:p>
    <w:p w14:paraId="76B4A737" w14:textId="77777777" w:rsidR="007E19D4" w:rsidRPr="007E19D4" w:rsidRDefault="007E19D4" w:rsidP="007E19D4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19D4">
        <w:rPr>
          <w:rFonts w:ascii="Arial" w:eastAsia="Times New Roman" w:hAnsi="Arial" w:cs="Arial"/>
          <w:kern w:val="0"/>
          <w:lang w:eastAsia="es-CO"/>
          <w14:ligatures w14:val="none"/>
        </w:rPr>
        <w:t xml:space="preserve">La evidencia de la captura de la dependencia espacial se confirma en </w:t>
      </w:r>
      <w:r w:rsidRPr="007E19D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dos parámetros clave</w:t>
      </w:r>
      <w:r w:rsidRPr="007E19D4">
        <w:rPr>
          <w:rFonts w:ascii="Arial" w:eastAsia="Times New Roman" w:hAnsi="Arial" w:cs="Arial"/>
          <w:kern w:val="0"/>
          <w:lang w:eastAsia="es-CO"/>
          <w14:ligatures w14:val="none"/>
        </w:rPr>
        <w:t>:</w:t>
      </w:r>
    </w:p>
    <w:p w14:paraId="0B7FCD63" w14:textId="77777777" w:rsidR="007E19D4" w:rsidRPr="007E19D4" w:rsidRDefault="007E19D4" w:rsidP="007E19D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19D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Parámetro </w:t>
      </w:r>
      <m:oMath>
        <m:r>
          <w:rPr>
            <w:rFonts w:ascii="Cambria Math" w:eastAsia="Times New Roman" w:hAnsi="Cambria Math" w:cs="Arial"/>
            <w:kern w:val="0"/>
            <w:lang w:eastAsia="es-CO"/>
            <w14:ligatures w14:val="none"/>
          </w:rPr>
          <m:t>ρ</m:t>
        </m:r>
      </m:oMath>
      <w:r w:rsidRPr="007E19D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(Autocorrelación Espacial):</w:t>
      </w:r>
    </w:p>
    <w:p w14:paraId="40F711BA" w14:textId="77777777" w:rsidR="007E19D4" w:rsidRPr="007E19D4" w:rsidRDefault="007E19D4" w:rsidP="007E19D4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es-CO"/>
          <w14:ligatures w14:val="none"/>
        </w:rPr>
      </w:pPr>
      <m:oMathPara>
        <m:oMath>
          <m:acc>
            <m:accPr>
              <m:chr m:val="ˆ"/>
              <m:ctrlPr>
                <w:rPr>
                  <w:rFonts w:ascii="Cambria Math" w:eastAsia="Times New Roman" w:hAnsi="Cambria Math" w:cs="Arial"/>
                  <w:kern w:val="0"/>
                  <w:lang w:eastAsia="es-CO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Arial"/>
                  <w:kern w:val="0"/>
                  <w:lang w:eastAsia="es-CO"/>
                  <w14:ligatures w14:val="none"/>
                </w:rPr>
                <m:t>ρ</m:t>
              </m:r>
            </m:e>
          </m:acc>
          <m:r>
            <w:rPr>
              <w:rFonts w:ascii="Cambria Math" w:eastAsia="Times New Roman" w:hAnsi="Cambria Math" w:cs="Arial"/>
              <w:kern w:val="0"/>
              <w:lang w:eastAsia="es-CO"/>
              <w14:ligatures w14:val="none"/>
            </w:rPr>
            <m:t>=0.6726</m:t>
          </m:r>
          <m:r>
            <w:rPr>
              <w:rFonts w:ascii="Cambria Math" w:eastAsia="Times New Roman" w:hAnsi="Cambria Math" w:cs="Arial"/>
              <w:i/>
              <w:kern w:val="0"/>
              <w:lang w:eastAsia="es-CO"/>
              <w14:ligatures w14:val="none"/>
            </w:rPr>
            <m:t> 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:lang w:eastAsia="es-CO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:lang w:eastAsia="es-CO"/>
                  <w14:ligatures w14:val="none"/>
                </w:rPr>
                <m:t>z=31.755, p&lt;2.22×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:lang w:eastAsia="es-CO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s-CO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:lang w:eastAsia="es-CO"/>
                      <w14:ligatures w14:val="none"/>
                    </w:rPr>
                    <m:t>-16</m:t>
                  </m:r>
                </m:sup>
              </m:sSup>
            </m:e>
          </m:d>
        </m:oMath>
      </m:oMathPara>
    </w:p>
    <w:p w14:paraId="616FE057" w14:textId="77777777" w:rsidR="007E19D4" w:rsidRPr="007E19D4" w:rsidRDefault="007E19D4" w:rsidP="007E19D4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19D4">
        <w:rPr>
          <w:rFonts w:ascii="Arial" w:eastAsia="Times New Roman" w:hAnsi="Arial" w:cs="Arial"/>
          <w:kern w:val="0"/>
          <w:lang w:eastAsia="es-CO"/>
          <w14:ligatures w14:val="none"/>
        </w:rPr>
        <w:t xml:space="preserve">Un </w:t>
      </w:r>
      <m:oMath>
        <m:acc>
          <m:accPr>
            <m:chr m:val="ˆ"/>
            <m:ctrlP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  <m:t>ρ</m:t>
            </m:r>
          </m:e>
        </m:acc>
      </m:oMath>
      <w:r w:rsidRPr="007E19D4">
        <w:rPr>
          <w:rFonts w:ascii="Arial" w:eastAsia="Times New Roman" w:hAnsi="Arial" w:cs="Arial"/>
          <w:kern w:val="0"/>
          <w:lang w:eastAsia="es-CO"/>
          <w14:ligatures w14:val="none"/>
        </w:rPr>
        <w:t xml:space="preserve"> de </w:t>
      </w:r>
      <m:oMath>
        <m:r>
          <w:rPr>
            <w:rFonts w:ascii="Cambria Math" w:eastAsia="Times New Roman" w:hAnsi="Cambria Math" w:cs="Arial"/>
            <w:kern w:val="0"/>
            <w:lang w:eastAsia="es-CO"/>
            <w14:ligatures w14:val="none"/>
          </w:rPr>
          <m:t>0.6726</m:t>
        </m:r>
      </m:oMath>
      <w:r w:rsidRPr="007E19D4">
        <w:rPr>
          <w:rFonts w:ascii="Arial" w:eastAsia="Times New Roman" w:hAnsi="Arial" w:cs="Arial"/>
          <w:kern w:val="0"/>
          <w:lang w:eastAsia="es-CO"/>
          <w14:ligatures w14:val="none"/>
        </w:rPr>
        <w:t xml:space="preserve"> altamente significativo confirma que la pobreza de un municipio depende en más de un </w:t>
      </w:r>
      <m:oMath>
        <m:r>
          <w:rPr>
            <w:rFonts w:ascii="Cambria Math" w:eastAsia="Times New Roman" w:hAnsi="Cambria Math" w:cs="Arial"/>
            <w:kern w:val="0"/>
            <w:lang w:eastAsia="es-CO"/>
            <w14:ligatures w14:val="none"/>
          </w:rPr>
          <m:t>67%</m:t>
        </m:r>
      </m:oMath>
      <w:r w:rsidRPr="007E19D4">
        <w:rPr>
          <w:rFonts w:ascii="Arial" w:eastAsia="Times New Roman" w:hAnsi="Arial" w:cs="Arial"/>
          <w:kern w:val="0"/>
          <w:lang w:eastAsia="es-CO"/>
          <w14:ligatures w14:val="none"/>
        </w:rPr>
        <w:t xml:space="preserve"> del promedio ponderado de la pobreza de sus vecinos inmediatos. El modelo incorpora explícitamente este "efecto contagio" o "spillover" a través de la matriz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kern w:val="0"/>
                    <w:lang w:eastAsia="es-CO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kern w:val="0"/>
                    <w:lang w:eastAsia="es-CO"/>
                    <w14:ligatures w14:val="none"/>
                  </w:rPr>
                  <m:t>I-</m:t>
                </m:r>
                <m:acc>
                  <m:accPr>
                    <m:chr m:val="ˆ"/>
                    <m:ctrlPr>
                      <w:rPr>
                        <w:rFonts w:ascii="Cambria Math" w:eastAsia="Times New Roman" w:hAnsi="Cambria Math" w:cs="Arial"/>
                        <w:kern w:val="0"/>
                        <w:lang w:eastAsia="es-CO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Arial"/>
                        <w:kern w:val="0"/>
                        <w:lang w:eastAsia="es-CO"/>
                        <w14:ligatures w14:val="none"/>
                      </w:rPr>
                      <m:t>ρ</m:t>
                    </m:r>
                  </m:e>
                </m:acc>
                <m:r>
                  <w:rPr>
                    <w:rFonts w:ascii="Cambria Math" w:eastAsia="Times New Roman" w:hAnsi="Cambria Math" w:cs="Arial"/>
                    <w:kern w:val="0"/>
                    <w:lang w:eastAsia="es-CO"/>
                    <w14:ligatures w14:val="none"/>
                  </w:rPr>
                  <m:t>W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  <m:t>-1</m:t>
            </m:r>
          </m:sup>
        </m:sSup>
      </m:oMath>
      <w:r w:rsidRPr="007E19D4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</w:p>
    <w:p w14:paraId="1BFE464B" w14:textId="77777777" w:rsidR="007E19D4" w:rsidRPr="007E19D4" w:rsidRDefault="007E19D4" w:rsidP="007E19D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19D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Prueba LM sobre Residuales del Modelo Espacial:</w:t>
      </w:r>
    </w:p>
    <w:p w14:paraId="04DB792D" w14:textId="77777777" w:rsidR="007E19D4" w:rsidRPr="007E19D4" w:rsidRDefault="007E19D4" w:rsidP="007E19D4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es-CO"/>
          <w14:ligatures w14:val="none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kern w:val="0"/>
              <w:lang w:eastAsia="es-CO"/>
              <w14:ligatures w14:val="none"/>
            </w:rPr>
            <w:lastRenderedPageBreak/>
            <m:t>LM test </m:t>
          </m:r>
          <w:proofErr w:type="spellStart"/>
          <m:r>
            <m:rPr>
              <m:nor/>
            </m:rPr>
            <w:rPr>
              <w:rFonts w:ascii="Arial" w:eastAsia="Times New Roman" w:hAnsi="Arial" w:cs="Arial"/>
              <w:kern w:val="0"/>
              <w:lang w:eastAsia="es-CO"/>
              <w14:ligatures w14:val="none"/>
            </w:rPr>
            <m:t>value</m:t>
          </m:r>
          <w:proofErr w:type="spellEnd"/>
          <m:r>
            <w:rPr>
              <w:rFonts w:ascii="Cambria Math" w:eastAsia="Times New Roman" w:hAnsi="Cambria Math" w:cs="Arial"/>
              <w:kern w:val="0"/>
              <w:lang w:eastAsia="es-CO"/>
              <w14:ligatures w14:val="none"/>
            </w:rPr>
            <m:t>=1.5988</m:t>
          </m:r>
          <m:r>
            <w:rPr>
              <w:rFonts w:ascii="Cambria Math" w:eastAsia="Times New Roman" w:hAnsi="Cambria Math" w:cs="Arial"/>
              <w:i/>
              <w:kern w:val="0"/>
              <w:lang w:eastAsia="es-CO"/>
              <w14:ligatures w14:val="none"/>
            </w:rPr>
            <m:t> 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:lang w:eastAsia="es-CO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:lang w:eastAsia="es-CO"/>
                  <w14:ligatures w14:val="none"/>
                </w:rPr>
                <m:t>p=0.20607</m:t>
              </m:r>
            </m:e>
          </m:d>
        </m:oMath>
      </m:oMathPara>
    </w:p>
    <w:p w14:paraId="72C46339" w14:textId="77777777" w:rsidR="007E19D4" w:rsidRPr="007E19D4" w:rsidRDefault="007E19D4" w:rsidP="007E19D4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19D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Resultado:</w:t>
      </w:r>
      <w:r w:rsidRPr="007E19D4">
        <w:rPr>
          <w:rFonts w:ascii="Arial" w:eastAsia="Times New Roman" w:hAnsi="Arial" w:cs="Arial"/>
          <w:kern w:val="0"/>
          <w:lang w:eastAsia="es-CO"/>
          <w14:ligatures w14:val="none"/>
        </w:rPr>
        <w:t xml:space="preserve"> Dado que </w:t>
      </w:r>
      <w:proofErr w:type="spellStart"/>
      <w:r w:rsidRPr="007E19D4">
        <w:rPr>
          <w:rFonts w:ascii="Arial" w:eastAsia="Times New Roman" w:hAnsi="Arial" w:cs="Arial"/>
          <w:kern w:val="0"/>
          <w:lang w:eastAsia="es-CO"/>
          <w14:ligatures w14:val="none"/>
        </w:rPr>
        <w:t>el</w:t>
      </w:r>
      <w:proofErr w:type="spellEnd"/>
      <w:r w:rsidRPr="007E19D4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:lang w:eastAsia="es-CO"/>
            <w14:ligatures w14:val="none"/>
          </w:rPr>
          <m:t>p</m:t>
        </m:r>
      </m:oMath>
      <w:r w:rsidRPr="007E19D4">
        <w:rPr>
          <w:rFonts w:ascii="Arial" w:eastAsia="Times New Roman" w:hAnsi="Arial" w:cs="Arial"/>
          <w:kern w:val="0"/>
          <w:lang w:eastAsia="es-CO"/>
          <w14:ligatures w14:val="none"/>
        </w:rPr>
        <w:t xml:space="preserve">-valor es mayor a </w:t>
      </w:r>
      <m:oMath>
        <m:r>
          <w:rPr>
            <w:rFonts w:ascii="Cambria Math" w:eastAsia="Times New Roman" w:hAnsi="Cambria Math" w:cs="Arial"/>
            <w:kern w:val="0"/>
            <w:lang w:eastAsia="es-CO"/>
            <w14:ligatures w14:val="none"/>
          </w:rPr>
          <m:t>0.05</m:t>
        </m:r>
      </m:oMath>
      <w:r w:rsidRPr="007E19D4">
        <w:rPr>
          <w:rFonts w:ascii="Arial" w:eastAsia="Times New Roman" w:hAnsi="Arial" w:cs="Arial"/>
          <w:kern w:val="0"/>
          <w:lang w:eastAsia="es-CO"/>
          <w14:ligatures w14:val="none"/>
        </w:rPr>
        <w:t xml:space="preserve">, </w:t>
      </w:r>
      <w:r w:rsidRPr="007E19D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no se rechaza la hipótesis nula de ausencia de autocorrelación en los residuos</w:t>
      </w:r>
      <w:r w:rsidRPr="007E19D4">
        <w:rPr>
          <w:rFonts w:ascii="Arial" w:eastAsia="Times New Roman" w:hAnsi="Arial" w:cs="Arial"/>
          <w:kern w:val="0"/>
          <w:lang w:eastAsia="es-CO"/>
          <w14:ligatures w14:val="none"/>
        </w:rPr>
        <w:t>. Esto demuestra que el término de retardo espacial (</w:t>
      </w:r>
      <m:oMath>
        <m:r>
          <w:rPr>
            <w:rFonts w:ascii="Cambria Math" w:eastAsia="Times New Roman" w:hAnsi="Cambria Math" w:cs="Arial"/>
            <w:kern w:val="0"/>
            <w:lang w:eastAsia="es-CO"/>
            <w14:ligatures w14:val="none"/>
          </w:rPr>
          <m:t>ρWy</m:t>
        </m:r>
      </m:oMath>
      <w:r w:rsidRPr="007E19D4">
        <w:rPr>
          <w:rFonts w:ascii="Arial" w:eastAsia="Times New Roman" w:hAnsi="Arial" w:cs="Arial"/>
          <w:kern w:val="0"/>
          <w:lang w:eastAsia="es-CO"/>
          <w14:ligatures w14:val="none"/>
        </w:rPr>
        <w:t xml:space="preserve">) </w:t>
      </w:r>
      <w:r w:rsidRPr="007E19D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absorbió exitosamente el 100% de la estructura de dependencia geográfica intermunicipal</w:t>
      </w:r>
      <w:r w:rsidRPr="007E19D4">
        <w:rPr>
          <w:rFonts w:ascii="Arial" w:eastAsia="Times New Roman" w:hAnsi="Arial" w:cs="Arial"/>
          <w:kern w:val="0"/>
          <w:lang w:eastAsia="es-CO"/>
          <w14:ligatures w14:val="none"/>
        </w:rPr>
        <w:t>, dejando los errores limpios de patrón espacial.</w:t>
      </w:r>
    </w:p>
    <w:p w14:paraId="1CEADB74" w14:textId="77777777" w:rsidR="007E19D4" w:rsidRPr="007E19D4" w:rsidRDefault="007E19D4" w:rsidP="007E19D4">
      <w:pPr>
        <w:pStyle w:val="Prrafodelista"/>
        <w:numPr>
          <w:ilvl w:val="0"/>
          <w:numId w:val="5"/>
        </w:num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  <w:r w:rsidRPr="007E19D4"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  <w:t>3. ¿Cuáles son las variables de mayor poder explicativo?</w:t>
      </w:r>
    </w:p>
    <w:p w14:paraId="78F1AC42" w14:textId="77777777" w:rsidR="007E19D4" w:rsidRPr="007E19D4" w:rsidRDefault="007E19D4" w:rsidP="007E19D4">
      <w:pPr>
        <w:pStyle w:val="Prrafodelista"/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19D4">
        <w:rPr>
          <w:rFonts w:ascii="Arial" w:eastAsia="Times New Roman" w:hAnsi="Arial" w:cs="Arial"/>
          <w:kern w:val="0"/>
          <w:lang w:eastAsia="es-CO"/>
          <w14:ligatures w14:val="none"/>
        </w:rPr>
        <w:t>Ordenando las covariables por el valor absoluto de su estadístico de prueba (</w:t>
      </w:r>
      <m:oMath>
        <m:r>
          <w:rPr>
            <w:rFonts w:ascii="Cambria Math" w:eastAsia="Times New Roman" w:hAnsi="Cambria Math" w:cs="Arial"/>
            <w:kern w:val="0"/>
            <w:lang w:eastAsia="es-CO"/>
            <w14:ligatures w14:val="none"/>
          </w:rPr>
          <m:t>|z|</m:t>
        </m:r>
      </m:oMath>
      <w:r w:rsidRPr="007E19D4">
        <w:rPr>
          <w:rFonts w:ascii="Arial" w:eastAsia="Times New Roman" w:hAnsi="Arial" w:cs="Arial"/>
          <w:kern w:val="0"/>
          <w:lang w:eastAsia="es-CO"/>
          <w14:ligatures w14:val="none"/>
        </w:rPr>
        <w:t>), identificamos la importancia relativa en la determinación del IPM municipal: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971"/>
        <w:gridCol w:w="1604"/>
        <w:gridCol w:w="1593"/>
        <w:gridCol w:w="2353"/>
      </w:tblGrid>
      <w:tr w:rsidR="007E19D4" w:rsidRPr="007E19D4" w14:paraId="49870B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A45E0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Ranking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7A3C8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2D75E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Coeficiente (β^​)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D1553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Estadístico 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80BBD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Nivel de Impacto / Mecanismo</w:t>
            </w:r>
          </w:p>
        </w:tc>
      </w:tr>
      <w:tr w:rsidR="007E19D4" w:rsidRPr="007E19D4" w14:paraId="002D05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E5686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A2B2B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% Régimen Subsidiado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6FE51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es-CO"/>
                    <w14:ligatures w14:val="none"/>
                  </w:rPr>
                  <m:t>+0.9620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74045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es-CO"/>
                    <w14:ligatures w14:val="none"/>
                  </w:rPr>
                  <m:t>10.348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95E8C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Mayor indicador de vulnerabilidad:</w:t>
            </w:r>
            <w:r w:rsidRPr="007E19D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Un mayor porcentaje de población en régimen subsidiado incrementa fuertemente el IPM local.</w:t>
            </w:r>
          </w:p>
        </w:tc>
      </w:tr>
      <w:tr w:rsidR="007E19D4" w:rsidRPr="007E19D4" w14:paraId="49F9B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E23D1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0EE75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Tasa Matriculación (5-16 años)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8C516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es-CO"/>
                    <w14:ligatures w14:val="none"/>
                  </w:rPr>
                  <m:t>-0.8262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DBAE1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es-CO"/>
                    <w14:ligatures w14:val="none"/>
                  </w:rPr>
                  <m:t>-9.129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71411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Principal factor protector:</w:t>
            </w:r>
            <w:r w:rsidRPr="007E19D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Cobertura educativa alta reduce directamente la privación multidimensional.</w:t>
            </w:r>
          </w:p>
        </w:tc>
      </w:tr>
      <w:tr w:rsidR="007E19D4" w:rsidRPr="007E19D4" w14:paraId="6B33F1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020B7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3B386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m:oMath>
              <m:func>
                <m:funcPr>
                  <m:ctrlPr>
                    <w:rPr>
                      <w:rFonts w:ascii="Cambria Math" w:eastAsia="Times New Roman" w:hAnsi="Cambria Math" w:cs="Arial"/>
                      <w:kern w:val="0"/>
                      <w:lang w:eastAsia="es-CO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:lang w:eastAsia="es-CO"/>
                      <w14:ligatures w14:val="none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kern w:val="0"/>
                          <w:lang w:eastAsia="es-CO"/>
                          <w14:ligatures w14:val="none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kern w:val="0"/>
                          <w:lang w:eastAsia="es-CO"/>
                          <w14:ligatures w14:val="none"/>
                        </w:rPr>
                        <m:t>VIIRS</m:t>
                      </m:r>
                    </m:e>
                  </m:d>
                </m:e>
              </m:func>
            </m:oMath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 xml:space="preserve"> (Luces Nocturnas)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AC124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es-CO"/>
                    <w14:ligatures w14:val="none"/>
                  </w:rPr>
                  <m:t>-0.2494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07B64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es-CO"/>
                    <w14:ligatures w14:val="none"/>
                  </w:rPr>
                  <m:t>-5.982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A61B9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Proxy de actividad económica:</w:t>
            </w:r>
            <w:r w:rsidRPr="007E19D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Municipios con mayor luminosidad nocturna exhiben </w:t>
            </w:r>
            <w:r w:rsidRPr="007E19D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lastRenderedPageBreak/>
              <w:t>menor nivel de pobreza.</w:t>
            </w:r>
          </w:p>
        </w:tc>
      </w:tr>
      <w:tr w:rsidR="007E19D4" w:rsidRPr="007E19D4" w14:paraId="2055F8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3346D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F1D7A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Tasa Mortalidad Infantil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AB008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es-CO"/>
                    <w14:ligatures w14:val="none"/>
                  </w:rPr>
                  <m:t>+0.0043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FED2A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es-CO"/>
                    <w14:ligatures w14:val="none"/>
                  </w:rPr>
                  <m:t>4.063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A17F5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Reflejo de privación en salud:</w:t>
            </w:r>
            <w:r w:rsidRPr="007E19D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Muestra el deterioro en condiciones básicas de vida e infraestructura médica.</w:t>
            </w:r>
          </w:p>
        </w:tc>
      </w:tr>
      <w:tr w:rsidR="007E19D4" w:rsidRPr="007E19D4" w14:paraId="06D62A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E3928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382E2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Infraestructura Básica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0D94A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es-CO"/>
                    <w14:ligatures w14:val="none"/>
                  </w:rPr>
                  <m:t>-0.0017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CC6C6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es-CO"/>
                    <w14:ligatures w14:val="none"/>
                  </w:rPr>
                  <m:t>-3.016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25A12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Factor de bienes públicos:</w:t>
            </w:r>
            <w:r w:rsidRPr="007E19D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Cobertura y acceso a servicios físicos.</w:t>
            </w:r>
          </w:p>
        </w:tc>
      </w:tr>
      <w:tr w:rsidR="007E19D4" w:rsidRPr="007E19D4" w14:paraId="306CC6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D030D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AF0E7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Deserción Escolar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885F6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es-CO"/>
                    <w14:ligatures w14:val="none"/>
                  </w:rPr>
                  <m:t>+0.0200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8297A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es-CO"/>
                    <w14:ligatures w14:val="none"/>
                  </w:rPr>
                  <m:t>2.999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BF181" w14:textId="77777777" w:rsidR="007E19D4" w:rsidRPr="007E19D4" w:rsidRDefault="007E19D4" w:rsidP="007E19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7E19D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Factor de riesgo educativo:</w:t>
            </w:r>
            <w:r w:rsidRPr="007E19D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Alimenta trampas intergeneracionales de pobreza.</w:t>
            </w:r>
          </w:p>
        </w:tc>
      </w:tr>
    </w:tbl>
    <w:p w14:paraId="3E7E7242" w14:textId="2E097BD1" w:rsidR="007E19D4" w:rsidRPr="007E19D4" w:rsidRDefault="007E19D4" w:rsidP="007E1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E19D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(Nota: Las variables Intercepto y </w:t>
      </w:r>
      <m:oMath>
        <m:func>
          <m:funcPr>
            <m:ctrlPr>
              <w:rPr>
                <w:rFonts w:ascii="Cambria Math" w:eastAsia="Times New Roman" w:hAnsi="Cambria Math" w:cs="Times New Roman"/>
                <w:kern w:val="0"/>
                <w:lang w:eastAsia="es-CO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s-CO"/>
                <w14:ligatures w14:val="none"/>
              </w:rPr>
              <m:t>log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lang w:eastAsia="es-CO"/>
                    <w14:ligatures w14:val="none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s-CO"/>
                    <w14:ligatures w14:val="none"/>
                  </w:rPr>
                  <m:t>Rec_ICA_PC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es-CO"/>
                    <w14:ligatures w14:val="none"/>
                  </w:rPr>
                  <m:t>+1</m:t>
                </m:r>
              </m:e>
            </m:d>
          </m:e>
        </m:func>
      </m:oMath>
      <w:r w:rsidRPr="007E19D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no resultaron estadísticamente significativas con </w:t>
      </w:r>
      <m:oMath>
        <m:r>
          <w:rPr>
            <w:rFonts w:ascii="Cambria Math" w:eastAsia="Times New Roman" w:hAnsi="Cambria Math" w:cs="Times New Roman"/>
            <w:kern w:val="0"/>
            <w:lang w:eastAsia="es-CO"/>
            <w14:ligatures w14:val="none"/>
          </w:rPr>
          <m:t>p&gt;0.05</m:t>
        </m:r>
      </m:oMath>
      <w:r w:rsidRPr="007E19D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).</w:t>
      </w:r>
    </w:p>
    <w:p w14:paraId="18FBAEAC" w14:textId="77777777" w:rsidR="007E19D4" w:rsidRDefault="007E19D4" w:rsidP="00094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2068C50" w14:textId="77777777" w:rsidR="007E19D4" w:rsidRDefault="007E19D4" w:rsidP="00094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83EC2A0" w14:textId="0CBAC3CD" w:rsidR="00CB563D" w:rsidRDefault="007E19D4" w:rsidP="00094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Gráficamente, se vería de la siguiente manera:</w:t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drawing>
          <wp:inline distT="0" distB="0" distL="0" distR="0" wp14:anchorId="4769464C" wp14:editId="5FD672EB">
            <wp:extent cx="4762500" cy="3295650"/>
            <wp:effectExtent l="0" t="0" r="0" b="0"/>
            <wp:docPr id="15022911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317E16" w14:textId="26DE2332" w:rsidR="00094BA1" w:rsidRDefault="00094BA1" w:rsidP="00094BA1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4DE4163" w14:textId="77777777" w:rsidR="00CB563D" w:rsidRDefault="00CB563D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efecto de la variable VIIRS</w:t>
      </w:r>
    </w:p>
    <w:p w14:paraId="1662BAD1" w14:textId="14E69E8E" w:rsidR="00CB563D" w:rsidRDefault="00CB563D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 w:type="page"/>
      </w:r>
    </w:p>
    <w:p w14:paraId="1712F0CB" w14:textId="77777777" w:rsidR="00CB563D" w:rsidRDefault="00CB563D" w:rsidP="00094BA1">
      <w:r w:rsidRPr="00CB563D">
        <w:lastRenderedPageBreak/>
        <w:t>El mapa</w:t>
      </w:r>
      <w:r>
        <w:t xml:space="preserve"> con el cálculo es el siguiente:</w:t>
      </w:r>
    </w:p>
    <w:p w14:paraId="1A282657" w14:textId="77777777" w:rsidR="00CB563D" w:rsidRDefault="00CB563D" w:rsidP="00094BA1">
      <w:r>
        <w:rPr>
          <w:noProof/>
        </w:rPr>
        <w:drawing>
          <wp:inline distT="0" distB="0" distL="0" distR="0" wp14:anchorId="63DF8114" wp14:editId="7D8B6BB3">
            <wp:extent cx="5529415" cy="6560289"/>
            <wp:effectExtent l="0" t="0" r="0" b="0"/>
            <wp:docPr id="187645880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56" r="24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562" cy="663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DE432" w14:textId="77777777" w:rsidR="00CB563D" w:rsidRDefault="00CB563D" w:rsidP="00094BA1"/>
    <w:p w14:paraId="7D9829AA" w14:textId="77777777" w:rsidR="00CB563D" w:rsidRPr="00CB563D" w:rsidRDefault="00CB563D" w:rsidP="00CB563D">
      <w:r w:rsidRPr="00CB563D">
        <w:t>Este capítulo metodológico sintetiza la justificación técnica y el desarrollo del modelo de estimación espacial para presentar el avance ante tus compañeros.</w:t>
      </w:r>
    </w:p>
    <w:p w14:paraId="518354D8" w14:textId="77777777" w:rsidR="00CB563D" w:rsidRPr="00CB563D" w:rsidRDefault="00CB563D" w:rsidP="00CB563D">
      <w:pPr>
        <w:rPr>
          <w:b/>
          <w:bCs/>
        </w:rPr>
      </w:pPr>
      <w:r w:rsidRPr="00CB563D">
        <w:rPr>
          <w:b/>
          <w:bCs/>
        </w:rPr>
        <w:t>1. Justificación Metodológica: Modelo SAR vs. SAE Convencional</w:t>
      </w:r>
    </w:p>
    <w:p w14:paraId="365AC680" w14:textId="199580C2" w:rsidR="00CB563D" w:rsidRPr="00CB563D" w:rsidRDefault="00CB563D" w:rsidP="00CB563D">
      <w:r w:rsidRPr="00CB563D">
        <w:lastRenderedPageBreak/>
        <w:t xml:space="preserve">En el marco de la Estimación en Pequeñas Áreas (SAE, por sus siglas en inglés), el enfoque convencional —fundamentado en modelos de área tipo Fay-Herriot o modelos a nivel de individuo como el de Elbers, </w:t>
      </w:r>
      <w:proofErr w:type="spellStart"/>
      <w:r w:rsidRPr="00CB563D">
        <w:t>Lanjouw</w:t>
      </w:r>
      <w:proofErr w:type="spellEnd"/>
      <w:r w:rsidRPr="00CB563D">
        <w:t xml:space="preserve"> y </w:t>
      </w:r>
      <w:proofErr w:type="spellStart"/>
      <w:r w:rsidRPr="00CB563D">
        <w:t>Lanjouw</w:t>
      </w:r>
      <w:proofErr w:type="spellEnd"/>
      <w:r w:rsidRPr="00CB563D">
        <w:t xml:space="preserve"> (ELL)— asume que los efectos aleatorios de cada dominio geográfico son estadísticamente independientes entre sí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∼i.i.d. N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 w:rsidRPr="00CB563D">
        <w:t>).</w:t>
      </w:r>
    </w:p>
    <w:p w14:paraId="537DE2C8" w14:textId="77777777" w:rsidR="00CB563D" w:rsidRPr="00CB563D" w:rsidRDefault="00CB563D" w:rsidP="00CB563D">
      <w:r w:rsidRPr="00CB563D">
        <w:t>Sin embargo, para la pobreza multidimensional municipal en Colombia, esta suposición resulta teórica y empíricamente limitante debido a las siguientes razones:</w:t>
      </w:r>
    </w:p>
    <w:p w14:paraId="1F71FB09" w14:textId="77777777" w:rsidR="00CB563D" w:rsidRPr="00CB563D" w:rsidRDefault="00CB563D" w:rsidP="00CB563D">
      <w:pPr>
        <w:numPr>
          <w:ilvl w:val="0"/>
          <w:numId w:val="6"/>
        </w:numPr>
      </w:pPr>
      <w:r w:rsidRPr="00CB563D">
        <w:rPr>
          <w:b/>
          <w:bCs/>
        </w:rPr>
        <w:t xml:space="preserve">Incapacidad para capturar </w:t>
      </w:r>
      <w:proofErr w:type="spellStart"/>
      <w:r w:rsidRPr="00CB563D">
        <w:rPr>
          <w:b/>
          <w:bCs/>
        </w:rPr>
        <w:t>Spillovers</w:t>
      </w:r>
      <w:proofErr w:type="spellEnd"/>
      <w:r w:rsidRPr="00CB563D">
        <w:rPr>
          <w:b/>
          <w:bCs/>
        </w:rPr>
        <w:t xml:space="preserve"> Espaciales:</w:t>
      </w:r>
      <w:r w:rsidRPr="00CB563D">
        <w:t xml:space="preserve"> El IPM de un municipio no depende únicamente de sus covariables internas, sino de la dinámica de desarrollo y privación de su vecindario geográfico. La desatención de estos efectos causa un sesgo de variable omitida en modelos lineales tradicionales.</w:t>
      </w:r>
    </w:p>
    <w:p w14:paraId="72B83CB7" w14:textId="3340C9A0" w:rsidR="00CB563D" w:rsidRPr="00CB563D" w:rsidRDefault="00CB563D" w:rsidP="00CB563D">
      <w:pPr>
        <w:numPr>
          <w:ilvl w:val="0"/>
          <w:numId w:val="6"/>
        </w:numPr>
      </w:pPr>
      <w:r w:rsidRPr="00CB563D">
        <w:rPr>
          <w:b/>
          <w:bCs/>
        </w:rPr>
        <w:t>Absorción de la Dependencia Geográfica:</w:t>
      </w:r>
      <w:r w:rsidRPr="00CB563D">
        <w:t xml:space="preserve"> Al implementar un </w:t>
      </w:r>
      <w:r w:rsidRPr="00CB563D">
        <w:rPr>
          <w:b/>
          <w:bCs/>
        </w:rPr>
        <w:t xml:space="preserve">Modelo Autorregresivo Espacial (SAR / </w:t>
      </w:r>
      <w:proofErr w:type="spellStart"/>
      <w:r w:rsidRPr="00CB563D">
        <w:rPr>
          <w:b/>
          <w:bCs/>
        </w:rPr>
        <w:t>Spatial</w:t>
      </w:r>
      <w:proofErr w:type="spellEnd"/>
      <w:r w:rsidRPr="00CB563D">
        <w:rPr>
          <w:b/>
          <w:bCs/>
        </w:rPr>
        <w:t xml:space="preserve"> </w:t>
      </w:r>
      <w:proofErr w:type="spellStart"/>
      <w:r w:rsidRPr="00CB563D">
        <w:rPr>
          <w:b/>
          <w:bCs/>
        </w:rPr>
        <w:t>Lag</w:t>
      </w:r>
      <w:proofErr w:type="spellEnd"/>
      <w:r w:rsidRPr="00CB563D">
        <w:rPr>
          <w:b/>
          <w:bCs/>
        </w:rPr>
        <w:t>)</w:t>
      </w:r>
      <w:r w:rsidRPr="00CB563D">
        <w:t>, se parametriza directamente la interacción intermunicipal mediante una matriz de pesos espaciales estandarizada por filas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municipal</m:t>
            </m:r>
          </m:sub>
        </m:sSub>
      </m:oMath>
      <w:r w:rsidRPr="00CB563D">
        <w:t>).</w:t>
      </w:r>
    </w:p>
    <w:p w14:paraId="20FE3E61" w14:textId="0A056049" w:rsidR="00CB563D" w:rsidRPr="00CB563D" w:rsidRDefault="00CB563D" w:rsidP="00CB563D">
      <w:pPr>
        <w:numPr>
          <w:ilvl w:val="0"/>
          <w:numId w:val="6"/>
        </w:numPr>
      </w:pPr>
      <w:r w:rsidRPr="00CB563D">
        <w:rPr>
          <w:b/>
          <w:bCs/>
        </w:rPr>
        <w:t>Ganancia en Eficiencia Econométrica:</w:t>
      </w:r>
      <w:r w:rsidRPr="00CB563D">
        <w:t xml:space="preserve"> El coeficiente de autocorrelación espacial estimado (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ρ</m:t>
            </m:r>
          </m:e>
        </m:acc>
        <m:r>
          <w:rPr>
            <w:rFonts w:ascii="Cambria Math" w:hAnsi="Cambria Math"/>
          </w:rPr>
          <m:t>=0.6726,p&lt;2.22×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</m:oMath>
      <w:r w:rsidRPr="00CB563D">
        <w:t xml:space="preserve">) demostró que más del </w:t>
      </w:r>
      <m:oMath>
        <m:r>
          <w:rPr>
            <w:rFonts w:ascii="Cambria Math" w:hAnsi="Cambria Math"/>
          </w:rPr>
          <m:t>67%</m:t>
        </m:r>
      </m:oMath>
      <w:r w:rsidRPr="00CB563D">
        <w:t xml:space="preserve"> del comportamiento del IPM está condicionado espacialmente. La incorporación de la estructura </w:t>
      </w:r>
      <w:proofErr w:type="spellStart"/>
      <w:r w:rsidRPr="00CB563D">
        <w:t>autoregresiva</w:t>
      </w:r>
      <w:proofErr w:type="spellEnd"/>
      <w:r w:rsidRPr="00CB563D">
        <w:t xml:space="preserve"> redujo el Criterio de Información Akaike de </w:t>
      </w:r>
      <m:oMath>
        <m:r>
          <w:rPr>
            <w:rFonts w:ascii="Cambria Math" w:hAnsi="Cambria Math"/>
          </w:rPr>
          <m:t>AIC=2083.1</m:t>
        </m:r>
      </m:oMath>
      <w:r w:rsidRPr="00CB563D">
        <w:t xml:space="preserve"> (OLS) a </w:t>
      </w:r>
      <m:oMath>
        <m:r>
          <w:rPr>
            <w:rFonts w:ascii="Cambria Math" w:hAnsi="Cambria Math"/>
          </w:rPr>
          <m:t>AIC=1385.2</m:t>
        </m:r>
      </m:oMath>
      <w:r w:rsidRPr="00CB563D">
        <w:t xml:space="preserve"> (SAR), logrando una ganancia estricta de </w:t>
      </w:r>
      <m:oMath>
        <m:r>
          <w:rPr>
            <w:rFonts w:ascii="Cambria Math" w:hAnsi="Cambria Math"/>
          </w:rPr>
          <m:t>697.9</m:t>
        </m:r>
      </m:oMath>
      <w:r w:rsidRPr="00CB563D">
        <w:t xml:space="preserve"> puntos en la capacidad explicativa del modelo y eliminando la autocorrelación residual (</w:t>
      </w:r>
      <m:oMath>
        <m:r>
          <m:rPr>
            <m:nor/>
          </m:rPr>
          <m:t>LM test</m:t>
        </m:r>
        <m:r>
          <w:rPr>
            <w:rFonts w:ascii="Cambria Math" w:hAnsi="Cambria Math"/>
          </w:rPr>
          <m:t>,p=0.206</m:t>
        </m:r>
      </m:oMath>
      <w:r w:rsidRPr="00CB563D">
        <w:t>).</w:t>
      </w:r>
    </w:p>
    <w:p w14:paraId="5F734FB1" w14:textId="77777777" w:rsidR="00CB563D" w:rsidRPr="00CB563D" w:rsidRDefault="00CB563D" w:rsidP="00CB563D">
      <w:pPr>
        <w:rPr>
          <w:b/>
          <w:bCs/>
        </w:rPr>
      </w:pPr>
      <w:r w:rsidRPr="00CB563D">
        <w:rPr>
          <w:b/>
          <w:bCs/>
        </w:rPr>
        <w:t>2. Necesidad de Información a 2024 para la Proyección de Pequeñas Áreas</w:t>
      </w:r>
    </w:p>
    <w:p w14:paraId="65C51E61" w14:textId="77777777" w:rsidR="00CB563D" w:rsidRPr="00CB563D" w:rsidRDefault="00CB563D" w:rsidP="00CB563D">
      <w:r w:rsidRPr="00CB563D">
        <w:t>El Censo Nacional de Población y Vivienda (CNPV 2018) provee la última línea base estructural completa a nivel municipal. No obstante, emplear únicamente parámetros estáticos de 2018 genera un rezago temporal crítico para la formulación de política pública actual.</w:t>
      </w:r>
    </w:p>
    <w:p w14:paraId="562B4A5A" w14:textId="77777777" w:rsidR="00CB563D" w:rsidRPr="00CB563D" w:rsidRDefault="00CB563D" w:rsidP="00CB563D">
      <w:r w:rsidRPr="00CB563D">
        <w:t xml:space="preserve">Para actualizar las estimaciones al año </w:t>
      </w:r>
      <w:r w:rsidRPr="00CB563D">
        <w:rPr>
          <w:b/>
          <w:bCs/>
        </w:rPr>
        <w:t>2024</w:t>
      </w:r>
      <w:r w:rsidRPr="00CB563D">
        <w:t xml:space="preserve"> sin incurrir en los costos de un nuevo levantamiento censal, la arquitectura metodológica articuló dos componentes:</w:t>
      </w:r>
    </w:p>
    <w:p w14:paraId="55D033BD" w14:textId="460A2A7D" w:rsidR="00CB563D" w:rsidRPr="00CB563D" w:rsidRDefault="00CB563D" w:rsidP="00CB563D">
      <w:pPr>
        <w:numPr>
          <w:ilvl w:val="0"/>
          <w:numId w:val="7"/>
        </w:numPr>
      </w:pPr>
      <w:r w:rsidRPr="00CB563D">
        <w:rPr>
          <w:b/>
          <w:bCs/>
        </w:rPr>
        <w:t>Invarianza Estructural de los Coeficientes (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 w:rsidRPr="00CB563D">
        <w:rPr>
          <w:b/>
          <w:bCs/>
        </w:rPr>
        <w:t xml:space="preserve"> y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ρ</m:t>
            </m:r>
          </m:e>
        </m:acc>
      </m:oMath>
      <w:r w:rsidRPr="00CB563D">
        <w:rPr>
          <w:b/>
          <w:bCs/>
        </w:rPr>
        <w:t>):</w:t>
      </w:r>
      <w:r w:rsidRPr="00CB563D">
        <w:t xml:space="preserve"> Se asume que las relaciones estructurales entre las privaciones, la actividad económica y la pobreza estimadas en el año base (2018) se mantienen estables en el mediano plazo.</w:t>
      </w:r>
    </w:p>
    <w:p w14:paraId="2F5DB9B8" w14:textId="041A4ECE" w:rsidR="00CB563D" w:rsidRPr="00CB563D" w:rsidRDefault="00CB563D" w:rsidP="00CB563D">
      <w:pPr>
        <w:numPr>
          <w:ilvl w:val="0"/>
          <w:numId w:val="7"/>
        </w:numPr>
      </w:pPr>
      <w:r w:rsidRPr="00CB563D">
        <w:rPr>
          <w:b/>
          <w:bCs/>
        </w:rPr>
        <w:lastRenderedPageBreak/>
        <w:t>Actualización Dinámica de Vector de Covariables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2024</m:t>
            </m:r>
          </m:sub>
        </m:sSub>
      </m:oMath>
      <w:r w:rsidRPr="00CB563D">
        <w:rPr>
          <w:b/>
          <w:bCs/>
        </w:rPr>
        <w:t>):</w:t>
      </w:r>
      <w:r w:rsidRPr="00CB563D">
        <w:t xml:space="preserve"> Se incorporaron indicadores municipales actualizados a 2024 en salud, educación, finanzas locales e intensidad de luces nocturnas satelitales (</w:t>
      </w:r>
      <m:oMath>
        <m:r>
          <m:rPr>
            <m:nor/>
          </m:rPr>
          <m:t>VIIRS</m:t>
        </m:r>
      </m:oMath>
      <w:r w:rsidRPr="00CB563D">
        <w:t>).</w:t>
      </w:r>
    </w:p>
    <w:p w14:paraId="39AA9C70" w14:textId="33976236" w:rsidR="00CB563D" w:rsidRPr="00CB563D" w:rsidRDefault="00CB563D" w:rsidP="00CB563D">
      <w:r w:rsidRPr="00CB563D">
        <w:t xml:space="preserve">Mediante la resolución del operador matricial espacial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I-</m:t>
                </m:r>
                <m:acc>
                  <m:accPr>
                    <m:chr m:val="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</m:acc>
                <m:r>
                  <w:rPr>
                    <w:rFonts w:ascii="Cambria Math" w:hAnsi="Cambria Math"/>
                  </w:rPr>
                  <m:t>W</m:t>
                </m:r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CB563D">
        <w:t>, el modelo proyecta la distribución del IPM 2024 capturando simultáneamente la evolución de las covariables locales y la propagación de shocks espaciales entre municipios colindantes.</w:t>
      </w:r>
    </w:p>
    <w:p w14:paraId="46353F48" w14:textId="77777777" w:rsidR="00CB563D" w:rsidRPr="00CB563D" w:rsidRDefault="00CB563D" w:rsidP="00CB563D">
      <w:pPr>
        <w:rPr>
          <w:b/>
          <w:bCs/>
        </w:rPr>
      </w:pPr>
      <w:r w:rsidRPr="00CB563D">
        <w:rPr>
          <w:b/>
          <w:bCs/>
        </w:rPr>
        <w:t>3. Calibración y Consistencia Macro (DANE 2024)</w:t>
      </w:r>
    </w:p>
    <w:p w14:paraId="03C974F1" w14:textId="40794531" w:rsidR="00CB563D" w:rsidRPr="00CB563D" w:rsidRDefault="00CB563D" w:rsidP="00CB563D">
      <w:r w:rsidRPr="00CB563D">
        <w:t>Para validar que las estimaciones sintéticas municipales no introduzcan sesgos de agregación (</w:t>
      </w:r>
      <w:proofErr w:type="spellStart"/>
      <w:r w:rsidRPr="00CB563D">
        <w:rPr>
          <w:i/>
          <w:iCs/>
        </w:rPr>
        <w:t>Ecological</w:t>
      </w:r>
      <w:proofErr w:type="spellEnd"/>
      <w:r w:rsidRPr="00CB563D">
        <w:rPr>
          <w:i/>
          <w:iCs/>
        </w:rPr>
        <w:t xml:space="preserve"> </w:t>
      </w:r>
      <w:proofErr w:type="spellStart"/>
      <w:r w:rsidRPr="00CB563D">
        <w:rPr>
          <w:i/>
          <w:iCs/>
        </w:rPr>
        <w:t>Fallacy</w:t>
      </w:r>
      <w:proofErr w:type="spellEnd"/>
      <w:r w:rsidRPr="00CB563D">
        <w:t xml:space="preserve">), se aplicó un factor de calibración </w:t>
      </w:r>
      <w:proofErr w:type="spellStart"/>
      <w:r w:rsidRPr="00CB563D">
        <w:t>post-estimación</w:t>
      </w:r>
      <w:proofErr w:type="spellEnd"/>
      <w:r w:rsidRPr="00CB563D">
        <w:t xml:space="preserve"> utilizando la población municipal como ponderador. Al agregar los resultados del modelo municipal hacia el nivel departamental y compararlos contra la publicación oficial del IPM Departamental DANE 2024, las diferencias obtenidas fueron del orden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-15</m:t>
            </m:r>
          </m:sup>
        </m:sSup>
      </m:oMath>
      <w:r w:rsidRPr="00CB563D">
        <w:t xml:space="preserve"> (cero estructural). Esto certifica que la suma de las partes municipales reconstruye con precisión la masa de pobreza macroeconómica nacional.</w:t>
      </w:r>
    </w:p>
    <w:p w14:paraId="6297F579" w14:textId="77777777" w:rsidR="00CB563D" w:rsidRPr="00CB563D" w:rsidRDefault="00CB563D" w:rsidP="00CB563D">
      <w:pPr>
        <w:rPr>
          <w:b/>
          <w:bCs/>
        </w:rPr>
      </w:pPr>
      <w:r w:rsidRPr="00CB563D">
        <w:rPr>
          <w:b/>
          <w:bCs/>
        </w:rPr>
        <w:t>4. Articulación con la Idea Inicial del Trabajo de Grado</w:t>
      </w:r>
    </w:p>
    <w:p w14:paraId="7AB11E70" w14:textId="77777777" w:rsidR="00CB563D" w:rsidRPr="00CB563D" w:rsidRDefault="00CB563D" w:rsidP="00CB563D">
      <w:r w:rsidRPr="00CB563D">
        <w:t xml:space="preserve">Este ejercicio valida la hipótesis central de la investigación de maestría: </w:t>
      </w:r>
      <w:r w:rsidRPr="00CB563D">
        <w:rPr>
          <w:b/>
          <w:bCs/>
        </w:rPr>
        <w:t>la integración de la econometría espacial con datos no convencionales (fuentes satelitales y registros administrativos) potencia la precisión de las metodologías SAE tradicionales.</w:t>
      </w:r>
    </w:p>
    <w:p w14:paraId="5CE023C6" w14:textId="07602FC3" w:rsidR="007E19D4" w:rsidRPr="00CB563D" w:rsidRDefault="00CB563D" w:rsidP="00094BA1">
      <w:r w:rsidRPr="00CB563D">
        <w:t>La metodología desarrollada demuestra que es posible disponer de mediciones intercensales del IPM a nivel de pequeñas áreas (municipios) con bajo costo computacional, alta resolución espacial y alineación macroeconómica estricta. Esto constituye el núcleo técnico de la propuesta de grado, orientada a dotar a las entidades públicas de herramientas continuas de monitoreo territorial de la pobreza en Colombia.</w:t>
      </w:r>
      <w:r>
        <w:t xml:space="preserve"> </w:t>
      </w:r>
    </w:p>
    <w:sectPr w:rsidR="007E19D4" w:rsidRPr="00CB56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6C8F"/>
    <w:multiLevelType w:val="hybridMultilevel"/>
    <w:tmpl w:val="1152E0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8220D"/>
    <w:multiLevelType w:val="multilevel"/>
    <w:tmpl w:val="03A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66160"/>
    <w:multiLevelType w:val="multilevel"/>
    <w:tmpl w:val="CD96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C5729"/>
    <w:multiLevelType w:val="multilevel"/>
    <w:tmpl w:val="0AC2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B4A94"/>
    <w:multiLevelType w:val="multilevel"/>
    <w:tmpl w:val="C20A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EC4C1E"/>
    <w:multiLevelType w:val="multilevel"/>
    <w:tmpl w:val="A868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9237E2"/>
    <w:multiLevelType w:val="multilevel"/>
    <w:tmpl w:val="40CC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568578">
    <w:abstractNumId w:val="3"/>
  </w:num>
  <w:num w:numId="2" w16cid:durableId="862979962">
    <w:abstractNumId w:val="0"/>
  </w:num>
  <w:num w:numId="3" w16cid:durableId="1528181803">
    <w:abstractNumId w:val="1"/>
  </w:num>
  <w:num w:numId="4" w16cid:durableId="112021549">
    <w:abstractNumId w:val="5"/>
  </w:num>
  <w:num w:numId="5" w16cid:durableId="2053381727">
    <w:abstractNumId w:val="6"/>
  </w:num>
  <w:num w:numId="6" w16cid:durableId="2071689064">
    <w:abstractNumId w:val="2"/>
  </w:num>
  <w:num w:numId="7" w16cid:durableId="275379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BA1"/>
    <w:rsid w:val="00094BA1"/>
    <w:rsid w:val="005C4FA6"/>
    <w:rsid w:val="00726FDC"/>
    <w:rsid w:val="007E19D4"/>
    <w:rsid w:val="00863A94"/>
    <w:rsid w:val="009E3CC8"/>
    <w:rsid w:val="00CB563D"/>
    <w:rsid w:val="00D4074E"/>
    <w:rsid w:val="00FE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9B1F8"/>
  <w15:chartTrackingRefBased/>
  <w15:docId w15:val="{66F541D1-FE08-4965-9BFB-E059310BD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4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94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94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94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B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B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B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B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B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B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B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B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B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B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B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4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7E19D4"/>
    <w:rPr>
      <w:b/>
      <w:bCs/>
    </w:rPr>
  </w:style>
  <w:style w:type="table" w:styleId="Tablanormal5">
    <w:name w:val="Plain Table 5"/>
    <w:basedOn w:val="Tablanormal"/>
    <w:uiPriority w:val="45"/>
    <w:rsid w:val="00726FD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10</Pages>
  <Words>1803</Words>
  <Characters>9918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Alexander Salgado Blanco</dc:creator>
  <cp:keywords/>
  <dc:description/>
  <cp:lastModifiedBy>BRAYAN SALGADO BLANCO</cp:lastModifiedBy>
  <cp:revision>6</cp:revision>
  <dcterms:created xsi:type="dcterms:W3CDTF">2026-08-27T05:04:00Z</dcterms:created>
  <dcterms:modified xsi:type="dcterms:W3CDTF">2026-08-27T17:28:00Z</dcterms:modified>
</cp:coreProperties>
</file>