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564"/>
          <w:sz w:val="42"/>
        </w:rPr>
        <w:t>Marco teórico</w:t>
      </w:r>
    </w:p>
    <w:p>
      <w:r>
        <w:rPr>
          <w:i/>
          <w:color w:val="444444"/>
          <w:sz w:val="24"/>
        </w:rPr>
        <w:t>Fundamentos de la estimación en áreas pequeñas aplicada a la medición municipal del Índice de Pobreza Multidimensional</w:t>
      </w:r>
    </w:p>
    <w:p/>
    <w:p>
      <w:r>
        <w:t>Este capítulo presenta los fundamentos que sustentan las dos formulaciones estadísticas implementadas en el trabajo. La exposición sigue una secuencia que parte del estimador directo y su incertidumbre, desarrolla el modelo de área en su formulación clásica, plantea el modelo de subárea como respuesta a la configuración específica del problema, y cierra con los instrumentos de diagnóstico y validación empleados en la comparación.</w:t>
      </w:r>
    </w:p>
    <w:p>
      <w:pPr>
        <w:pStyle w:val="Heading1"/>
      </w:pPr>
      <w:r>
        <w:t>1. Estimadores directos y su varianza</w:t>
      </w:r>
    </w:p>
    <w:p>
      <w:r>
        <w:t>La estimación directa constituye el punto de partida de cualquier ejercicio de estimación en áreas pequeñas. Se denomina directa a la estimación que utiliza exclusivamente la información muestral correspondiente al dominio de interés, sin recurrir a información externa ni a supuestos de modelo.</w:t>
      </w:r>
    </w:p>
    <w:p>
      <w:r>
        <w:t>Para un dominio d con muestra de tamaño n_d, el estimador directo de la incidencia se construye como una media ponderada por los factores de expansión del diseño muestral:</w:t>
      </w:r>
    </w:p>
    <w:p>
      <w:pPr>
        <w:spacing w:before="140" w:after="140"/>
        <w:jc w:val="center"/>
      </w:pPr>
      <w:r>
        <w:rPr>
          <w:rFonts w:ascii="Cambria Math" w:hAnsi="Cambria Math"/>
          <w:i/>
          <w:sz w:val="24"/>
        </w:rPr>
        <w:t>ŷ_d = Σ_i w_i · z_i / Σ_i w_i</w:t>
      </w:r>
      <w:r>
        <w:rPr>
          <w:color w:val="444444"/>
          <w:sz w:val="20"/>
        </w:rPr>
        <w:t xml:space="preserve">          (1)</w:t>
      </w:r>
    </w:p>
    <w:p>
      <w:r>
        <w:t>donde z_i toma valor uno cuando el hogar i se clasifica como pobre según los criterios del índice y valor cero en caso contrario, y w_i corresponde al factor de expansión del hogar.</w:t>
      </w:r>
    </w:p>
    <w:p>
      <w:r>
        <w:rPr>
          <w:b/>
        </w:rPr>
        <w:t xml:space="preserve">Propiedades y limitación. </w:t>
      </w:r>
      <w:r>
        <w:t>El estimador directo es aproximadamente insesgado bajo el diseño muestral, propiedad que constituye su principal ventaja. Su limitación radica en que la varianza es inversamente proporcional al tamaño de muestra del dominio, de modo que en dominios con muestra reducida la estimación resulta demasiado imprecisa para uso práctico. Esta situación es la que motiva el recurso a métodos indirectos.</w:t>
      </w:r>
    </w:p>
    <w:p>
      <w:r>
        <w:t>La varianza de muestreo se obtiene a partir del error estándar reportado para cada dominio:</w:t>
      </w:r>
    </w:p>
    <w:p>
      <w:pPr>
        <w:spacing w:before="140" w:after="140"/>
        <w:jc w:val="center"/>
      </w:pPr>
      <w:r>
        <w:rPr>
          <w:rFonts w:ascii="Cambria Math" w:hAnsi="Cambria Math"/>
          <w:i/>
          <w:sz w:val="24"/>
        </w:rPr>
        <w:t>D_d = [SE(ŷ_d)]²</w:t>
      </w:r>
      <w:r>
        <w:rPr>
          <w:color w:val="444444"/>
          <w:sz w:val="20"/>
        </w:rPr>
        <w:t xml:space="preserve">          (2)</w:t>
      </w:r>
    </w:p>
    <w:p>
      <w:r>
        <w:t>En la formulación de los modelos que siguen, esta cantidad se trata como conocida. El supuesto es habitual en la literatura y se justifica porque el error estándar proviene del diseño muestral y no del modelo. Conviene señalar, no obstante, que en dominios con muestra reducida la propia estimación de la varianza está sujeta a incertidumbre, aspecto que ha motivado desarrollos específicos sobre suavizamiento de varianzas.</w:t>
      </w:r>
    </w:p>
    <w:p>
      <w:pPr>
        <w:pStyle w:val="Heading1"/>
      </w:pPr>
      <w:r>
        <w:t>2. Modelo de área de Fay y Herriot</w:t>
      </w:r>
    </w:p>
    <w:p>
      <w:pPr>
        <w:pStyle w:val="Heading2"/>
      </w:pPr>
      <w:r>
        <w:t>2.1. Origen y formulación</w:t>
      </w:r>
    </w:p>
    <w:p>
      <w:r>
        <w:t>Fay y Herriot (1979) introdujeron el modelo de área para estimar el ingreso per cápita en localidades pequeñas de los Estados Unidos, aplicando procedimientos de tipo James-Stein a datos censales. Su formulación combina dos componentes.</w:t>
      </w:r>
    </w:p>
    <w:p>
      <w:r>
        <w:t>El primero es el modelo de muestreo, que vincula la estimación directa con el parámetro verdadero:</w:t>
      </w:r>
    </w:p>
    <w:p>
      <w:pPr>
        <w:spacing w:before="140" w:after="140"/>
        <w:jc w:val="center"/>
      </w:pPr>
      <w:r>
        <w:rPr>
          <w:rFonts w:ascii="Cambria Math" w:hAnsi="Cambria Math"/>
          <w:i/>
          <w:sz w:val="24"/>
        </w:rPr>
        <w:t>ŷ_d = θ_d + e_d ,      e_d ~ N(0, D_d)</w:t>
      </w:r>
      <w:r>
        <w:rPr>
          <w:color w:val="444444"/>
          <w:sz w:val="20"/>
        </w:rPr>
        <w:t xml:space="preserve">          (3)</w:t>
      </w:r>
    </w:p>
    <w:p>
      <w:r>
        <w:t>El segundo es el modelo de enlace, que relaciona el parámetro verdadero con las covariables auxiliares:</w:t>
      </w:r>
    </w:p>
    <w:p>
      <w:pPr>
        <w:spacing w:before="140" w:after="140"/>
        <w:jc w:val="center"/>
      </w:pPr>
      <w:r>
        <w:rPr>
          <w:rFonts w:ascii="Cambria Math" w:hAnsi="Cambria Math"/>
          <w:i/>
          <w:sz w:val="24"/>
        </w:rPr>
        <w:t>θ_d = x_dᵀβ + u_d ,      u_d ~ N(0, σ²_u)</w:t>
      </w:r>
      <w:r>
        <w:rPr>
          <w:color w:val="444444"/>
          <w:sz w:val="20"/>
        </w:rPr>
        <w:t xml:space="preserve">          (4)</w:t>
      </w:r>
    </w:p>
    <w:p>
      <w:r>
        <w:t>La combinación de ambos componentes produce el modelo reducido:</w:t>
      </w:r>
    </w:p>
    <w:p>
      <w:pPr>
        <w:spacing w:before="140" w:after="140"/>
        <w:jc w:val="center"/>
      </w:pPr>
      <w:r>
        <w:rPr>
          <w:rFonts w:ascii="Cambria Math" w:hAnsi="Cambria Math"/>
          <w:i/>
          <w:sz w:val="24"/>
        </w:rPr>
        <w:t>ŷ_d = x_dᵀβ + u_d + e_d ,      Var(ŷ_d) = σ²_u + D_d</w:t>
      </w:r>
      <w:r>
        <w:rPr>
          <w:color w:val="444444"/>
          <w:sz w:val="20"/>
        </w:rPr>
        <w:t xml:space="preserve">          (5)</w:t>
      </w:r>
    </w:p>
    <w:p>
      <w:r>
        <w:t>donde β es el vector de coeficientes de regresión, u_d el efecto aleatorio del dominio y σ²_u su varianza, desconocida y estimada a partir de los datos.</w:t>
      </w:r>
    </w:p>
    <w:p>
      <w:pPr>
        <w:pStyle w:val="Heading2"/>
      </w:pPr>
      <w:r>
        <w:t>2.2. El predictor y el factor de contracción</w:t>
      </w:r>
    </w:p>
    <w:p>
      <w:r>
        <w:t>Bajo este modelo, el mejor predictor lineal insesgado de θ_d resulta ser una combinación convexa de la estimación directa y de la predicción sintética construida con las covariables:</w:t>
      </w:r>
    </w:p>
    <w:p>
      <w:pPr>
        <w:spacing w:before="140" w:after="140"/>
        <w:jc w:val="center"/>
      </w:pPr>
      <w:r>
        <w:rPr>
          <w:rFonts w:ascii="Cambria Math" w:hAnsi="Cambria Math"/>
          <w:i/>
          <w:sz w:val="24"/>
        </w:rPr>
        <w:t>θ̃_d = γ_d · ŷ_d + (1 − γ_d) · x_dᵀβ</w:t>
      </w:r>
      <w:r>
        <w:rPr>
          <w:color w:val="444444"/>
          <w:sz w:val="20"/>
        </w:rPr>
        <w:t xml:space="preserve">          (6)</w:t>
      </w:r>
    </w:p>
    <w:p>
      <w:r>
        <w:t>donde el factor de contracción se define como:</w:t>
      </w:r>
    </w:p>
    <w:p>
      <w:pPr>
        <w:spacing w:before="140" w:after="140"/>
        <w:jc w:val="center"/>
      </w:pPr>
      <w:r>
        <w:rPr>
          <w:rFonts w:ascii="Cambria Math" w:hAnsi="Cambria Math"/>
          <w:i/>
          <w:sz w:val="24"/>
        </w:rPr>
        <w:t>γ_d = σ²_u / (σ²_u + D_d)</w:t>
      </w:r>
      <w:r>
        <w:rPr>
          <w:color w:val="444444"/>
          <w:sz w:val="20"/>
        </w:rPr>
        <w:t xml:space="preserve">          (7)</w:t>
      </w:r>
    </w:p>
    <w:p>
      <w:r>
        <w:rPr>
          <w:b/>
        </w:rPr>
        <w:t xml:space="preserve">Interpretación. </w:t>
      </w:r>
      <w:r>
        <w:t>El factor de contracción determina el peso relativo asignado a cada fuente de información. Cuando la varianza de muestreo del dominio es pequeña en relación con la varianza del efecto aleatorio, el factor se aproxima a uno y el predictor se apoya principalmente en la estimación directa. Cuando ocurre lo contrario, el factor se aproxima a cero y el predictor se apoya en la componente sintética. El modelo asigna así automáticamente más peso al modelo en los dominios menos precisos, que es precisamente el comportamiento deseado.</w:t>
      </w:r>
    </w:p>
    <w:p>
      <w:r>
        <w:t>Esta propiedad tiene una consecuencia práctica relevante para la interpretación de resultados: cuando las varianzas de muestreo son reducidas en todos los dominios, el predictor resulta muy próximo a la estimación directa y la corrección aportada por el modelo es marginal. Reportar el valor promedio del factor de contracción permite documentar en qué medida el modelo está efectivamente modificando las estimaciones observadas.</w:t>
      </w:r>
    </w:p>
    <w:p>
      <w:pPr>
        <w:pStyle w:val="Heading2"/>
      </w:pPr>
      <w:r>
        <w:t>2.3. Estimación de los parámetros</w:t>
      </w:r>
    </w:p>
    <w:p>
      <w:r>
        <w:t>La varianza del efecto aleatorio puede estimarse mediante distintos procedimientos. La literatura ha desarrollado estimadores basados en el método de los momentos, propuestos originalmente por Fay y Herriot y posteriormente por Prasad y Rao, así como estimadores basados en verosimilitud, entre los que se cuentan la máxima verosimilitud y la máxima verosimilitud restringida.</w:t>
      </w:r>
    </w:p>
    <w:p>
      <w:r>
        <w:t>La máxima verosimilitud restringida resulta preferible en términos de su precisión asintótica de orden superior, razón por la cual se adopta en este trabajo. Su ventaja consiste en corregir el sesgo que la máxima verosimilitud ordinaria introduce al estimar componentes de varianza en presencia de coeficientes de regresión desconocidos.</w:t>
      </w:r>
    </w:p>
    <w:p>
      <w:pPr>
        <w:pStyle w:val="Heading2"/>
      </w:pPr>
      <w:r>
        <w:t>2.4. Medición de la incertidumbre</w:t>
      </w:r>
    </w:p>
    <w:p>
      <w:r>
        <w:t>La cuantificación del error cuadrático medio del predictor constituye un problema no trivial, dado que la sustitución de la varianza verdadera por su estimación introduce variabilidad adicional. Prasad y Rao (1990) desarrollaron el trabajo pionero en esta línea, proponiendo un estimador insesgado de segundo orden basado en linealización de Taylor. Desarrollos posteriores extendieron el procedimiento a otros métodos de estimación de la varianza y a esquemas de remuestreo.</w:t>
      </w:r>
    </w:p>
    <w:p>
      <w:r>
        <w:t>La aproximación de segundo orden descompone el error cuadrático medio en tres términos:</w:t>
      </w:r>
    </w:p>
    <w:p>
      <w:pPr>
        <w:spacing w:before="140" w:after="140"/>
        <w:jc w:val="center"/>
      </w:pPr>
      <w:r>
        <w:rPr>
          <w:rFonts w:ascii="Cambria Math" w:hAnsi="Cambria Math"/>
          <w:i/>
          <w:sz w:val="24"/>
        </w:rPr>
        <w:t>MSE(θ̂_d) ≈ g₁(σ²_u) + g₂(σ²_u) + 2·g₃(σ²_u)</w:t>
      </w:r>
      <w:r>
        <w:rPr>
          <w:color w:val="444444"/>
          <w:sz w:val="20"/>
        </w:rPr>
        <w:t xml:space="preserve">          (8)</w:t>
      </w:r>
    </w:p>
    <w:p>
      <w:r>
        <w:t>El primer término recoge la incertidumbre asociada a la predicción del efecto aleatorio, el segundo la derivada de la estimación de los coeficientes de regresión, y el tercero la introducida por la estimación de la varianza del efecto aleatorio.</w:t>
      </w:r>
    </w:p>
    <w:p>
      <w:pPr>
        <w:pStyle w:val="Heading2"/>
      </w:pPr>
      <w:r>
        <w:t>2.5. Limitación frente a indicadores acotados</w:t>
      </w:r>
    </w:p>
    <w:p>
      <w:r>
        <w:t>El modelo descrito asume normalidad tanto en el error de muestreo como en el efecto aleatorio, lo que implica que el soporte del predictor es toda la recta real. Cuando el indicador de interés está definido sobre un intervalo cerrado, como ocurre con cualquier medida de incidencia, el modelo puede producir predicciones fuera del rango admisible.</w:t>
      </w:r>
    </w:p>
    <w:p>
      <w:r>
        <w:t>Janicki (2020) documenta esta limitación de manera explícita al evaluar alternativas al supuesto normal para estimaciones de proporciones. El autor señala que, cuando los datos están restringidos a un intervalo acotado, el modelo lineal puede resultar inapropiado, particularmente si los datos se ubican cerca de la frontera, y observa que los modelos de muestreo no lineales han ganado presencia en problemas de áreas pequeñas cuando el modelo normal resulta inadecuado.</w:t>
      </w:r>
    </w:p>
    <w:p>
      <w:r>
        <w:rPr>
          <w:b/>
        </w:rPr>
        <w:t xml:space="preserve">Consecuencia. </w:t>
      </w:r>
      <w:r>
        <w:t>La corrección habitual consiste en truncar las predicciones en los límites del intervalo. Este procedimiento resuelve el síntoma pero no la causa, e introduce una discontinuidad que carece de justificación en el modelo. Esta limitación constituye una de las motivaciones para la segunda formulación desarrollada en el apartado 3.</w:t>
      </w:r>
    </w:p>
    <w:p>
      <w:pPr>
        <w:pStyle w:val="Heading1"/>
      </w:pPr>
      <w:r>
        <w:t>3. Modelo de subárea</w:t>
      </w:r>
    </w:p>
    <w:p>
      <w:pPr>
        <w:pStyle w:val="Heading2"/>
      </w:pPr>
      <w:r>
        <w:t>3.1. La configuración del problema</w:t>
      </w:r>
    </w:p>
    <w:p>
      <w:r>
        <w:t>El modelo de área supone que el indicador se observa directamente en cada dominio de interés. Ese supuesto no se cumple cuando el objetivo de estimación se ubica en unidades territoriales para las cuales no existe observación alguna, y la información disponible corresponde a unidades de mayor tamaño que las contienen.</w:t>
      </w:r>
    </w:p>
    <w:p>
      <w:r>
        <w:t>Esta configuración tiene un tratamiento formal específico. Torabi y Rao (2014) desarrollaron una extensión del modelo de área de Fay y Herriot al nivel de subárea, orientada a obtener estimadores para subáreas anidadas dentro de áreas. Los autores señalan que el modelo permite no solo estimar medias de áreas tomando información prestada de áreas relacionadas, sino también obtener estimadores de subárea más eficientes al tomar información prestada de las propias subáreas. Su trabajo deriva estimadores de predicción lineal insesgada empírica, aproximaciones de segundo orden al error cuadrático medio y estimadores de dicho error insesgados hasta ese orden, contemplando además el caso de subáreas no muestreadas.</w:t>
      </w:r>
    </w:p>
    <w:p>
      <w:r>
        <w:rPr>
          <w:b/>
        </w:rPr>
        <w:t xml:space="preserve">Aplicación de referencia. </w:t>
      </w:r>
      <w:r>
        <w:t>El estudio de alfabetización adulta desarrollado por Mohadjer y colaboradores empleó un modelo de subárea para estimar condados tratados como subáreas muestreadas dentro de estados tratados como áreas. La correspondencia con el problema abordado en este trabajo es directa: municipios como subáreas anidadas dentro de departamentos que operan como áreas.</w:t>
      </w:r>
    </w:p>
    <w:p>
      <w:pPr>
        <w:pStyle w:val="Heading2"/>
      </w:pPr>
      <w:r>
        <w:t>3.2. Componente de enlace en el nivel de subárea</w:t>
      </w:r>
    </w:p>
    <w:p>
      <w:r>
        <w:t>Para cada municipio m perteneciente al departamento d, la incidencia se especifica mediante una función logística sobre una combinación lineal de covariables auxiliares:</w:t>
      </w:r>
    </w:p>
    <w:p>
      <w:pPr>
        <w:spacing w:before="140" w:after="140"/>
        <w:jc w:val="center"/>
      </w:pPr>
      <w:r>
        <w:rPr>
          <w:rFonts w:ascii="Cambria Math" w:hAnsi="Cambria Math"/>
          <w:i/>
          <w:sz w:val="24"/>
        </w:rPr>
        <w:t>p_m = [1 + exp(−(β₀ + x_mᵀβ))]⁻¹ ,      IPM_m = 100 · p_m</w:t>
      </w:r>
      <w:r>
        <w:rPr>
          <w:color w:val="444444"/>
          <w:sz w:val="20"/>
        </w:rPr>
        <w:t xml:space="preserve">          (9)</w:t>
      </w:r>
    </w:p>
    <w:p>
      <w:r>
        <w:t>La función logística toma valores estrictamente contenidos en el intervalo abierto entre cero y uno para cualquier valor finito del predictor lineal. En consecuencia, las estimaciones de subárea permanecen dentro del rango admisible sin requerir truncamiento. Esta propiedad es estructural: no depende de los valores que tomen los coeficientes ni las covariables.</w:t>
      </w:r>
    </w:p>
    <w:p>
      <w:pPr>
        <w:pStyle w:val="Heading2"/>
      </w:pPr>
      <w:r>
        <w:t>3.3. Componente de agregación</w:t>
      </w:r>
    </w:p>
    <w:p>
      <w:r>
        <w:t>La correspondencia entre el nivel de estimación y el nivel de observación se establece mediante un promedio ponderado:</w:t>
      </w:r>
    </w:p>
    <w:p>
      <w:pPr>
        <w:spacing w:before="140" w:after="140"/>
        <w:jc w:val="center"/>
      </w:pPr>
      <w:r>
        <w:rPr>
          <w:rFonts w:ascii="Cambria Math" w:hAnsi="Cambria Math"/>
          <w:i/>
          <w:sz w:val="24"/>
        </w:rPr>
        <w:t>μ_d = 100 · Σ_m w_dm · p_m ,      Σ_m w_dm = 1</w:t>
      </w:r>
      <w:r>
        <w:rPr>
          <w:color w:val="444444"/>
          <w:sz w:val="20"/>
        </w:rPr>
        <w:t xml:space="preserve">          (10)</w:t>
      </w:r>
    </w:p>
    <w:p>
      <w:r>
        <w:t>donde los ponderadores corresponden a la participación de cada subárea en la población del área. Esta agregación reproduce la definición del indicador departamental como incidencia poblacional, lo que garantiza coherencia conceptual entre el parámetro modelado y el parámetro observado.</w:t>
      </w:r>
    </w:p>
    <w:p>
      <w:r>
        <w:rPr>
          <w:b/>
        </w:rPr>
        <w:t xml:space="preserve">Orden de las operaciones. </w:t>
      </w:r>
      <w:r>
        <w:t>La función de enlace se evalúa en cada subárea antes de promediar. El modelo de área, en cambio, promedia las covariables antes de aplicar la relación estimada. Dado que la transformación logística no es lineal, la desigualdad de Jensen implica que ambos procedimientos no son equivalentes. El modelo de subárea incorpora por tanto información sobre la distribución interna de las covariables dentro de cada área, información que la agregación previa descarta.</w:t>
      </w:r>
    </w:p>
    <w:p>
      <w:r>
        <w:t>Esta diferencia adquiere relevancia práctica cuando una proporción importante de la variabilidad de las covariables ocurre dentro de las áreas y no entre ellas, situación que puede verificarse empíricamente mediante una descomposición de la varianza.</w:t>
      </w:r>
    </w:p>
    <w:p>
      <w:pPr>
        <w:pStyle w:val="Heading2"/>
      </w:pPr>
      <w:r>
        <w:t>3.4. Componente de observación</w:t>
      </w:r>
    </w:p>
    <w:p>
      <w:r>
        <w:t>La confrontación con el dato observado se realiza en el nivel de área, único donde existe estimación directa:</w:t>
      </w:r>
    </w:p>
    <w:p>
      <w:pPr>
        <w:spacing w:before="140" w:after="140"/>
        <w:jc w:val="center"/>
      </w:pPr>
      <w:r>
        <w:rPr>
          <w:rFonts w:ascii="Cambria Math" w:hAnsi="Cambria Math"/>
          <w:i/>
          <w:sz w:val="24"/>
        </w:rPr>
        <w:t>ŷ_d ~ N(μ_d , D_d + τ²)</w:t>
      </w:r>
      <w:r>
        <w:rPr>
          <w:color w:val="444444"/>
          <w:sz w:val="20"/>
        </w:rPr>
        <w:t xml:space="preserve">          (11)</w:t>
      </w:r>
    </w:p>
    <w:p>
      <w:r>
        <w:t>donde D_d es la varianza de muestreo conocida y τ² representa la varianza adicional atribuible a la falta de ajuste del modelo. Esta descomposición sigue la lógica del modelo de área, en el cual la varianza total combina un componente de muestreo conocido con un componente de modelo estimado. El parámetro τ² cumple aquí la función que el efecto aleatorio de área cumple en la ecuación 4.</w:t>
      </w:r>
    </w:p>
    <w:p>
      <w:pPr>
        <w:pStyle w:val="Heading2"/>
      </w:pPr>
      <w:r>
        <w:t>3.5. Identificabilidad y sus límites</w:t>
      </w:r>
    </w:p>
    <w:p>
      <w:r>
        <w:t>La estructura del modelo impone una restricción que conviene explicitar. Los parámetros se estiman confrontando un número reducido de agregados de área con predicciones construidas sobre un número considerablemente mayor de subáreas. Los coeficientes del componente de enlace se identifican adecuadamente porque son comunes a todas las subáreas. En cambio, cualquier término específico por subárea enfrenta un problema de identificabilidad, dado que múltiples configuraciones resultan compatibles con los mismos promedios de área.</w:t>
      </w:r>
    </w:p>
    <w:p>
      <w:r>
        <w:t>La literatura ofrece dos vías para abordar esta situación. La primera consiste en incorporar penalización explícita que restrinja el espacio de soluciones, por ejemplo mediante estructuras de vecindad que obliguen a los efectos de subáreas contiguas a asemejarse. La segunda consiste en incorporar información observada en el nivel de subárea, lo que transformaría el problema en uno de dos niveles con observación en ambos.</w:t>
      </w:r>
    </w:p>
    <w:p>
      <w:pPr>
        <w:pStyle w:val="Heading1"/>
      </w:pPr>
      <w:r>
        <w:t>4. Benchmarking</w:t>
      </w:r>
    </w:p>
    <w:p>
      <w:pPr>
        <w:pStyle w:val="Heading2"/>
      </w:pPr>
      <w:r>
        <w:t>4.1. Motivación</w:t>
      </w:r>
    </w:p>
    <w:p>
      <w:r>
        <w:t>El benchmarking constituye una línea de trabajo con desarrollo propio dentro de la literatura de áreas pequeñas. Datta, Ghosh, Steorts y Maples (2011) exponen su motivación con precisión: las estimaciones basadas en modelos pueden diferir ampliamente de las estimaciones directas, en particular en dominios con muestras muy reducidas, y al agregarse pueden arrojar para un área geográfica mayor un valor distinto de la estimación directa correspondiente, que suele considerarse confiable porque la encuesta fue diseñada para alcanzar precisión inferencial en ese nivel de agregación.</w:t>
      </w:r>
    </w:p>
    <w:p>
      <w:r>
        <w:t>Los mismos autores señalan dos consideraciones adicionales. La primera es que el problema puede agravarse ante fallas del modelo, dado que con frecuencia no existe una verificación real de la validez del modelo supuesto. La segunda es de orden institucional: la concordancia general con las estimaciones directas en el nivel agregado puede resultar necesaria para justificar la utilidad de las estimaciones de áreas pequeñas ante quienes toman decisiones.</w:t>
      </w:r>
    </w:p>
    <w:p>
      <w:r>
        <w:rPr>
          <w:b/>
        </w:rPr>
        <w:t xml:space="preserve">Doble función. </w:t>
      </w:r>
      <w:r>
        <w:t>El benchmarking opera por tanto como salvaguarda estadística frente a la mala especificación y como condición de aceptabilidad institucional. Ambas funciones son pertinentes para un ejercicio orientado a la producción de información con uso potencial en política pública.</w:t>
      </w:r>
    </w:p>
    <w:p>
      <w:pPr>
        <w:pStyle w:val="Heading2"/>
      </w:pPr>
      <w:r>
        <w:t>4.2. Implementación en el modelo de subárea</w:t>
      </w:r>
    </w:p>
    <w:p>
      <w:r>
        <w:t>La literatura sobre benchmarking se ha desarrollado principalmente para restricciones lineales, cuya solución admite forma cerrada mediante multiplicadores de Lagrange. En la formulación aquí planteada la restricción no es lineal en los parámetros, por lo que se adopta un ajuste en la escala del predictor. Para cada área se determina un desplazamiento que satisface la condición:</w:t>
      </w:r>
    </w:p>
    <w:p>
      <w:pPr>
        <w:spacing w:before="140" w:after="140"/>
        <w:jc w:val="center"/>
      </w:pPr>
      <w:r>
        <w:rPr>
          <w:rFonts w:ascii="Cambria Math" w:hAnsi="Cambria Math"/>
          <w:i/>
          <w:sz w:val="24"/>
        </w:rPr>
        <w:t>Σ_m w_dm · [1 + exp(−(η_m + δ_d))]⁻¹ = ŷ_d / 100</w:t>
      </w:r>
      <w:r>
        <w:rPr>
          <w:color w:val="444444"/>
          <w:sz w:val="20"/>
        </w:rPr>
        <w:t xml:space="preserve">          (12)</w:t>
      </w:r>
    </w:p>
    <w:p>
      <w:r>
        <w:t>El lado izquierdo de la ecuación 12 es una función continua y estrictamente creciente del desplazamiento, con límites en cero y uno cuando el argumento tiende a menos y más infinito respectivamente. En consecuencia, para cualquier valor observado situado dentro del intervalo abierto existe una solución única, que se obtiene numéricamente. El procedimiento preserva simultáneamente la coherencia exacta con el agregado de área y el respeto del rango admisible en el nivel de subárea.</w:t>
      </w:r>
    </w:p>
    <w:p>
      <w:r>
        <w:rPr>
          <w:b/>
        </w:rPr>
        <w:t xml:space="preserve">Efecto sobre el ordenamiento. </w:t>
      </w:r>
      <w:r>
        <w:t>El desplazamiento es común a todas las subáreas de una misma área, de modo que la operación preserva el ordenamiento relativo interno. La corrección afecta el nivel de las estimaciones, no su jerarquía.</w:t>
      </w:r>
    </w:p>
    <w:p>
      <w:pPr>
        <w:pStyle w:val="Heading2"/>
      </w:pPr>
      <w:r>
        <w:t>4.3. Implicación para la validación</w:t>
      </w:r>
    </w:p>
    <w:p>
      <w:r>
        <w:t>El benchmarking utiliza la estimación directa del área como insumo. Por esta razón, el ajuste posterior al benchmarking no constituye evidencia de capacidad predictiva, sino una propiedad estructural impuesta sobre las estimaciones. Dentro de un procedimiento de validación por exclusión de dominio, el dominio excluido no debe recibir ajuste de benchmarking, dado que ello implicaría emplear precisamente el valor que se busca predecir.</w:t>
      </w:r>
    </w:p>
    <w:p>
      <w:pPr>
        <w:pStyle w:val="Heading1"/>
      </w:pPr>
      <w:r>
        <w:t>5. Comparación de las dos formulaciones</w:t>
      </w:r>
    </w:p>
    <w:tbl>
      <w:tblPr>
        <w:tblStyle w:val="TableGrid"/>
        <w:tblW w:type="auto" w:w="0"/>
        <w:jc w:val="center"/>
        <w:tblLook w:firstColumn="1" w:firstRow="1" w:lastColumn="0" w:lastRow="0" w:noHBand="0" w:noVBand="1" w:val="04A0"/>
      </w:tblPr>
      <w:tblGrid>
        <w:gridCol w:w="3097"/>
        <w:gridCol w:w="3097"/>
        <w:gridCol w:w="3097"/>
      </w:tblGrid>
      <w:tr>
        <w:tc>
          <w:tcPr>
            <w:tcW w:type="dxa" w:w="2835"/>
            <w:shd w:val="clear" w:fill="1F3564"/>
          </w:tcPr>
          <w:p>
            <w:pPr>
              <w:jc w:val="center"/>
            </w:pPr>
            <w:r/>
            <w:r>
              <w:rPr>
                <w:b/>
                <w:color w:val="FFFFFF"/>
                <w:sz w:val="18"/>
              </w:rPr>
              <w:t>Característica</w:t>
            </w:r>
          </w:p>
        </w:tc>
        <w:tc>
          <w:tcPr>
            <w:tcW w:type="dxa" w:w="3005"/>
            <w:shd w:val="clear" w:fill="1F3564"/>
          </w:tcPr>
          <w:p>
            <w:pPr>
              <w:jc w:val="center"/>
            </w:pPr>
            <w:r/>
            <w:r>
              <w:rPr>
                <w:b/>
                <w:color w:val="FFFFFF"/>
                <w:sz w:val="18"/>
              </w:rPr>
              <w:t>Modelo de área</w:t>
            </w:r>
          </w:p>
        </w:tc>
        <w:tc>
          <w:tcPr>
            <w:tcW w:type="dxa" w:w="3005"/>
            <w:shd w:val="clear" w:fill="1F3564"/>
          </w:tcPr>
          <w:p>
            <w:pPr>
              <w:jc w:val="center"/>
            </w:pPr>
            <w:r/>
            <w:r>
              <w:rPr>
                <w:b/>
                <w:color w:val="FFFFFF"/>
                <w:sz w:val="18"/>
              </w:rPr>
              <w:t>Modelo de subárea</w:t>
            </w:r>
          </w:p>
        </w:tc>
      </w:tr>
      <w:tr>
        <w:tc>
          <w:tcPr>
            <w:tcW w:type="dxa" w:w="2835"/>
          </w:tcPr>
          <w:p>
            <w:pPr>
              <w:jc w:val="left"/>
            </w:pPr>
            <w:r/>
            <w:r>
              <w:rPr>
                <w:sz w:val="18"/>
              </w:rPr>
              <w:t>Nivel de calibración</w:t>
            </w:r>
          </w:p>
        </w:tc>
        <w:tc>
          <w:tcPr>
            <w:tcW w:type="dxa" w:w="3005"/>
          </w:tcPr>
          <w:p>
            <w:pPr>
              <w:jc w:val="left"/>
            </w:pPr>
            <w:r/>
            <w:r>
              <w:rPr>
                <w:sz w:val="18"/>
              </w:rPr>
              <w:t>Área (departamento)</w:t>
            </w:r>
          </w:p>
        </w:tc>
        <w:tc>
          <w:tcPr>
            <w:tcW w:type="dxa" w:w="3005"/>
          </w:tcPr>
          <w:p>
            <w:pPr>
              <w:jc w:val="center"/>
            </w:pPr>
            <w:r/>
            <w:r>
              <w:rPr>
                <w:sz w:val="18"/>
              </w:rPr>
              <w:t>Área (departamento)</w:t>
            </w:r>
          </w:p>
        </w:tc>
      </w:tr>
      <w:tr>
        <w:tc>
          <w:tcPr>
            <w:tcW w:type="dxa" w:w="2835"/>
            <w:shd w:val="clear" w:fill="EEF2F7"/>
          </w:tcPr>
          <w:p>
            <w:pPr>
              <w:jc w:val="left"/>
            </w:pPr>
            <w:r/>
            <w:r>
              <w:rPr>
                <w:sz w:val="18"/>
              </w:rPr>
              <w:t>Nivel de estimación</w:t>
            </w:r>
          </w:p>
        </w:tc>
        <w:tc>
          <w:tcPr>
            <w:tcW w:type="dxa" w:w="3005"/>
            <w:shd w:val="clear" w:fill="EEF2F7"/>
          </w:tcPr>
          <w:p>
            <w:pPr>
              <w:jc w:val="left"/>
            </w:pPr>
            <w:r/>
            <w:r>
              <w:rPr>
                <w:sz w:val="18"/>
              </w:rPr>
              <w:t>Área, con traslado posterior a subárea</w:t>
            </w:r>
          </w:p>
        </w:tc>
        <w:tc>
          <w:tcPr>
            <w:tcW w:type="dxa" w:w="3005"/>
            <w:shd w:val="clear" w:fill="EEF2F7"/>
          </w:tcPr>
          <w:p>
            <w:pPr>
              <w:jc w:val="center"/>
            </w:pPr>
            <w:r/>
            <w:r>
              <w:rPr>
                <w:sz w:val="18"/>
              </w:rPr>
              <w:t>Subárea (municipio)</w:t>
            </w:r>
          </w:p>
        </w:tc>
      </w:tr>
      <w:tr>
        <w:tc>
          <w:tcPr>
            <w:tcW w:type="dxa" w:w="2835"/>
          </w:tcPr>
          <w:p>
            <w:pPr>
              <w:jc w:val="left"/>
            </w:pPr>
            <w:r/>
            <w:r>
              <w:rPr>
                <w:sz w:val="18"/>
              </w:rPr>
              <w:t>Momento de la agregación</w:t>
            </w:r>
          </w:p>
        </w:tc>
        <w:tc>
          <w:tcPr>
            <w:tcW w:type="dxa" w:w="3005"/>
          </w:tcPr>
          <w:p>
            <w:pPr>
              <w:jc w:val="left"/>
            </w:pPr>
            <w:r/>
            <w:r>
              <w:rPr>
                <w:sz w:val="18"/>
              </w:rPr>
              <w:t>Antes de aplicar la relación estimada</w:t>
            </w:r>
          </w:p>
        </w:tc>
        <w:tc>
          <w:tcPr>
            <w:tcW w:type="dxa" w:w="3005"/>
          </w:tcPr>
          <w:p>
            <w:pPr>
              <w:jc w:val="center"/>
            </w:pPr>
            <w:r/>
            <w:r>
              <w:rPr>
                <w:sz w:val="18"/>
              </w:rPr>
              <w:t>Después de evaluar la función de enlace</w:t>
            </w:r>
          </w:p>
        </w:tc>
      </w:tr>
      <w:tr>
        <w:tc>
          <w:tcPr>
            <w:tcW w:type="dxa" w:w="2835"/>
            <w:shd w:val="clear" w:fill="EEF2F7"/>
          </w:tcPr>
          <w:p>
            <w:pPr>
              <w:jc w:val="left"/>
            </w:pPr>
            <w:r/>
            <w:r>
              <w:rPr>
                <w:sz w:val="18"/>
              </w:rPr>
              <w:t>Función de enlace</w:t>
            </w:r>
          </w:p>
        </w:tc>
        <w:tc>
          <w:tcPr>
            <w:tcW w:type="dxa" w:w="3005"/>
            <w:shd w:val="clear" w:fill="EEF2F7"/>
          </w:tcPr>
          <w:p>
            <w:pPr>
              <w:jc w:val="left"/>
            </w:pPr>
            <w:r/>
            <w:r>
              <w:rPr>
                <w:sz w:val="18"/>
              </w:rPr>
              <w:t>Identidad</w:t>
            </w:r>
          </w:p>
        </w:tc>
        <w:tc>
          <w:tcPr>
            <w:tcW w:type="dxa" w:w="3005"/>
            <w:shd w:val="clear" w:fill="EEF2F7"/>
          </w:tcPr>
          <w:p>
            <w:pPr>
              <w:jc w:val="center"/>
            </w:pPr>
            <w:r/>
            <w:r>
              <w:rPr>
                <w:sz w:val="18"/>
              </w:rPr>
              <w:t>Logística</w:t>
            </w:r>
          </w:p>
        </w:tc>
      </w:tr>
      <w:tr>
        <w:tc>
          <w:tcPr>
            <w:tcW w:type="dxa" w:w="2835"/>
          </w:tcPr>
          <w:p>
            <w:pPr>
              <w:jc w:val="left"/>
            </w:pPr>
            <w:r/>
            <w:r>
              <w:rPr>
                <w:sz w:val="18"/>
              </w:rPr>
              <w:t>Soporte de las predicciones</w:t>
            </w:r>
          </w:p>
        </w:tc>
        <w:tc>
          <w:tcPr>
            <w:tcW w:type="dxa" w:w="3005"/>
          </w:tcPr>
          <w:p>
            <w:pPr>
              <w:jc w:val="left"/>
            </w:pPr>
            <w:r/>
            <w:r>
              <w:rPr>
                <w:sz w:val="18"/>
              </w:rPr>
              <w:t>Recta real</w:t>
            </w:r>
          </w:p>
        </w:tc>
        <w:tc>
          <w:tcPr>
            <w:tcW w:type="dxa" w:w="3005"/>
          </w:tcPr>
          <w:p>
            <w:pPr>
              <w:jc w:val="center"/>
            </w:pPr>
            <w:r/>
            <w:r>
              <w:rPr>
                <w:sz w:val="18"/>
              </w:rPr>
              <w:t>Intervalo acotado por construcción</w:t>
            </w:r>
          </w:p>
        </w:tc>
      </w:tr>
      <w:tr>
        <w:tc>
          <w:tcPr>
            <w:tcW w:type="dxa" w:w="2835"/>
            <w:shd w:val="clear" w:fill="EEF2F7"/>
          </w:tcPr>
          <w:p>
            <w:pPr>
              <w:jc w:val="left"/>
            </w:pPr>
            <w:r/>
            <w:r>
              <w:rPr>
                <w:sz w:val="18"/>
              </w:rPr>
              <w:t>Tratamiento del rango</w:t>
            </w:r>
          </w:p>
        </w:tc>
        <w:tc>
          <w:tcPr>
            <w:tcW w:type="dxa" w:w="3005"/>
            <w:shd w:val="clear" w:fill="EEF2F7"/>
          </w:tcPr>
          <w:p>
            <w:pPr>
              <w:jc w:val="left"/>
            </w:pPr>
            <w:r/>
            <w:r>
              <w:rPr>
                <w:sz w:val="18"/>
              </w:rPr>
              <w:t>Truncamiento posterior</w:t>
            </w:r>
          </w:p>
        </w:tc>
        <w:tc>
          <w:tcPr>
            <w:tcW w:type="dxa" w:w="3005"/>
            <w:shd w:val="clear" w:fill="EEF2F7"/>
          </w:tcPr>
          <w:p>
            <w:pPr>
              <w:jc w:val="center"/>
            </w:pPr>
            <w:r/>
            <w:r>
              <w:rPr>
                <w:sz w:val="18"/>
              </w:rPr>
              <w:t>No requiere corrección</w:t>
            </w:r>
          </w:p>
        </w:tc>
      </w:tr>
      <w:tr>
        <w:tc>
          <w:tcPr>
            <w:tcW w:type="dxa" w:w="2835"/>
          </w:tcPr>
          <w:p>
            <w:pPr>
              <w:jc w:val="left"/>
            </w:pPr>
            <w:r/>
            <w:r>
              <w:rPr>
                <w:sz w:val="18"/>
              </w:rPr>
              <w:t>Coherencia con el agregado</w:t>
            </w:r>
          </w:p>
        </w:tc>
        <w:tc>
          <w:tcPr>
            <w:tcW w:type="dxa" w:w="3005"/>
          </w:tcPr>
          <w:p>
            <w:pPr>
              <w:jc w:val="left"/>
            </w:pPr>
            <w:r/>
            <w:r>
              <w:rPr>
                <w:sz w:val="18"/>
              </w:rPr>
              <w:t>No garantizada</w:t>
            </w:r>
          </w:p>
        </w:tc>
        <w:tc>
          <w:tcPr>
            <w:tcW w:type="dxa" w:w="3005"/>
          </w:tcPr>
          <w:p>
            <w:pPr>
              <w:jc w:val="center"/>
            </w:pPr>
            <w:r/>
            <w:r>
              <w:rPr>
                <w:sz w:val="18"/>
              </w:rPr>
              <w:t>Exacta mediante benchmarking</w:t>
            </w:r>
          </w:p>
        </w:tc>
      </w:tr>
      <w:tr>
        <w:tc>
          <w:tcPr>
            <w:tcW w:type="dxa" w:w="2835"/>
            <w:shd w:val="clear" w:fill="EEF2F7"/>
          </w:tcPr>
          <w:p>
            <w:pPr>
              <w:jc w:val="left"/>
            </w:pPr>
            <w:r/>
            <w:r>
              <w:rPr>
                <w:sz w:val="18"/>
              </w:rPr>
              <w:t>Componente aleatorio</w:t>
            </w:r>
          </w:p>
        </w:tc>
        <w:tc>
          <w:tcPr>
            <w:tcW w:type="dxa" w:w="3005"/>
            <w:shd w:val="clear" w:fill="EEF2F7"/>
          </w:tcPr>
          <w:p>
            <w:pPr>
              <w:jc w:val="left"/>
            </w:pPr>
            <w:r/>
            <w:r>
              <w:rPr>
                <w:sz w:val="18"/>
              </w:rPr>
              <w:t>Efecto aleatorio de área</w:t>
            </w:r>
          </w:p>
        </w:tc>
        <w:tc>
          <w:tcPr>
            <w:tcW w:type="dxa" w:w="3005"/>
            <w:shd w:val="clear" w:fill="EEF2F7"/>
          </w:tcPr>
          <w:p>
            <w:pPr>
              <w:jc w:val="center"/>
            </w:pPr>
            <w:r/>
            <w:r>
              <w:rPr>
                <w:sz w:val="18"/>
              </w:rPr>
              <w:t>Varianza adicional de modelo</w:t>
            </w:r>
          </w:p>
        </w:tc>
      </w:tr>
      <w:tr>
        <w:tc>
          <w:tcPr>
            <w:tcW w:type="dxa" w:w="2835"/>
          </w:tcPr>
          <w:p>
            <w:pPr>
              <w:jc w:val="left"/>
            </w:pPr>
            <w:r/>
            <w:r>
              <w:rPr>
                <w:sz w:val="18"/>
              </w:rPr>
              <w:t>Referencia principal</w:t>
            </w:r>
          </w:p>
        </w:tc>
        <w:tc>
          <w:tcPr>
            <w:tcW w:type="dxa" w:w="3005"/>
          </w:tcPr>
          <w:p>
            <w:pPr>
              <w:jc w:val="left"/>
            </w:pPr>
            <w:r/>
            <w:r>
              <w:rPr>
                <w:sz w:val="18"/>
              </w:rPr>
              <w:t>Fay y Herriot (1979)</w:t>
            </w:r>
          </w:p>
        </w:tc>
        <w:tc>
          <w:tcPr>
            <w:tcW w:type="dxa" w:w="3005"/>
          </w:tcPr>
          <w:p>
            <w:pPr>
              <w:jc w:val="center"/>
            </w:pPr>
            <w:r/>
            <w:r>
              <w:rPr>
                <w:sz w:val="18"/>
              </w:rPr>
              <w:t>Torabi y Rao (2014)</w:t>
            </w:r>
          </w:p>
        </w:tc>
      </w:tr>
    </w:tbl>
    <w:p/>
    <w:p>
      <w:pPr>
        <w:spacing w:before="60"/>
      </w:pPr>
      <w:r>
        <w:rPr>
          <w:b/>
          <w:color w:val="1F3564"/>
          <w:sz w:val="18"/>
        </w:rPr>
        <w:t xml:space="preserve">Tabla 1. </w:t>
      </w:r>
      <w:r>
        <w:rPr>
          <w:color w:val="444444"/>
          <w:sz w:val="18"/>
        </w:rPr>
        <w:t>Comparación estructural entre las dos formulaciones implementadas. Las diferencias no se limitan al desempeño predictivo, sino que comprenden las propiedades que cada formulación garantiza sobre las estimaciones resultantes.</w:t>
      </w:r>
    </w:p>
    <w:p>
      <w:r>
        <w:t>La Tabla 1 sintetiza las diferencias entre ambas formulaciones. Conviene destacar que no se trata de modelos jerárquicamente ordenados, en el sentido de que uno constituya una generalización del otro. Cada uno responde a un conjunto distinto de prioridades: el modelo de área privilegia la simplicidad y la disponibilidad de resultados teóricos establecidos sobre la incertidumbre, mientras que el modelo de subárea privilegia la coherencia estructural de las estimaciones con las propiedades del indicador y con los agregados oficiales.</w:t>
      </w:r>
    </w:p>
    <w:p>
      <w:pPr>
        <w:pStyle w:val="Heading1"/>
      </w:pPr>
      <w:r>
        <w:t>6. Instrumentos de diagnóstico y validación</w:t>
      </w:r>
    </w:p>
    <w:p>
      <w:pPr>
        <w:pStyle w:val="Heading2"/>
      </w:pPr>
      <w:r>
        <w:t>6.1. Modelos lineales ordinarios como diagnóstico</w:t>
      </w:r>
    </w:p>
    <w:p>
      <w:r>
        <w:t>La regresión por mínimos cuadrados ordinarios se emplea en este trabajo con función diagnóstica y no como formulación competidora. Su utilidad reside en tres aspectos: permite examinar la coherencia de los signos de los coeficientes respecto a la teoría, cuantificar la colinealidad entre covariables, y evaluar la estabilidad de las relaciones al modificar la especificación.</w:t>
      </w:r>
    </w:p>
    <w:p>
      <w:r>
        <w:t>La colinealidad se cuantifica mediante el factor de inflación de varianza, definido para cada covariable como:</w:t>
      </w:r>
    </w:p>
    <w:p>
      <w:pPr>
        <w:spacing w:before="140" w:after="140"/>
        <w:jc w:val="center"/>
      </w:pPr>
      <w:r>
        <w:rPr>
          <w:rFonts w:ascii="Cambria Math" w:hAnsi="Cambria Math"/>
          <w:i/>
          <w:sz w:val="24"/>
        </w:rPr>
        <w:t>VIF_j = 1 / (1 − R²_j)</w:t>
      </w:r>
      <w:r>
        <w:rPr>
          <w:color w:val="444444"/>
          <w:sz w:val="20"/>
        </w:rPr>
        <w:t xml:space="preserve">          (13)</w:t>
      </w:r>
    </w:p>
    <w:p>
      <w:r>
        <w:t>donde el coeficiente de determinación corresponde a la regresión de la covariable j sobre las restantes. Valores elevados indican que la covariable aporta información redundante respecto al resto del conjunto.</w:t>
      </w:r>
    </w:p>
    <w:p>
      <w:pPr>
        <w:pStyle w:val="Heading2"/>
      </w:pPr>
      <w:r>
        <w:t>6.2. Estrategia de validación</w:t>
      </w:r>
    </w:p>
    <w:p>
      <w:r>
        <w:t>La evaluación del desempeño predictivo en estimación de áreas pequeñas presenta una dificultad específica. Los esquemas convencionales de partición aleatoria de la muestra resultan inadecuados porque el objetivo no es predecir observaciones individuales sino calibrar parámetros a partir de un número limitado de dominios observados.</w:t>
      </w:r>
    </w:p>
    <w:p>
      <w:r>
        <w:t>La alternativa adoptada consiste en la exclusión sucesiva de dominios completos. En cada iteración se excluye un dominio, se reestima el modelo con los restantes y se predice el dominio excluido utilizando únicamente la componente sintética. El procedimiento evita interpretar como capacidad predictiva lo que en realidad corresponde a ajuste dentro de muestra.</w:t>
      </w:r>
    </w:p>
    <w:p>
      <w:r>
        <w:rPr>
          <w:b/>
        </w:rPr>
        <w:t xml:space="preserve">Precaución necesaria. </w:t>
      </w:r>
      <w:r>
        <w:t>Los parámetros empleados para transformar o estandarizar covariables deben recalcularse en cada iteración usando exclusivamente las unidades del conjunto de entrenamiento. De lo contrario se produce filtración de información del dominio excluido, lo que sesga las métricas resultantes en dirección optimista.</w:t>
      </w:r>
    </w:p>
    <w:p>
      <w:pPr>
        <w:pStyle w:val="Heading2"/>
      </w:pPr>
      <w:r>
        <w:t>6.3. Métricas de desempeño</w:t>
      </w:r>
    </w:p>
    <w:p>
      <w:r>
        <w:t>La comparación emplea tres métricas complementarias. La raíz del error cuadrático medio penaliza de forma cuadrática los errores grandes y resulta por tanto sensible a dominios atípicos:</w:t>
      </w:r>
    </w:p>
    <w:p>
      <w:pPr>
        <w:spacing w:before="140" w:after="140"/>
        <w:jc w:val="center"/>
      </w:pPr>
      <w:r>
        <w:rPr>
          <w:rFonts w:ascii="Cambria Math" w:hAnsi="Cambria Math"/>
          <w:i/>
          <w:sz w:val="24"/>
        </w:rPr>
        <w:t>RMSE = [ (1/D) · Σ_d (ŷ_d − θ̂_d)² ]^(1/2)</w:t>
      </w:r>
      <w:r>
        <w:rPr>
          <w:color w:val="444444"/>
          <w:sz w:val="20"/>
        </w:rPr>
        <w:t xml:space="preserve">          (14)</w:t>
      </w:r>
    </w:p>
    <w:p>
      <w:r>
        <w:t>El error absoluto medio pondera todos los errores de manera uniforme, lo que lo hace menos sensible a valores extremos:</w:t>
      </w:r>
    </w:p>
    <w:p>
      <w:pPr>
        <w:spacing w:before="140" w:after="140"/>
        <w:jc w:val="center"/>
      </w:pPr>
      <w:r>
        <w:rPr>
          <w:rFonts w:ascii="Cambria Math" w:hAnsi="Cambria Math"/>
          <w:i/>
          <w:sz w:val="24"/>
        </w:rPr>
        <w:t>MAE = (1/D) · Σ_d |ŷ_d − θ̂_d|</w:t>
      </w:r>
      <w:r>
        <w:rPr>
          <w:color w:val="444444"/>
          <w:sz w:val="20"/>
        </w:rPr>
        <w:t xml:space="preserve">          (15)</w:t>
      </w:r>
    </w:p>
    <w:p>
      <w:r>
        <w:t>La correlación evalúa la capacidad del modelo para reproducir el ordenamiento relativo de los dominios, aspecto pertinente cuando las estimaciones se emplean con fines de focalización territorial.</w:t>
      </w:r>
    </w:p>
    <w:p>
      <w:r>
        <w:rPr>
          <w:b/>
        </w:rPr>
        <w:t xml:space="preserve">Uso conjunto. </w:t>
      </w:r>
      <w:r>
        <w:t>La divergencia entre estas métricas resulta informativa. Un modelo puede presentar mejor error absoluto medio y peor raíz del error cuadrático medio, situación que indica buen desempeño general con fallas concentradas en dominios particulares. Reportar las tres permite distinguir este tipo de comportamiento.</w:t>
      </w:r>
    </w:p>
    <w:p>
      <w:pPr>
        <w:pStyle w:val="Heading2"/>
      </w:pPr>
      <w:r>
        <w:t>6.4. Autocorrelación espacial</w:t>
      </w:r>
    </w:p>
    <w:p>
      <w:r>
        <w:t>La evaluación de estructura espacial residual se realiza mediante el estadístico de Moran, definido como:</w:t>
      </w:r>
    </w:p>
    <w:p>
      <w:pPr>
        <w:spacing w:before="140" w:after="140"/>
        <w:jc w:val="center"/>
      </w:pPr>
      <w:r>
        <w:rPr>
          <w:rFonts w:ascii="Cambria Math" w:hAnsi="Cambria Math"/>
          <w:i/>
          <w:sz w:val="24"/>
        </w:rPr>
        <w:t>I = (D / Σ_ij w_ij) · [ Σ_ij w_ij (r_i − r̄)(r_j − r̄) ] / Σ_i (r_i − r̄)²</w:t>
      </w:r>
      <w:r>
        <w:rPr>
          <w:color w:val="444444"/>
          <w:sz w:val="20"/>
        </w:rPr>
        <w:t xml:space="preserve">          (16)</w:t>
      </w:r>
    </w:p>
    <w:p>
      <w:r>
        <w:t>donde r representa los residuos del modelo y los pesos w_ij codifican la proximidad entre dominios. El estadístico se encuentra acotado aproximadamente entre menos uno y uno. Valores positivos indican que dominios próximos presentan residuos similares, lo que sugiere estructura territorial no capturada por las covariables. La inferencia puede realizarse mediante permutaciones, procedimiento que no requiere supuestos distribucionales.</w:t>
      </w:r>
    </w:p>
    <w:p>
      <w:r>
        <w:rPr>
          <w:b/>
        </w:rPr>
        <w:t xml:space="preserve">Sensibilidad a la matriz de pesos. </w:t>
      </w:r>
      <w:r>
        <w:t>El resultado depende de la definición de vecindad adoptada. Por esta razón conviene evaluar el estadístico bajo distintas matrices y reportar la consistencia de las conclusiones. Configuraciones territoriales con unidades insulares o desconectadas requieren además una decisión explícita sobre su tratamiento, dado que carecen de vecinos bajo criterios de contigüidad estricta.</w:t>
      </w:r>
    </w:p>
    <w:p>
      <w:pPr>
        <w:pStyle w:val="Heading2"/>
      </w:pPr>
      <w:r>
        <w:t>6.5. Modelos espaciales</w:t>
      </w:r>
    </w:p>
    <w:p>
      <w:r>
        <w:t>Cuando el diagnóstico indica presencia de estructura espacial, la literatura ofrece dos formulaciones básicas que difieren en el componente al cual atribuyen la dependencia. El modelo de rezago espacial la ubica en la variable dependiente:</w:t>
      </w:r>
    </w:p>
    <w:p>
      <w:pPr>
        <w:spacing w:before="140" w:after="140"/>
        <w:jc w:val="center"/>
      </w:pPr>
      <w:r>
        <w:rPr>
          <w:rFonts w:ascii="Cambria Math" w:hAnsi="Cambria Math"/>
          <w:i/>
          <w:sz w:val="24"/>
        </w:rPr>
        <w:t>y = ρWy + Xβ + ε</w:t>
      </w:r>
      <w:r>
        <w:rPr>
          <w:color w:val="444444"/>
          <w:sz w:val="20"/>
        </w:rPr>
        <w:t xml:space="preserve">          (17)</w:t>
      </w:r>
    </w:p>
    <w:p>
      <w:r>
        <w:t>El modelo de error espacial la ubica en el término no observado:</w:t>
      </w:r>
    </w:p>
    <w:p>
      <w:pPr>
        <w:spacing w:before="140" w:after="140"/>
        <w:jc w:val="center"/>
      </w:pPr>
      <w:r>
        <w:rPr>
          <w:rFonts w:ascii="Cambria Math" w:hAnsi="Cambria Math"/>
          <w:i/>
          <w:sz w:val="24"/>
        </w:rPr>
        <w:t>y = Xβ + u ,      u = λWu + ε</w:t>
      </w:r>
      <w:r>
        <w:rPr>
          <w:color w:val="444444"/>
          <w:sz w:val="20"/>
        </w:rPr>
        <w:t xml:space="preserve">          (18)</w:t>
      </w:r>
    </w:p>
    <w:p>
      <w:r>
        <w:t>La distinción tiene contenido sustantivo. El primer modelo supone un proceso de difusión entre dominios, en el cual el valor de una unidad influye directamente sobre el de sus vecinas. El segundo supone que la dependencia proviene de factores no observados con estructura territorial. La comparación mediante criterios de información permite discriminar entre ambas hipótesis, y el resultado orienta la interpretación sustantiva del fenómeno.</w:t>
      </w:r>
    </w:p>
    <w:p>
      <w:pPr>
        <w:pStyle w:val="Heading1"/>
      </w:pPr>
      <w:r>
        <w:t>7. Síntesis de la fundamentación</w:t>
      </w:r>
    </w:p>
    <w:tbl>
      <w:tblPr>
        <w:tblStyle w:val="TableGrid"/>
        <w:tblW w:type="auto" w:w="0"/>
        <w:jc w:val="center"/>
        <w:tblLook w:firstColumn="1" w:firstRow="1" w:lastColumn="0" w:lastRow="0" w:noHBand="0" w:noVBand="1" w:val="04A0"/>
      </w:tblPr>
      <w:tblGrid>
        <w:gridCol w:w="3097"/>
        <w:gridCol w:w="3097"/>
        <w:gridCol w:w="3097"/>
      </w:tblGrid>
      <w:tr>
        <w:tc>
          <w:tcPr>
            <w:tcW w:type="dxa" w:w="2154"/>
            <w:shd w:val="clear" w:fill="1F3564"/>
          </w:tcPr>
          <w:p>
            <w:pPr>
              <w:jc w:val="center"/>
            </w:pPr>
            <w:r/>
            <w:r>
              <w:rPr>
                <w:b/>
                <w:color w:val="FFFFFF"/>
                <w:sz w:val="18"/>
              </w:rPr>
              <w:t>Componente</w:t>
            </w:r>
          </w:p>
        </w:tc>
        <w:tc>
          <w:tcPr>
            <w:tcW w:type="dxa" w:w="3061"/>
            <w:shd w:val="clear" w:fill="1F3564"/>
          </w:tcPr>
          <w:p>
            <w:pPr>
              <w:jc w:val="center"/>
            </w:pPr>
            <w:r/>
            <w:r>
              <w:rPr>
                <w:b/>
                <w:color w:val="FFFFFF"/>
                <w:sz w:val="18"/>
              </w:rPr>
              <w:t>Referencia</w:t>
            </w:r>
          </w:p>
        </w:tc>
        <w:tc>
          <w:tcPr>
            <w:tcW w:type="dxa" w:w="3628"/>
            <w:shd w:val="clear" w:fill="1F3564"/>
          </w:tcPr>
          <w:p>
            <w:pPr>
              <w:jc w:val="center"/>
            </w:pPr>
            <w:r/>
            <w:r>
              <w:rPr>
                <w:b/>
                <w:color w:val="FFFFFF"/>
                <w:sz w:val="18"/>
              </w:rPr>
              <w:t>Aporte</w:t>
            </w:r>
          </w:p>
        </w:tc>
      </w:tr>
      <w:tr>
        <w:tc>
          <w:tcPr>
            <w:tcW w:type="dxa" w:w="2154"/>
          </w:tcPr>
          <w:p>
            <w:pPr>
              <w:jc w:val="left"/>
            </w:pPr>
            <w:r/>
            <w:r>
              <w:rPr>
                <w:sz w:val="18"/>
              </w:rPr>
              <w:t>Modelo de área</w:t>
            </w:r>
          </w:p>
        </w:tc>
        <w:tc>
          <w:tcPr>
            <w:tcW w:type="dxa" w:w="3061"/>
          </w:tcPr>
          <w:p>
            <w:pPr>
              <w:jc w:val="left"/>
            </w:pPr>
            <w:r/>
            <w:r>
              <w:rPr>
                <w:sz w:val="18"/>
              </w:rPr>
              <w:t>Fay y Herriot (1979), Journal of the American Statistical Association</w:t>
            </w:r>
          </w:p>
        </w:tc>
        <w:tc>
          <w:tcPr>
            <w:tcW w:type="dxa" w:w="3628"/>
          </w:tcPr>
          <w:p>
            <w:pPr>
              <w:jc w:val="center"/>
            </w:pPr>
            <w:r/>
            <w:r>
              <w:rPr>
                <w:sz w:val="18"/>
              </w:rPr>
              <w:t>Formulación original del modelo de área con aplicación a ingresos en localidades pequeñas</w:t>
            </w:r>
          </w:p>
        </w:tc>
      </w:tr>
      <w:tr>
        <w:tc>
          <w:tcPr>
            <w:tcW w:type="dxa" w:w="2154"/>
            <w:shd w:val="clear" w:fill="EEF2F7"/>
          </w:tcPr>
          <w:p>
            <w:pPr>
              <w:jc w:val="left"/>
            </w:pPr>
            <w:r/>
            <w:r>
              <w:rPr>
                <w:sz w:val="18"/>
              </w:rPr>
              <w:t>Error cuadrático medio</w:t>
            </w:r>
          </w:p>
        </w:tc>
        <w:tc>
          <w:tcPr>
            <w:tcW w:type="dxa" w:w="3061"/>
            <w:shd w:val="clear" w:fill="EEF2F7"/>
          </w:tcPr>
          <w:p>
            <w:pPr>
              <w:jc w:val="left"/>
            </w:pPr>
            <w:r/>
            <w:r>
              <w:rPr>
                <w:sz w:val="18"/>
              </w:rPr>
              <w:t>Prasad y Rao (1990), Journal of the American Statistical Association</w:t>
            </w:r>
          </w:p>
        </w:tc>
        <w:tc>
          <w:tcPr>
            <w:tcW w:type="dxa" w:w="3628"/>
            <w:shd w:val="clear" w:fill="EEF2F7"/>
          </w:tcPr>
          <w:p>
            <w:pPr>
              <w:jc w:val="center"/>
            </w:pPr>
            <w:r/>
            <w:r>
              <w:rPr>
                <w:sz w:val="18"/>
              </w:rPr>
              <w:t>Estimador insesgado de segundo orden mediante linealización</w:t>
            </w:r>
          </w:p>
        </w:tc>
      </w:tr>
      <w:tr>
        <w:tc>
          <w:tcPr>
            <w:tcW w:type="dxa" w:w="2154"/>
          </w:tcPr>
          <w:p>
            <w:pPr>
              <w:jc w:val="left"/>
            </w:pPr>
            <w:r/>
            <w:r>
              <w:rPr>
                <w:sz w:val="18"/>
              </w:rPr>
              <w:t>Estructura de subárea</w:t>
            </w:r>
          </w:p>
        </w:tc>
        <w:tc>
          <w:tcPr>
            <w:tcW w:type="dxa" w:w="3061"/>
          </w:tcPr>
          <w:p>
            <w:pPr>
              <w:jc w:val="left"/>
            </w:pPr>
            <w:r/>
            <w:r>
              <w:rPr>
                <w:sz w:val="18"/>
              </w:rPr>
              <w:t>Torabi y Rao (2014), Journal of Multivariate Analysis</w:t>
            </w:r>
          </w:p>
        </w:tc>
        <w:tc>
          <w:tcPr>
            <w:tcW w:type="dxa" w:w="3628"/>
          </w:tcPr>
          <w:p>
            <w:pPr>
              <w:jc w:val="center"/>
            </w:pPr>
            <w:r/>
            <w:r>
              <w:rPr>
                <w:sz w:val="18"/>
              </w:rPr>
              <w:t>Extensión al nivel de subárea con estimadores para subáreas no muestreadas</w:t>
            </w:r>
          </w:p>
        </w:tc>
      </w:tr>
      <w:tr>
        <w:tc>
          <w:tcPr>
            <w:tcW w:type="dxa" w:w="2154"/>
            <w:shd w:val="clear" w:fill="EEF2F7"/>
          </w:tcPr>
          <w:p>
            <w:pPr>
              <w:jc w:val="left"/>
            </w:pPr>
            <w:r/>
            <w:r>
              <w:rPr>
                <w:sz w:val="18"/>
              </w:rPr>
              <w:t>Soporte acotado</w:t>
            </w:r>
          </w:p>
        </w:tc>
        <w:tc>
          <w:tcPr>
            <w:tcW w:type="dxa" w:w="3061"/>
            <w:shd w:val="clear" w:fill="EEF2F7"/>
          </w:tcPr>
          <w:p>
            <w:pPr>
              <w:jc w:val="left"/>
            </w:pPr>
            <w:r/>
            <w:r>
              <w:rPr>
                <w:sz w:val="18"/>
              </w:rPr>
              <w:t>Janicki (2020), Communications in Statistics</w:t>
            </w:r>
          </w:p>
        </w:tc>
        <w:tc>
          <w:tcPr>
            <w:tcW w:type="dxa" w:w="3628"/>
            <w:shd w:val="clear" w:fill="EEF2F7"/>
          </w:tcPr>
          <w:p>
            <w:pPr>
              <w:jc w:val="center"/>
            </w:pPr>
            <w:r/>
            <w:r>
              <w:rPr>
                <w:sz w:val="18"/>
              </w:rPr>
              <w:t>Inadecuación del modelo lineal cerca de la frontera del intervalo</w:t>
            </w:r>
          </w:p>
        </w:tc>
      </w:tr>
      <w:tr>
        <w:tc>
          <w:tcPr>
            <w:tcW w:type="dxa" w:w="2154"/>
          </w:tcPr>
          <w:p>
            <w:pPr>
              <w:jc w:val="left"/>
            </w:pPr>
            <w:r/>
            <w:r>
              <w:rPr>
                <w:sz w:val="18"/>
              </w:rPr>
              <w:t>Indicadores en el intervalo unitario</w:t>
            </w:r>
          </w:p>
        </w:tc>
        <w:tc>
          <w:tcPr>
            <w:tcW w:type="dxa" w:w="3061"/>
          </w:tcPr>
          <w:p>
            <w:pPr>
              <w:jc w:val="left"/>
            </w:pPr>
            <w:r/>
            <w:r>
              <w:rPr>
                <w:sz w:val="18"/>
              </w:rPr>
              <w:t>De Nicolò y Gardini (2024), Journal of Statistical Software</w:t>
            </w:r>
          </w:p>
        </w:tc>
        <w:tc>
          <w:tcPr>
            <w:tcW w:type="dxa" w:w="3628"/>
          </w:tcPr>
          <w:p>
            <w:pPr>
              <w:jc w:val="center"/>
            </w:pPr>
            <w:r/>
            <w:r>
              <w:rPr>
                <w:sz w:val="18"/>
              </w:rPr>
              <w:t>Revisión de modelos transformados y de regresión beta</w:t>
            </w:r>
          </w:p>
        </w:tc>
      </w:tr>
      <w:tr>
        <w:tc>
          <w:tcPr>
            <w:tcW w:type="dxa" w:w="2154"/>
            <w:shd w:val="clear" w:fill="EEF2F7"/>
          </w:tcPr>
          <w:p>
            <w:pPr>
              <w:jc w:val="left"/>
            </w:pPr>
            <w:r/>
            <w:r>
              <w:rPr>
                <w:sz w:val="18"/>
              </w:rPr>
              <w:t>Benchmarking</w:t>
            </w:r>
          </w:p>
        </w:tc>
        <w:tc>
          <w:tcPr>
            <w:tcW w:type="dxa" w:w="3061"/>
            <w:shd w:val="clear" w:fill="EEF2F7"/>
          </w:tcPr>
          <w:p>
            <w:pPr>
              <w:jc w:val="left"/>
            </w:pPr>
            <w:r/>
            <w:r>
              <w:rPr>
                <w:sz w:val="18"/>
              </w:rPr>
              <w:t>Datta, Ghosh, Steorts y Maples (2011), TEST</w:t>
            </w:r>
          </w:p>
        </w:tc>
        <w:tc>
          <w:tcPr>
            <w:tcW w:type="dxa" w:w="3628"/>
            <w:shd w:val="clear" w:fill="EEF2F7"/>
          </w:tcPr>
          <w:p>
            <w:pPr>
              <w:jc w:val="center"/>
            </w:pPr>
            <w:r/>
            <w:r>
              <w:rPr>
                <w:sz w:val="18"/>
              </w:rPr>
              <w:t>Motivación estadística e institucional del ajuste a agregados</w:t>
            </w:r>
          </w:p>
        </w:tc>
      </w:tr>
      <w:tr>
        <w:tc>
          <w:tcPr>
            <w:tcW w:type="dxa" w:w="2154"/>
          </w:tcPr>
          <w:p>
            <w:pPr>
              <w:jc w:val="left"/>
            </w:pPr>
            <w:r/>
            <w:r>
              <w:rPr>
                <w:sz w:val="18"/>
              </w:rPr>
              <w:t>Benchmarking en dos etapas</w:t>
            </w:r>
          </w:p>
        </w:tc>
        <w:tc>
          <w:tcPr>
            <w:tcW w:type="dxa" w:w="3061"/>
          </w:tcPr>
          <w:p>
            <w:pPr>
              <w:jc w:val="left"/>
            </w:pPr>
            <w:r/>
            <w:r>
              <w:rPr>
                <w:sz w:val="18"/>
              </w:rPr>
              <w:t>Ghosh y Steorts (2013), TEST</w:t>
            </w:r>
          </w:p>
        </w:tc>
        <w:tc>
          <w:tcPr>
            <w:tcW w:type="dxa" w:w="3628"/>
          </w:tcPr>
          <w:p>
            <w:pPr>
              <w:jc w:val="center"/>
            </w:pPr>
            <w:r/>
            <w:r>
              <w:rPr>
                <w:sz w:val="18"/>
              </w:rPr>
              <w:t>Restricciones simultáneas en más de un nivel de agregación</w:t>
            </w:r>
          </w:p>
        </w:tc>
      </w:tr>
      <w:tr>
        <w:tc>
          <w:tcPr>
            <w:tcW w:type="dxa" w:w="2154"/>
            <w:shd w:val="clear" w:fill="EEF2F7"/>
          </w:tcPr>
          <w:p>
            <w:pPr>
              <w:jc w:val="left"/>
            </w:pPr>
            <w:r/>
            <w:r>
              <w:rPr>
                <w:sz w:val="18"/>
              </w:rPr>
              <w:t>Tratamiento sistemático</w:t>
            </w:r>
          </w:p>
        </w:tc>
        <w:tc>
          <w:tcPr>
            <w:tcW w:type="dxa" w:w="3061"/>
            <w:shd w:val="clear" w:fill="EEF2F7"/>
          </w:tcPr>
          <w:p>
            <w:pPr>
              <w:jc w:val="left"/>
            </w:pPr>
            <w:r/>
            <w:r>
              <w:rPr>
                <w:sz w:val="18"/>
              </w:rPr>
              <w:t>Rao y Molina (2015), Small Area Estimation, segunda edición</w:t>
            </w:r>
          </w:p>
        </w:tc>
        <w:tc>
          <w:tcPr>
            <w:tcW w:type="dxa" w:w="3628"/>
            <w:shd w:val="clear" w:fill="EEF2F7"/>
          </w:tcPr>
          <w:p>
            <w:pPr>
              <w:jc w:val="center"/>
            </w:pPr>
            <w:r/>
            <w:r>
              <w:rPr>
                <w:sz w:val="18"/>
              </w:rPr>
              <w:t>Modelos de área y de unidad, procedimientos de restricción</w:t>
            </w:r>
          </w:p>
        </w:tc>
      </w:tr>
    </w:tbl>
    <w:p/>
    <w:p>
      <w:pPr>
        <w:spacing w:before="60"/>
      </w:pPr>
      <w:r>
        <w:rPr>
          <w:b/>
          <w:color w:val="1F3564"/>
          <w:sz w:val="18"/>
        </w:rPr>
        <w:t xml:space="preserve">Tabla 2. </w:t>
      </w:r>
      <w:r>
        <w:rPr>
          <w:color w:val="444444"/>
          <w:sz w:val="18"/>
        </w:rPr>
        <w:t>Correspondencia entre los componentes teóricos desarrollados en este capítulo y la literatura que los sustenta.</w:t>
      </w:r>
    </w:p>
    <w:p>
      <w:r>
        <w:t>El trabajo articula tres elementos con desarrollo independiente en la literatura: el modelo de área en su formulación clásica, la estructura de subárea anidada, y el tratamiento del soporte acotado mediante enlace no lineal con ajuste posterior a los agregados. La contribución no reside en ninguno de estos componentes por separado, sino en su articulación y comparación sistemática para un problema en el que la observación directa existe únicamente en el nivel superior de la jerarquía territorial.</w:t>
      </w:r>
    </w:p>
    <w:p>
      <w:pPr>
        <w:pStyle w:val="Heading1"/>
      </w:pPr>
      <w:r>
        <w:t>Referencias</w:t>
      </w:r>
    </w:p>
    <w:p>
      <w:pPr>
        <w:spacing w:after="120"/>
        <w:ind w:hanging="397" w:left="397"/>
      </w:pPr>
      <w:r>
        <w:rPr>
          <w:sz w:val="20"/>
        </w:rPr>
        <w:t>Datta, G. S. y Lahiri, P. (2000). A unified measure of uncertainty of estimated best linear unbiased predictors in small area estimation problems. Statistica Sinica, 10(2), 613-627.</w:t>
      </w:r>
    </w:p>
    <w:p>
      <w:pPr>
        <w:spacing w:after="120"/>
        <w:ind w:hanging="397" w:left="397"/>
      </w:pPr>
      <w:r>
        <w:rPr>
          <w:sz w:val="20"/>
        </w:rPr>
        <w:t>Datta, G. S., Ghosh, M., Steorts, R. y Maples, J. (2011). Bayesian benchmarking with applications to small area estimation. TEST, 20(3), 574-588.</w:t>
      </w:r>
    </w:p>
    <w:p>
      <w:pPr>
        <w:spacing w:after="120"/>
        <w:ind w:hanging="397" w:left="397"/>
      </w:pPr>
      <w:r>
        <w:rPr>
          <w:sz w:val="20"/>
        </w:rPr>
        <w:t>Datta, G. S., Rao, J. N. K. y Smith, D. D. (2005). On measuring the variability of small area estimators under a basic area level model. Biometrika, 92(1), 183-196.</w:t>
      </w:r>
    </w:p>
    <w:p>
      <w:pPr>
        <w:spacing w:after="120"/>
        <w:ind w:hanging="397" w:left="397"/>
      </w:pPr>
      <w:r>
        <w:rPr>
          <w:sz w:val="20"/>
        </w:rPr>
        <w:t>De Nicolò, S. y Gardini, A. (2024). The R package tipsae: tools for mapping proportions and indicators on the unit interval. Journal of Statistical Software, 108(1).</w:t>
      </w:r>
    </w:p>
    <w:p>
      <w:pPr>
        <w:spacing w:after="120"/>
        <w:ind w:hanging="397" w:left="397"/>
      </w:pPr>
      <w:r>
        <w:rPr>
          <w:sz w:val="20"/>
        </w:rPr>
        <w:t>Fay, R. E. y Herriot, R. A. (1979). Estimates of income for small places: an application of James-Stein procedures to census data. Journal of the American Statistical Association, 74(366), 269-277.</w:t>
      </w:r>
    </w:p>
    <w:p>
      <w:pPr>
        <w:spacing w:after="120"/>
        <w:ind w:hanging="397" w:left="397"/>
      </w:pPr>
      <w:r>
        <w:rPr>
          <w:sz w:val="20"/>
        </w:rPr>
        <w:t>Ghosh, M. y Steorts, R. C. (2013). Two-stage Bayesian benchmarking as applied to small area estimation. TEST, 22(4), 670-687.</w:t>
      </w:r>
    </w:p>
    <w:p>
      <w:pPr>
        <w:spacing w:after="120"/>
        <w:ind w:hanging="397" w:left="397"/>
      </w:pPr>
      <w:r>
        <w:rPr>
          <w:sz w:val="20"/>
        </w:rPr>
        <w:t>Ghosh, M., Kubokawa, T. y Kawakubo, Y. (2015). Benchmarked empirical Bayes methods in multiplicative area-level models with risk evaluation. Biometrika, 102(3), 647-659.</w:t>
      </w:r>
    </w:p>
    <w:p>
      <w:pPr>
        <w:spacing w:after="120"/>
        <w:ind w:hanging="397" w:left="397"/>
      </w:pPr>
      <w:r>
        <w:rPr>
          <w:sz w:val="20"/>
        </w:rPr>
        <w:t>Janicki, R. (2020). Properties of the beta regression model for small area estimation of proportions and application to estimation of poverty rates. Communications in Statistics: Theory and Methods, 49(9), 2264-2284.</w:t>
      </w:r>
    </w:p>
    <w:p>
      <w:pPr>
        <w:spacing w:after="120"/>
        <w:ind w:hanging="397" w:left="397"/>
      </w:pPr>
      <w:r>
        <w:rPr>
          <w:sz w:val="20"/>
        </w:rPr>
        <w:t>Jiang, J. (1996). REML estimation: asymptotic behavior and related topics. Annals of Statistics, 24(1), 255-286.</w:t>
      </w:r>
    </w:p>
    <w:p>
      <w:pPr>
        <w:spacing w:after="120"/>
        <w:ind w:hanging="397" w:left="397"/>
      </w:pPr>
      <w:r>
        <w:rPr>
          <w:sz w:val="20"/>
        </w:rPr>
        <w:t>Marhuenda, Y., Morales, D. y Pardo, M. C. (2014). Information criteria for Fay-Herriot model selection. Computational Statistics and Data Analysis, 70, 268-280.</w:t>
      </w:r>
    </w:p>
    <w:p>
      <w:pPr>
        <w:spacing w:after="120"/>
        <w:ind w:hanging="397" w:left="397"/>
      </w:pPr>
      <w:r>
        <w:rPr>
          <w:sz w:val="20"/>
        </w:rPr>
        <w:t>Prasad, N. G. N. y Rao, J. N. K. (1990). The estimation of the mean squared error of small-area estimators. Journal of the American Statistical Association, 85(409), 163-171.</w:t>
      </w:r>
    </w:p>
    <w:p>
      <w:pPr>
        <w:spacing w:after="120"/>
        <w:ind w:hanging="397" w:left="397"/>
      </w:pPr>
      <w:r>
        <w:rPr>
          <w:sz w:val="20"/>
        </w:rPr>
        <w:t>Rao, J. N. K. y Molina, I. (2015). Small area estimation (2a ed.). Hoboken: John Wiley and Sons.</w:t>
      </w:r>
    </w:p>
    <w:p>
      <w:pPr>
        <w:spacing w:after="120"/>
        <w:ind w:hanging="397" w:left="397"/>
      </w:pPr>
      <w:r>
        <w:rPr>
          <w:sz w:val="20"/>
        </w:rPr>
        <w:t>Torabi, M. y Rao, J. N. K. (2014). On small area estimation under a sub-area level model. Journal of Multivariate Analysis, 127, 36-55.</w:t>
      </w:r>
    </w:p>
    <w:p>
      <w:pPr>
        <w:spacing w:after="120"/>
        <w:ind w:hanging="397" w:left="397"/>
      </w:pPr>
      <w:r>
        <w:rPr>
          <w:sz w:val="20"/>
        </w:rPr>
        <w:t>Wang, J., Fuller, W. A. y Qu, Y. (2008). Small area estimation under a restriction. Survey Methodology, 34(1), 29-36.</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jc w:val="left"/>
      <w:outlineLvl w:val="0"/>
    </w:pPr>
    <w:rPr>
      <w:rFonts w:asciiTheme="majorHAnsi" w:eastAsiaTheme="majorEastAsia" w:hAnsiTheme="majorHAnsi" w:cstheme="majorBidi" w:ascii="Calibri" w:hAnsi="Calibri"/>
      <w:b/>
      <w:bCs/>
      <w:color w:val="1F3564"/>
      <w:sz w:val="33"/>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Calibri" w:hAnsi="Calibri"/>
      <w:b/>
      <w:bCs/>
      <w:color w:val="1F3564"/>
      <w:sz w:val="26"/>
      <w:szCs w:val="26"/>
    </w:rPr>
  </w:style>
  <w:style w:type="paragraph" w:styleId="Heading3">
    <w:name w:val="heading 3"/>
    <w:basedOn w:val="Normal"/>
    <w:next w:val="Normal"/>
    <w:link w:val="Heading3Char"/>
    <w:uiPriority w:val="9"/>
    <w:unhideWhenUsed/>
    <w:qFormat/>
    <w:rsid w:val="00FC693F"/>
    <w:pPr>
      <w:keepNext/>
      <w:keepLines/>
      <w:spacing w:before="220" w:after="100"/>
      <w:jc w:val="left"/>
      <w:outlineLvl w:val="2"/>
    </w:pPr>
    <w:rPr>
      <w:rFonts w:asciiTheme="majorHAnsi" w:eastAsiaTheme="majorEastAsia" w:hAnsiTheme="majorHAnsi" w:cstheme="majorBidi" w:ascii="Calibri" w:hAnsi="Calibri"/>
      <w:b/>
      <w:bCs/>
      <w:color w:val="1F35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