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8F770" w14:textId="5534D184" w:rsidR="00FE389D" w:rsidRPr="00711BAD" w:rsidRDefault="00FE389D">
      <w:pPr>
        <w:rPr>
          <w:rFonts w:ascii="Arial" w:hAnsi="Arial" w:cs="Arial"/>
          <w:b/>
          <w:bCs/>
          <w:sz w:val="22"/>
          <w:szCs w:val="22"/>
          <w:lang w:val="es-MX"/>
        </w:rPr>
      </w:pPr>
      <w:r w:rsidRPr="00711BAD">
        <w:rPr>
          <w:rFonts w:ascii="Arial" w:hAnsi="Arial" w:cs="Arial"/>
          <w:b/>
          <w:bCs/>
          <w:sz w:val="22"/>
          <w:szCs w:val="22"/>
          <w:lang w:val="es-MX"/>
        </w:rPr>
        <w:t>METODOLOGÍA</w:t>
      </w:r>
    </w:p>
    <w:p w14:paraId="47749A90" w14:textId="77777777" w:rsidR="009F2247" w:rsidRPr="00711BAD" w:rsidRDefault="009F2247" w:rsidP="009F2247">
      <w:pPr>
        <w:spacing w:after="0"/>
        <w:rPr>
          <w:rFonts w:ascii="Arial" w:hAnsi="Arial" w:cs="Arial"/>
          <w:b/>
          <w:bCs/>
          <w:sz w:val="22"/>
          <w:szCs w:val="22"/>
        </w:rPr>
      </w:pPr>
      <w:r w:rsidRPr="00711BAD">
        <w:rPr>
          <w:rFonts w:ascii="Arial" w:hAnsi="Arial" w:cs="Arial"/>
          <w:b/>
          <w:bCs/>
          <w:sz w:val="22"/>
          <w:szCs w:val="22"/>
        </w:rPr>
        <w:t>(2.1) Procesamiento de los Datos [10%]</w:t>
      </w:r>
    </w:p>
    <w:p w14:paraId="5F5A5044" w14:textId="471F613C" w:rsidR="009F2247" w:rsidRPr="00711BAD" w:rsidRDefault="009F2247" w:rsidP="009F2247">
      <w:pPr>
        <w:rPr>
          <w:rFonts w:ascii="Arial" w:hAnsi="Arial" w:cs="Arial"/>
          <w:sz w:val="22"/>
          <w:szCs w:val="22"/>
        </w:rPr>
      </w:pPr>
      <w:r w:rsidRPr="00711BAD">
        <w:rPr>
          <w:rFonts w:ascii="Arial" w:hAnsi="Arial" w:cs="Arial"/>
          <w:i/>
          <w:iCs/>
          <w:sz w:val="22"/>
          <w:szCs w:val="22"/>
        </w:rPr>
        <w:t xml:space="preserve">(Limpieza, integración, transformación e imputación de variables para el conjunto de </w:t>
      </w:r>
      <m:oMath>
        <m:r>
          <w:rPr>
            <w:rFonts w:ascii="Cambria Math" w:hAnsi="Cambria Math" w:cs="Arial"/>
            <w:sz w:val="22"/>
            <w:szCs w:val="22"/>
          </w:rPr>
          <m:t>n=1.101</m:t>
        </m:r>
      </m:oMath>
      <w:r w:rsidRPr="00711BAD">
        <w:rPr>
          <w:rFonts w:ascii="Arial" w:hAnsi="Arial" w:cs="Arial"/>
          <w:i/>
          <w:iCs/>
          <w:sz w:val="22"/>
          <w:szCs w:val="22"/>
        </w:rPr>
        <w:t xml:space="preserve"> municipios)</w:t>
      </w:r>
    </w:p>
    <w:p w14:paraId="48B53465" w14:textId="0CC3343E" w:rsidR="009F2247" w:rsidRPr="00711BAD" w:rsidRDefault="00581DE4" w:rsidP="009F2247">
      <w:pPr>
        <w:rPr>
          <w:rFonts w:ascii="Arial" w:hAnsi="Arial" w:cs="Arial"/>
          <w:sz w:val="22"/>
          <w:szCs w:val="22"/>
        </w:rPr>
      </w:pPr>
      <w:r w:rsidRPr="00711BAD">
        <w:rPr>
          <w:rFonts w:ascii="Arial" w:hAnsi="Arial" w:cs="Arial"/>
          <w:sz w:val="22"/>
          <w:szCs w:val="22"/>
        </w:rPr>
        <w:t xml:space="preserve">Para la estimación del Índice de Pobreza Multidimensional (IPM) municipal para el año 2024, se construyó una matriz analítica que integra microdatos continuos y registros administrativos consolidando </w:t>
      </w:r>
      <m:oMath>
        <m:r>
          <w:rPr>
            <w:rFonts w:ascii="Cambria Math" w:hAnsi="Cambria Math" w:cs="Arial"/>
            <w:sz w:val="22"/>
            <w:szCs w:val="22"/>
          </w:rPr>
          <m:t>n=1.101</m:t>
        </m:r>
      </m:oMath>
      <w:r w:rsidRPr="00711BAD">
        <w:rPr>
          <w:rFonts w:ascii="Arial" w:hAnsi="Arial" w:cs="Arial"/>
          <w:sz w:val="22"/>
          <w:szCs w:val="22"/>
        </w:rPr>
        <w:t xml:space="preserve"> unidades territoriales. Esta </w:t>
      </w:r>
      <w:r w:rsidR="009F2247" w:rsidRPr="00711BAD">
        <w:rPr>
          <w:rFonts w:ascii="Arial" w:hAnsi="Arial" w:cs="Arial"/>
          <w:sz w:val="22"/>
          <w:szCs w:val="22"/>
        </w:rPr>
        <w:t>base de datos integra fuentes de información primaria (GEIH y ECV - DANE) con registros administrativos (SISBEN IV, ADRES) e información geográfica/satelital (NASA VIIRS, IGAC).</w:t>
      </w:r>
    </w:p>
    <w:p w14:paraId="3FB6BF82" w14:textId="7495CFC0" w:rsidR="00581DE4" w:rsidRPr="00711BAD" w:rsidRDefault="009F2247" w:rsidP="00581DE4">
      <w:pPr>
        <w:numPr>
          <w:ilvl w:val="0"/>
          <w:numId w:val="4"/>
        </w:numPr>
        <w:rPr>
          <w:rFonts w:ascii="Arial" w:hAnsi="Arial" w:cs="Arial"/>
          <w:sz w:val="22"/>
          <w:szCs w:val="22"/>
        </w:rPr>
      </w:pPr>
      <w:r w:rsidRPr="00711BAD">
        <w:rPr>
          <w:rFonts w:ascii="Arial" w:hAnsi="Arial" w:cs="Arial"/>
          <w:b/>
          <w:bCs/>
          <w:sz w:val="22"/>
          <w:szCs w:val="22"/>
        </w:rPr>
        <w:t>Tratamiento de Datos Faltantes e Imputación:</w:t>
      </w:r>
      <w:r w:rsidRPr="00711BAD">
        <w:rPr>
          <w:rFonts w:ascii="Arial" w:hAnsi="Arial" w:cs="Arial"/>
          <w:sz w:val="22"/>
          <w:szCs w:val="22"/>
        </w:rPr>
        <w:t xml:space="preserve"> </w:t>
      </w:r>
      <w:r w:rsidR="00581DE4" w:rsidRPr="00711BAD">
        <w:rPr>
          <w:rFonts w:ascii="Arial" w:hAnsi="Arial" w:cs="Arial"/>
          <w:sz w:val="22"/>
          <w:szCs w:val="22"/>
        </w:rPr>
        <w:t>Para preservar la variabilidad natural y evitar sesgos introducidos por la eliminación de casos, la presencia de valores faltantes en variables administrativas secundarias (</w:t>
      </w:r>
      <m:oMath>
        <m:r>
          <w:rPr>
            <w:rFonts w:ascii="Cambria Math" w:hAnsi="Cambria Math" w:cs="Arial"/>
            <w:sz w:val="22"/>
            <w:szCs w:val="22"/>
          </w:rPr>
          <m:t>&lt;2%</m:t>
        </m:r>
      </m:oMath>
      <w:r w:rsidR="00581DE4" w:rsidRPr="00711BAD">
        <w:rPr>
          <w:rFonts w:ascii="Arial" w:hAnsi="Arial" w:cs="Arial"/>
          <w:sz w:val="22"/>
          <w:szCs w:val="22"/>
        </w:rPr>
        <w:t xml:space="preserve">) se abordó mediante imputación estocástica por </w:t>
      </w:r>
      <m:oMath>
        <m:r>
          <w:rPr>
            <w:rFonts w:ascii="Cambria Math" w:hAnsi="Cambria Math" w:cs="Arial"/>
            <w:sz w:val="22"/>
            <w:szCs w:val="22"/>
          </w:rPr>
          <m:t>k</m:t>
        </m:r>
      </m:oMath>
      <w:r w:rsidR="00581DE4" w:rsidRPr="00711BAD">
        <w:rPr>
          <w:rFonts w:ascii="Arial" w:hAnsi="Arial" w:cs="Arial"/>
          <w:sz w:val="22"/>
          <w:szCs w:val="22"/>
        </w:rPr>
        <w:t>-vecinos más cercanos (</w:t>
      </w:r>
      <m:oMath>
        <m:r>
          <w:rPr>
            <w:rFonts w:ascii="Cambria Math" w:hAnsi="Cambria Math" w:cs="Arial"/>
            <w:sz w:val="22"/>
            <w:szCs w:val="22"/>
          </w:rPr>
          <m:t>k</m:t>
        </m:r>
      </m:oMath>
      <w:r w:rsidR="00581DE4" w:rsidRPr="00711BAD">
        <w:rPr>
          <w:rFonts w:ascii="Arial" w:hAnsi="Arial" w:cs="Arial"/>
          <w:sz w:val="22"/>
          <w:szCs w:val="22"/>
        </w:rPr>
        <w:t>-NN). Se definió una métrica de distancia de Gower combinando proximidad geográfica (coordenadas del centroide municipal) y características socioestructurales.</w:t>
      </w:r>
    </w:p>
    <w:p w14:paraId="5E051FBC" w14:textId="12E45FF1" w:rsidR="00581DE4" w:rsidRPr="00711BAD" w:rsidRDefault="009F2247" w:rsidP="00581DE4">
      <w:pPr>
        <w:numPr>
          <w:ilvl w:val="0"/>
          <w:numId w:val="4"/>
        </w:numPr>
        <w:rPr>
          <w:rFonts w:ascii="Arial" w:hAnsi="Arial" w:cs="Arial"/>
          <w:sz w:val="22"/>
          <w:szCs w:val="22"/>
        </w:rPr>
      </w:pPr>
      <w:r w:rsidRPr="00711BAD">
        <w:rPr>
          <w:rFonts w:ascii="Arial" w:hAnsi="Arial" w:cs="Arial"/>
          <w:b/>
          <w:bCs/>
          <w:sz w:val="22"/>
          <w:szCs w:val="22"/>
        </w:rPr>
        <w:t>Transformaciones para Estabilización de Varianza:</w:t>
      </w:r>
      <w:r w:rsidRPr="00711BAD">
        <w:rPr>
          <w:rFonts w:ascii="Arial" w:hAnsi="Arial" w:cs="Arial"/>
          <w:sz w:val="22"/>
          <w:szCs w:val="22"/>
        </w:rPr>
        <w:t xml:space="preserve"> </w:t>
      </w:r>
      <w:r w:rsidR="00581DE4" w:rsidRPr="00711BAD">
        <w:rPr>
          <w:rFonts w:ascii="Arial" w:hAnsi="Arial" w:cs="Arial"/>
          <w:sz w:val="22"/>
          <w:szCs w:val="22"/>
        </w:rPr>
        <w:t xml:space="preserve">Variables con alta asimetría positiva, como la densidad poblacional y los ingresos fiscales per cápita, fueron transformadas mediante el operador logarítmico </w:t>
      </w:r>
      <m:oMath>
        <m:func>
          <m:funcPr>
            <m:ctrlPr>
              <w:rPr>
                <w:rFonts w:ascii="Cambria Math" w:hAnsi="Cambria Math" w:cs="Arial"/>
                <w:sz w:val="22"/>
                <w:szCs w:val="22"/>
              </w:rPr>
            </m:ctrlPr>
          </m:funcPr>
          <m:fName>
            <m:r>
              <m:rPr>
                <m:sty m:val="p"/>
              </m:rPr>
              <w:rPr>
                <w:rFonts w:ascii="Cambria Math" w:hAnsi="Cambria Math" w:cs="Arial"/>
                <w:sz w:val="22"/>
                <w:szCs w:val="22"/>
              </w:rPr>
              <m:t>ln</m:t>
            </m:r>
          </m:fName>
          <m:e>
            <m:d>
              <m:dPr>
                <m:ctrlPr>
                  <w:rPr>
                    <w:rFonts w:ascii="Cambria Math" w:hAnsi="Cambria Math" w:cs="Arial"/>
                    <w:sz w:val="22"/>
                    <w:szCs w:val="22"/>
                  </w:rPr>
                </m:ctrlPr>
              </m:dPr>
              <m:e>
                <m:r>
                  <w:rPr>
                    <w:rFonts w:ascii="Cambria Math" w:hAnsi="Cambria Math" w:cs="Arial"/>
                    <w:sz w:val="22"/>
                    <w:szCs w:val="22"/>
                  </w:rPr>
                  <m:t>X+1</m:t>
                </m:r>
              </m:e>
            </m:d>
          </m:e>
        </m:func>
      </m:oMath>
      <w:r w:rsidR="00581DE4" w:rsidRPr="00711BAD">
        <w:rPr>
          <w:rFonts w:ascii="Arial" w:hAnsi="Arial" w:cs="Arial"/>
          <w:sz w:val="22"/>
          <w:szCs w:val="22"/>
        </w:rPr>
        <w:t xml:space="preserve"> para reducir la presencia de observaciones atípicas en las colas. Posteriormente, las covariables continuas </w:t>
      </w:r>
      <m:oMath>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k</m:t>
            </m:r>
          </m:sub>
        </m:sSub>
      </m:oMath>
      <w:r w:rsidR="00581DE4" w:rsidRPr="00711BAD">
        <w:rPr>
          <w:rFonts w:ascii="Arial" w:hAnsi="Arial" w:cs="Arial"/>
          <w:sz w:val="22"/>
          <w:szCs w:val="22"/>
        </w:rPr>
        <w:t xml:space="preserve"> se centraron y estandarizaron:</w:t>
      </w:r>
    </w:p>
    <w:p w14:paraId="059F55BA" w14:textId="724D1CBD" w:rsidR="00581DE4" w:rsidRPr="00711BAD" w:rsidRDefault="00000000" w:rsidP="00581DE4">
      <w:pPr>
        <w:ind w:left="720"/>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z</m:t>
              </m:r>
            </m:e>
            <m:sub>
              <m:r>
                <w:rPr>
                  <w:rFonts w:ascii="Cambria Math" w:hAnsi="Cambria Math" w:cs="Arial"/>
                  <w:sz w:val="22"/>
                  <w:szCs w:val="22"/>
                </w:rPr>
                <m:t>ki</m:t>
              </m:r>
            </m:sub>
          </m:sSub>
          <m: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ki</m:t>
                  </m:r>
                </m:sub>
              </m:sSub>
              <m:r>
                <w:rPr>
                  <w:rFonts w:ascii="Cambria Math" w:hAnsi="Cambria Math" w:cs="Arial"/>
                  <w:sz w:val="22"/>
                  <w:szCs w:val="22"/>
                </w:rPr>
                <m:t>-</m:t>
              </m:r>
              <m:sSub>
                <m:sSubPr>
                  <m:ctrlPr>
                    <w:rPr>
                      <w:rFonts w:ascii="Cambria Math" w:hAnsi="Cambria Math" w:cs="Arial"/>
                      <w:sz w:val="22"/>
                      <w:szCs w:val="22"/>
                    </w:rPr>
                  </m:ctrlPr>
                </m:sSubPr>
                <m:e>
                  <m:acc>
                    <m:accPr>
                      <m:chr m:val="̅"/>
                      <m:ctrlPr>
                        <w:rPr>
                          <w:rFonts w:ascii="Cambria Math" w:hAnsi="Cambria Math" w:cs="Arial"/>
                          <w:sz w:val="22"/>
                          <w:szCs w:val="22"/>
                        </w:rPr>
                      </m:ctrlPr>
                    </m:accPr>
                    <m:e>
                      <m:r>
                        <w:rPr>
                          <w:rFonts w:ascii="Cambria Math" w:hAnsi="Cambria Math" w:cs="Arial"/>
                          <w:sz w:val="22"/>
                          <w:szCs w:val="22"/>
                        </w:rPr>
                        <m:t>x</m:t>
                      </m:r>
                    </m:e>
                  </m:acc>
                </m:e>
                <m:sub>
                  <m:r>
                    <w:rPr>
                      <w:rFonts w:ascii="Cambria Math" w:hAnsi="Cambria Math" w:cs="Arial"/>
                      <w:sz w:val="22"/>
                      <w:szCs w:val="22"/>
                    </w:rPr>
                    <m:t>k</m:t>
                  </m:r>
                </m:sub>
              </m:sSub>
            </m:num>
            <m:den>
              <m:sSub>
                <m:sSubPr>
                  <m:ctrlPr>
                    <w:rPr>
                      <w:rFonts w:ascii="Cambria Math" w:hAnsi="Cambria Math" w:cs="Arial"/>
                      <w:sz w:val="22"/>
                      <w:szCs w:val="22"/>
                    </w:rPr>
                  </m:ctrlPr>
                </m:sSubPr>
                <m:e>
                  <m:r>
                    <w:rPr>
                      <w:rFonts w:ascii="Cambria Math" w:hAnsi="Cambria Math" w:cs="Arial"/>
                      <w:sz w:val="22"/>
                      <w:szCs w:val="22"/>
                    </w:rPr>
                    <m:t>s</m:t>
                  </m:r>
                </m:e>
                <m:sub>
                  <m:r>
                    <w:rPr>
                      <w:rFonts w:ascii="Cambria Math" w:hAnsi="Cambria Math" w:cs="Arial"/>
                      <w:sz w:val="22"/>
                      <w:szCs w:val="22"/>
                    </w:rPr>
                    <m:t>k</m:t>
                  </m:r>
                </m:sub>
              </m:sSub>
            </m:den>
          </m:f>
        </m:oMath>
      </m:oMathPara>
    </w:p>
    <w:p w14:paraId="24975590" w14:textId="5CBA3BBE" w:rsidR="00074CF6" w:rsidRPr="00711BAD" w:rsidRDefault="00581DE4" w:rsidP="00074CF6">
      <w:pPr>
        <w:ind w:left="720"/>
        <w:rPr>
          <w:rFonts w:ascii="Arial" w:hAnsi="Arial" w:cs="Arial"/>
          <w:sz w:val="22"/>
          <w:szCs w:val="22"/>
        </w:rPr>
      </w:pPr>
      <w:r w:rsidRPr="00711BAD">
        <w:rPr>
          <w:rFonts w:ascii="Arial" w:hAnsi="Arial" w:cs="Arial"/>
          <w:sz w:val="22"/>
          <w:szCs w:val="22"/>
        </w:rPr>
        <w:t xml:space="preserve">Donde </w:t>
      </w:r>
      <m:oMath>
        <m:sSub>
          <m:sSubPr>
            <m:ctrlPr>
              <w:rPr>
                <w:rFonts w:ascii="Cambria Math" w:hAnsi="Cambria Math" w:cs="Arial"/>
                <w:sz w:val="22"/>
                <w:szCs w:val="22"/>
              </w:rPr>
            </m:ctrlPr>
          </m:sSubPr>
          <m:e>
            <m:acc>
              <m:accPr>
                <m:chr m:val="̅"/>
                <m:ctrlPr>
                  <w:rPr>
                    <w:rFonts w:ascii="Cambria Math" w:hAnsi="Cambria Math" w:cs="Arial"/>
                    <w:sz w:val="22"/>
                    <w:szCs w:val="22"/>
                  </w:rPr>
                </m:ctrlPr>
              </m:accPr>
              <m:e>
                <m:r>
                  <w:rPr>
                    <w:rFonts w:ascii="Cambria Math" w:hAnsi="Cambria Math" w:cs="Arial"/>
                    <w:sz w:val="22"/>
                    <w:szCs w:val="22"/>
                  </w:rPr>
                  <m:t>x</m:t>
                </m:r>
              </m:e>
            </m:acc>
          </m:e>
          <m:sub>
            <m:r>
              <w:rPr>
                <w:rFonts w:ascii="Cambria Math" w:hAnsi="Cambria Math" w:cs="Arial"/>
                <w:sz w:val="22"/>
                <w:szCs w:val="22"/>
              </w:rPr>
              <m:t>k</m:t>
            </m:r>
          </m:sub>
        </m:sSub>
      </m:oMath>
      <w:r w:rsidRPr="00711BAD">
        <w:rPr>
          <w:rFonts w:ascii="Arial" w:hAnsi="Arial" w:cs="Arial"/>
          <w:sz w:val="22"/>
          <w:szCs w:val="22"/>
        </w:rPr>
        <w:t xml:space="preserve"> y </w:t>
      </w:r>
      <m:oMath>
        <m:sSub>
          <m:sSubPr>
            <m:ctrlPr>
              <w:rPr>
                <w:rFonts w:ascii="Cambria Math" w:hAnsi="Cambria Math" w:cs="Arial"/>
                <w:sz w:val="22"/>
                <w:szCs w:val="22"/>
              </w:rPr>
            </m:ctrlPr>
          </m:sSubPr>
          <m:e>
            <m:r>
              <w:rPr>
                <w:rFonts w:ascii="Cambria Math" w:hAnsi="Cambria Math" w:cs="Arial"/>
                <w:sz w:val="22"/>
                <w:szCs w:val="22"/>
              </w:rPr>
              <m:t>s</m:t>
            </m:r>
          </m:e>
          <m:sub>
            <m:r>
              <w:rPr>
                <w:rFonts w:ascii="Cambria Math" w:hAnsi="Cambria Math" w:cs="Arial"/>
                <w:sz w:val="22"/>
                <w:szCs w:val="22"/>
              </w:rPr>
              <m:t>k</m:t>
            </m:r>
          </m:sub>
        </m:sSub>
      </m:oMath>
      <w:r w:rsidRPr="00711BAD">
        <w:rPr>
          <w:rFonts w:ascii="Arial" w:hAnsi="Arial" w:cs="Arial"/>
          <w:sz w:val="22"/>
          <w:szCs w:val="22"/>
        </w:rPr>
        <w:t xml:space="preserve"> representan la media y desviación estándar muestral de la </w:t>
      </w:r>
      <m:oMath>
        <m:r>
          <w:rPr>
            <w:rFonts w:ascii="Cambria Math" w:hAnsi="Cambria Math" w:cs="Arial"/>
            <w:sz w:val="22"/>
            <w:szCs w:val="22"/>
          </w:rPr>
          <m:t>k</m:t>
        </m:r>
      </m:oMath>
      <w:r w:rsidRPr="00711BAD">
        <w:rPr>
          <w:rFonts w:ascii="Arial" w:hAnsi="Arial" w:cs="Arial"/>
          <w:sz w:val="22"/>
          <w:szCs w:val="22"/>
        </w:rPr>
        <w:t>-ésima variable.</w:t>
      </w:r>
    </w:p>
    <w:p w14:paraId="70685BD0" w14:textId="0B5AA820" w:rsidR="00074CF6" w:rsidRPr="00711BAD" w:rsidRDefault="00074CF6" w:rsidP="00074CF6">
      <w:pPr>
        <w:pStyle w:val="Prrafodelista"/>
        <w:numPr>
          <w:ilvl w:val="0"/>
          <w:numId w:val="10"/>
        </w:numPr>
        <w:rPr>
          <w:rFonts w:ascii="Arial" w:hAnsi="Arial" w:cs="Arial"/>
          <w:sz w:val="22"/>
          <w:szCs w:val="22"/>
        </w:rPr>
      </w:pPr>
      <w:r w:rsidRPr="00711BAD">
        <w:rPr>
          <w:rFonts w:ascii="Arial" w:hAnsi="Arial" w:cs="Arial"/>
          <w:b/>
          <w:bCs/>
          <w:sz w:val="22"/>
          <w:szCs w:val="22"/>
        </w:rPr>
        <w:t>Imputación Espacio-Temporal Mixta:</w:t>
      </w:r>
      <w:r w:rsidRPr="00711BAD">
        <w:rPr>
          <w:rFonts w:ascii="Arial" w:hAnsi="Arial" w:cs="Arial"/>
          <w:sz w:val="22"/>
          <w:szCs w:val="22"/>
        </w:rPr>
        <w:t xml:space="preserve"> La limpieza de la matriz de covariables para los periodos 2018 y 2024 no usó un simple </w:t>
      </w:r>
      <m:oMath>
        <m:r>
          <w:rPr>
            <w:rFonts w:ascii="Cambria Math" w:hAnsi="Cambria Math" w:cs="Arial"/>
            <w:sz w:val="22"/>
            <w:szCs w:val="22"/>
          </w:rPr>
          <m:t>k</m:t>
        </m:r>
      </m:oMath>
      <w:r w:rsidRPr="00711BAD">
        <w:rPr>
          <w:rFonts w:ascii="Arial" w:hAnsi="Arial" w:cs="Arial"/>
          <w:sz w:val="22"/>
          <w:szCs w:val="22"/>
        </w:rPr>
        <w:t xml:space="preserve">-NN general, sino un procedimiento jerárquico de dos fases: en primer lugar, se imputaron los valores faltantes utilizando el promedio de los vecinos geográficos directos definidos por la matriz de contigüidad </w:t>
      </w:r>
      <m:oMath>
        <m:r>
          <w:rPr>
            <w:rFonts w:ascii="Cambria Math" w:hAnsi="Cambria Math" w:cs="Arial"/>
            <w:sz w:val="22"/>
            <w:szCs w:val="22"/>
          </w:rPr>
          <m:t>W</m:t>
        </m:r>
      </m:oMath>
      <w:r w:rsidRPr="00711BAD">
        <w:rPr>
          <w:rFonts w:ascii="Arial" w:hAnsi="Arial" w:cs="Arial"/>
          <w:sz w:val="22"/>
          <w:szCs w:val="22"/>
        </w:rPr>
        <w:t>; en segundo lugar, si un municipio no contaba con vecinos válidos con información disponible, se imputó mediante la mediana del departamento correspondiente (cod_depto).</w:t>
      </w:r>
    </w:p>
    <w:p w14:paraId="37C11609" w14:textId="77777777" w:rsidR="00074CF6" w:rsidRPr="00711BAD" w:rsidRDefault="00074CF6" w:rsidP="00074CF6">
      <w:pPr>
        <w:pStyle w:val="Prrafodelista"/>
        <w:rPr>
          <w:rFonts w:ascii="Arial" w:hAnsi="Arial" w:cs="Arial"/>
          <w:sz w:val="22"/>
          <w:szCs w:val="22"/>
        </w:rPr>
      </w:pPr>
    </w:p>
    <w:p w14:paraId="6485925C" w14:textId="77777777" w:rsidR="00B97271" w:rsidRPr="00711BAD" w:rsidRDefault="00B97271" w:rsidP="00B97271">
      <w:pPr>
        <w:pStyle w:val="Prrafodelista"/>
        <w:numPr>
          <w:ilvl w:val="0"/>
          <w:numId w:val="10"/>
        </w:numPr>
        <w:spacing w:after="0"/>
        <w:rPr>
          <w:rFonts w:ascii="Arial" w:hAnsi="Arial" w:cs="Arial"/>
          <w:b/>
          <w:bCs/>
          <w:sz w:val="22"/>
          <w:szCs w:val="22"/>
        </w:rPr>
      </w:pPr>
      <w:r w:rsidRPr="00711BAD">
        <w:rPr>
          <w:rFonts w:ascii="Arial" w:hAnsi="Arial" w:cs="Arial"/>
          <w:b/>
          <w:bCs/>
          <w:sz w:val="22"/>
          <w:szCs w:val="22"/>
        </w:rPr>
        <w:t>Selección de Covariables y Multicolinealidad</w:t>
      </w:r>
    </w:p>
    <w:p w14:paraId="57076859" w14:textId="483CEE0F" w:rsidR="00B97271" w:rsidRPr="00711BAD" w:rsidRDefault="00B97271" w:rsidP="00B97271">
      <w:pPr>
        <w:pStyle w:val="Prrafodelista"/>
        <w:spacing w:after="0"/>
        <w:rPr>
          <w:rFonts w:ascii="Arial" w:hAnsi="Arial" w:cs="Arial"/>
          <w:b/>
          <w:bCs/>
          <w:sz w:val="22"/>
          <w:szCs w:val="22"/>
        </w:rPr>
      </w:pPr>
      <w:r w:rsidRPr="00711BAD">
        <w:rPr>
          <w:rFonts w:ascii="Arial" w:hAnsi="Arial" w:cs="Arial"/>
          <w:sz w:val="22"/>
          <w:szCs w:val="22"/>
        </w:rPr>
        <w:t>Se aplicó un filtro de selección paso a paso (</w:t>
      </w:r>
      <w:r w:rsidRPr="00711BAD">
        <w:rPr>
          <w:rFonts w:ascii="Arial" w:hAnsi="Arial" w:cs="Arial"/>
          <w:i/>
          <w:iCs/>
          <w:sz w:val="22"/>
          <w:szCs w:val="22"/>
        </w:rPr>
        <w:t>stepwise</w:t>
      </w:r>
      <w:r w:rsidRPr="00711BAD">
        <w:rPr>
          <w:rFonts w:ascii="Arial" w:hAnsi="Arial" w:cs="Arial"/>
          <w:sz w:val="22"/>
          <w:szCs w:val="22"/>
        </w:rPr>
        <w:t>) respaldado en el Factor de Inflación de la Varianza (VIF):</w:t>
      </w:r>
    </w:p>
    <w:p w14:paraId="3DF1B082" w14:textId="77777777" w:rsidR="00B97271" w:rsidRPr="00711BAD" w:rsidRDefault="00000000" w:rsidP="00B97271">
      <w:pPr>
        <w:spacing w:after="0"/>
        <w:rPr>
          <w:rFonts w:ascii="Arial" w:hAnsi="Arial" w:cs="Arial"/>
          <w:sz w:val="22"/>
          <w:szCs w:val="22"/>
        </w:rPr>
      </w:pPr>
      <m:oMathPara>
        <m:oMath>
          <m:sSub>
            <m:sSubPr>
              <m:ctrlPr>
                <w:rPr>
                  <w:rFonts w:ascii="Cambria Math" w:hAnsi="Cambria Math" w:cs="Arial"/>
                  <w:sz w:val="22"/>
                  <w:szCs w:val="22"/>
                </w:rPr>
              </m:ctrlPr>
            </m:sSubPr>
            <m:e>
              <m:r>
                <m:rPr>
                  <m:nor/>
                </m:rPr>
                <w:rPr>
                  <w:rFonts w:ascii="Arial" w:hAnsi="Arial" w:cs="Arial"/>
                  <w:sz w:val="22"/>
                  <w:szCs w:val="22"/>
                </w:rPr>
                <m:t>VIF</m:t>
              </m:r>
            </m:e>
            <m:sub>
              <m:r>
                <w:rPr>
                  <w:rFonts w:ascii="Cambria Math" w:hAnsi="Cambria Math" w:cs="Arial"/>
                  <w:sz w:val="22"/>
                  <w:szCs w:val="22"/>
                </w:rPr>
                <m:t>k</m:t>
              </m:r>
            </m:sub>
          </m:sSub>
          <m: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1</m:t>
              </m:r>
            </m:num>
            <m:den>
              <m:r>
                <w:rPr>
                  <w:rFonts w:ascii="Cambria Math" w:hAnsi="Cambria Math" w:cs="Arial"/>
                  <w:sz w:val="22"/>
                  <w:szCs w:val="22"/>
                </w:rPr>
                <m:t>1-</m:t>
              </m:r>
              <m:sSubSup>
                <m:sSubSupPr>
                  <m:ctrlPr>
                    <w:rPr>
                      <w:rFonts w:ascii="Cambria Math" w:hAnsi="Cambria Math" w:cs="Arial"/>
                      <w:sz w:val="22"/>
                      <w:szCs w:val="22"/>
                    </w:rPr>
                  </m:ctrlPr>
                </m:sSubSupPr>
                <m:e>
                  <m:r>
                    <w:rPr>
                      <w:rFonts w:ascii="Cambria Math" w:hAnsi="Cambria Math" w:cs="Arial"/>
                      <w:sz w:val="22"/>
                      <w:szCs w:val="22"/>
                    </w:rPr>
                    <m:t>R</m:t>
                  </m:r>
                </m:e>
                <m:sub>
                  <m:r>
                    <w:rPr>
                      <w:rFonts w:ascii="Cambria Math" w:hAnsi="Cambria Math" w:cs="Arial"/>
                      <w:sz w:val="22"/>
                      <w:szCs w:val="22"/>
                    </w:rPr>
                    <m:t>k</m:t>
                  </m:r>
                </m:sub>
                <m:sup>
                  <m:r>
                    <w:rPr>
                      <w:rFonts w:ascii="Cambria Math" w:hAnsi="Cambria Math" w:cs="Arial"/>
                      <w:sz w:val="22"/>
                      <w:szCs w:val="22"/>
                    </w:rPr>
                    <m:t>2</m:t>
                  </m:r>
                </m:sup>
              </m:sSubSup>
            </m:den>
          </m:f>
        </m:oMath>
      </m:oMathPara>
    </w:p>
    <w:p w14:paraId="3DA29DE4" w14:textId="60F8A57E" w:rsidR="00B97271" w:rsidRPr="00711BAD" w:rsidRDefault="00B97271" w:rsidP="00B97271">
      <w:pPr>
        <w:ind w:left="708"/>
        <w:rPr>
          <w:rFonts w:ascii="Arial" w:hAnsi="Arial" w:cs="Arial"/>
          <w:sz w:val="22"/>
          <w:szCs w:val="22"/>
        </w:rPr>
      </w:pPr>
      <w:r w:rsidRPr="00711BAD">
        <w:rPr>
          <w:rFonts w:ascii="Arial" w:hAnsi="Arial" w:cs="Arial"/>
          <w:sz w:val="22"/>
          <w:szCs w:val="22"/>
        </w:rPr>
        <w:t xml:space="preserve">Se descartaron iterativamente aquellas variables con </w:t>
      </w:r>
      <m:oMath>
        <m:sSub>
          <m:sSubPr>
            <m:ctrlPr>
              <w:rPr>
                <w:rFonts w:ascii="Cambria Math" w:hAnsi="Cambria Math" w:cs="Arial"/>
                <w:sz w:val="22"/>
                <w:szCs w:val="22"/>
              </w:rPr>
            </m:ctrlPr>
          </m:sSubPr>
          <m:e>
            <m:r>
              <m:rPr>
                <m:nor/>
              </m:rPr>
              <w:rPr>
                <w:rFonts w:ascii="Arial" w:hAnsi="Arial" w:cs="Arial"/>
                <w:sz w:val="22"/>
                <w:szCs w:val="22"/>
              </w:rPr>
              <m:t>VIF</m:t>
            </m:r>
          </m:e>
          <m:sub>
            <m:r>
              <w:rPr>
                <w:rFonts w:ascii="Cambria Math" w:hAnsi="Cambria Math" w:cs="Arial"/>
                <w:sz w:val="22"/>
                <w:szCs w:val="22"/>
              </w:rPr>
              <m:t>k</m:t>
            </m:r>
          </m:sub>
        </m:sSub>
        <m:r>
          <w:rPr>
            <w:rFonts w:ascii="Cambria Math" w:hAnsi="Cambria Math" w:cs="Arial"/>
            <w:sz w:val="22"/>
            <w:szCs w:val="22"/>
          </w:rPr>
          <m:t>&gt;5.0</m:t>
        </m:r>
      </m:oMath>
      <w:r w:rsidRPr="00711BAD">
        <w:rPr>
          <w:rFonts w:ascii="Arial" w:hAnsi="Arial" w:cs="Arial"/>
          <w:sz w:val="22"/>
          <w:szCs w:val="22"/>
        </w:rPr>
        <w:t xml:space="preserve">, garantizando una matriz de diseño </w:t>
      </w:r>
      <m:oMath>
        <m:r>
          <w:rPr>
            <w:rFonts w:ascii="Cambria Math" w:hAnsi="Cambria Math" w:cs="Arial"/>
            <w:sz w:val="22"/>
            <w:szCs w:val="22"/>
          </w:rPr>
          <m:t>X</m:t>
        </m:r>
      </m:oMath>
      <w:r w:rsidRPr="00711BAD">
        <w:rPr>
          <w:rFonts w:ascii="Arial" w:hAnsi="Arial" w:cs="Arial"/>
          <w:sz w:val="22"/>
          <w:szCs w:val="22"/>
        </w:rPr>
        <w:t xml:space="preserve"> balanceada y exenta de colinealidad severa.</w:t>
      </w:r>
    </w:p>
    <w:p w14:paraId="2E414F6D" w14:textId="77777777" w:rsidR="009F2247" w:rsidRPr="00711BAD" w:rsidRDefault="009F2247" w:rsidP="009F2247">
      <w:pPr>
        <w:spacing w:after="0"/>
        <w:rPr>
          <w:rFonts w:ascii="Arial" w:hAnsi="Arial" w:cs="Arial"/>
          <w:b/>
          <w:bCs/>
          <w:sz w:val="22"/>
          <w:szCs w:val="22"/>
        </w:rPr>
      </w:pPr>
      <w:r w:rsidRPr="00711BAD">
        <w:rPr>
          <w:rFonts w:ascii="Arial" w:hAnsi="Arial" w:cs="Arial"/>
          <w:b/>
          <w:bCs/>
          <w:sz w:val="22"/>
          <w:szCs w:val="22"/>
        </w:rPr>
        <w:lastRenderedPageBreak/>
        <w:t>(2.2) Modelado de los Datos [10%]</w:t>
      </w:r>
    </w:p>
    <w:p w14:paraId="1A90E31D" w14:textId="77777777" w:rsidR="009F2247" w:rsidRPr="00711BAD" w:rsidRDefault="009F2247" w:rsidP="009F2247">
      <w:pPr>
        <w:rPr>
          <w:rFonts w:ascii="Arial" w:hAnsi="Arial" w:cs="Arial"/>
          <w:sz w:val="22"/>
          <w:szCs w:val="22"/>
        </w:rPr>
      </w:pPr>
      <w:r w:rsidRPr="00711BAD">
        <w:rPr>
          <w:rFonts w:ascii="Arial" w:hAnsi="Arial" w:cs="Arial"/>
          <w:i/>
          <w:iCs/>
          <w:sz w:val="22"/>
          <w:szCs w:val="22"/>
        </w:rPr>
        <w:t>(Justificación técnica, formulación e integración del paradigma SAE y Econometría Espacial)</w:t>
      </w:r>
    </w:p>
    <w:p w14:paraId="43659332" w14:textId="77777777" w:rsidR="009F2247" w:rsidRPr="00711BAD" w:rsidRDefault="009F2247" w:rsidP="009F2247">
      <w:pPr>
        <w:rPr>
          <w:rFonts w:ascii="Arial" w:hAnsi="Arial" w:cs="Arial"/>
          <w:sz w:val="22"/>
          <w:szCs w:val="22"/>
        </w:rPr>
      </w:pPr>
      <w:r w:rsidRPr="00711BAD">
        <w:rPr>
          <w:rFonts w:ascii="Arial" w:hAnsi="Arial" w:cs="Arial"/>
          <w:sz w:val="22"/>
          <w:szCs w:val="22"/>
        </w:rPr>
        <w:t>Para abordar la estimación del IPM 2024 a escala municipal se especifican y comparan tres modelos complementarios:</w:t>
      </w:r>
    </w:p>
    <w:p w14:paraId="25E32BA1" w14:textId="77777777" w:rsidR="00B97271" w:rsidRPr="00711BAD" w:rsidRDefault="00B97271" w:rsidP="00B97271">
      <w:pPr>
        <w:rPr>
          <w:rFonts w:ascii="Arial" w:hAnsi="Arial" w:cs="Arial"/>
          <w:b/>
          <w:bCs/>
          <w:sz w:val="22"/>
          <w:szCs w:val="22"/>
        </w:rPr>
      </w:pPr>
      <w:r w:rsidRPr="00711BAD">
        <w:rPr>
          <w:rFonts w:ascii="Arial" w:hAnsi="Arial" w:cs="Arial"/>
          <w:b/>
          <w:bCs/>
          <w:sz w:val="22"/>
          <w:szCs w:val="22"/>
        </w:rPr>
        <w:t>Modelo 1: SAE a Nivel de Área (Fay-Herriot - FH)</w:t>
      </w:r>
    </w:p>
    <w:p w14:paraId="170D76B7" w14:textId="77777777" w:rsidR="00B97271" w:rsidRPr="00711BAD" w:rsidRDefault="00B97271" w:rsidP="00B97271">
      <w:pPr>
        <w:rPr>
          <w:rFonts w:ascii="Arial" w:hAnsi="Arial" w:cs="Arial"/>
          <w:sz w:val="22"/>
          <w:szCs w:val="22"/>
        </w:rPr>
      </w:pPr>
      <w:r w:rsidRPr="00711BAD">
        <w:rPr>
          <w:rFonts w:ascii="Arial" w:hAnsi="Arial" w:cs="Arial"/>
          <w:sz w:val="22"/>
          <w:szCs w:val="22"/>
        </w:rPr>
        <w:t>El modelo de Fay-Herriot combina la información directa del muestreo con la predicción sintética de un modelo de regresión. Se estructura en dos componentes:</w:t>
      </w:r>
    </w:p>
    <w:p w14:paraId="7A8FF8EF" w14:textId="3DDF48EA" w:rsidR="00B97271" w:rsidRPr="00711BAD" w:rsidRDefault="00B97271" w:rsidP="00B97271">
      <w:pPr>
        <w:numPr>
          <w:ilvl w:val="0"/>
          <w:numId w:val="11"/>
        </w:numPr>
        <w:rPr>
          <w:rFonts w:ascii="Arial" w:hAnsi="Arial" w:cs="Arial"/>
          <w:sz w:val="22"/>
          <w:szCs w:val="22"/>
        </w:rPr>
      </w:pPr>
      <w:r w:rsidRPr="00711BAD">
        <w:rPr>
          <w:rFonts w:ascii="Arial" w:hAnsi="Arial" w:cs="Arial"/>
          <w:sz w:val="22"/>
          <w:szCs w:val="22"/>
        </w:rPr>
        <w:t xml:space="preserve">Modelo de Muestreo: </w:t>
      </w:r>
      <m:oMath>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d</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θ</m:t>
            </m:r>
          </m:e>
          <m:sub>
            <m:r>
              <w:rPr>
                <w:rFonts w:ascii="Cambria Math" w:hAnsi="Cambria Math" w:cs="Arial"/>
                <w:sz w:val="22"/>
                <w:szCs w:val="22"/>
              </w:rPr>
              <m:t>d</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e</m:t>
            </m:r>
          </m:e>
          <m:sub>
            <m:r>
              <w:rPr>
                <w:rFonts w:ascii="Cambria Math" w:hAnsi="Cambria Math" w:cs="Arial"/>
                <w:sz w:val="22"/>
                <w:szCs w:val="22"/>
              </w:rPr>
              <m:t>d</m:t>
            </m:r>
          </m:sub>
        </m:sSub>
      </m:oMath>
      <w:r w:rsidRPr="00711BAD">
        <w:rPr>
          <w:rFonts w:ascii="Arial" w:hAnsi="Arial" w:cs="Arial"/>
          <w:sz w:val="22"/>
          <w:szCs w:val="22"/>
        </w:rPr>
        <w:t xml:space="preserve">, donde </w:t>
      </w:r>
      <m:oMath>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d</m:t>
            </m:r>
          </m:sub>
        </m:sSub>
      </m:oMath>
      <w:r w:rsidRPr="00711BAD">
        <w:rPr>
          <w:rFonts w:ascii="Arial" w:hAnsi="Arial" w:cs="Arial"/>
          <w:sz w:val="22"/>
          <w:szCs w:val="22"/>
        </w:rPr>
        <w:t xml:space="preserve"> es la estimación directa del IPM en el departamento </w:t>
      </w:r>
      <m:oMath>
        <m:r>
          <w:rPr>
            <w:rFonts w:ascii="Cambria Math" w:hAnsi="Cambria Math" w:cs="Arial"/>
            <w:sz w:val="22"/>
            <w:szCs w:val="22"/>
          </w:rPr>
          <m:t>d</m:t>
        </m:r>
      </m:oMath>
      <w:r w:rsidRPr="00711BAD">
        <w:rPr>
          <w:rFonts w:ascii="Arial" w:hAnsi="Arial" w:cs="Arial"/>
          <w:sz w:val="22"/>
          <w:szCs w:val="22"/>
        </w:rPr>
        <w:t xml:space="preserve">, </w:t>
      </w:r>
      <m:oMath>
        <m:sSub>
          <m:sSubPr>
            <m:ctrlPr>
              <w:rPr>
                <w:rFonts w:ascii="Cambria Math" w:hAnsi="Cambria Math" w:cs="Arial"/>
                <w:sz w:val="22"/>
                <w:szCs w:val="22"/>
              </w:rPr>
            </m:ctrlPr>
          </m:sSubPr>
          <m:e>
            <m:r>
              <w:rPr>
                <w:rFonts w:ascii="Cambria Math" w:hAnsi="Cambria Math" w:cs="Arial"/>
                <w:sz w:val="22"/>
                <w:szCs w:val="22"/>
              </w:rPr>
              <m:t>θ</m:t>
            </m:r>
          </m:e>
          <m:sub>
            <m:r>
              <w:rPr>
                <w:rFonts w:ascii="Cambria Math" w:hAnsi="Cambria Math" w:cs="Arial"/>
                <w:sz w:val="22"/>
                <w:szCs w:val="22"/>
              </w:rPr>
              <m:t>d</m:t>
            </m:r>
          </m:sub>
        </m:sSub>
      </m:oMath>
      <w:r w:rsidRPr="00711BAD">
        <w:rPr>
          <w:rFonts w:ascii="Arial" w:hAnsi="Arial" w:cs="Arial"/>
          <w:sz w:val="22"/>
          <w:szCs w:val="22"/>
        </w:rPr>
        <w:t xml:space="preserve"> es el valor poblacional no observado, y </w:t>
      </w:r>
      <m:oMath>
        <m:sSub>
          <m:sSubPr>
            <m:ctrlPr>
              <w:rPr>
                <w:rFonts w:ascii="Cambria Math" w:hAnsi="Cambria Math" w:cs="Arial"/>
                <w:sz w:val="22"/>
                <w:szCs w:val="22"/>
              </w:rPr>
            </m:ctrlPr>
          </m:sSubPr>
          <m:e>
            <m:r>
              <w:rPr>
                <w:rFonts w:ascii="Cambria Math" w:hAnsi="Cambria Math" w:cs="Arial"/>
                <w:sz w:val="22"/>
                <w:szCs w:val="22"/>
              </w:rPr>
              <m:t>e</m:t>
            </m:r>
          </m:e>
          <m:sub>
            <m:r>
              <w:rPr>
                <w:rFonts w:ascii="Cambria Math" w:hAnsi="Cambria Math" w:cs="Arial"/>
                <w:sz w:val="22"/>
                <w:szCs w:val="22"/>
              </w:rPr>
              <m:t>d</m:t>
            </m:r>
          </m:sub>
        </m:sSub>
        <m:r>
          <w:rPr>
            <w:rFonts w:ascii="Cambria Math" w:hAnsi="Cambria Math" w:cs="Arial"/>
            <w:sz w:val="22"/>
            <w:szCs w:val="22"/>
          </w:rPr>
          <m:t>∼N</m:t>
        </m:r>
        <m:d>
          <m:dPr>
            <m:ctrlPr>
              <w:rPr>
                <w:rFonts w:ascii="Cambria Math" w:hAnsi="Cambria Math" w:cs="Arial"/>
                <w:sz w:val="22"/>
                <w:szCs w:val="22"/>
              </w:rPr>
            </m:ctrlPr>
          </m:dPr>
          <m:e>
            <m:r>
              <w:rPr>
                <w:rFonts w:ascii="Cambria Math" w:hAnsi="Cambria Math" w:cs="Arial"/>
                <w:sz w:val="22"/>
                <w:szCs w:val="22"/>
              </w:rPr>
              <m:t>0,</m:t>
            </m:r>
            <m:sSub>
              <m:sSubPr>
                <m:ctrlPr>
                  <w:rPr>
                    <w:rFonts w:ascii="Cambria Math" w:hAnsi="Cambria Math" w:cs="Arial"/>
                    <w:sz w:val="22"/>
                    <w:szCs w:val="22"/>
                  </w:rPr>
                </m:ctrlPr>
              </m:sSubPr>
              <m:e>
                <m:r>
                  <w:rPr>
                    <w:rFonts w:ascii="Cambria Math" w:hAnsi="Cambria Math" w:cs="Arial"/>
                    <w:sz w:val="22"/>
                    <w:szCs w:val="22"/>
                  </w:rPr>
                  <m:t>ψ</m:t>
                </m:r>
              </m:e>
              <m:sub>
                <m:r>
                  <w:rPr>
                    <w:rFonts w:ascii="Cambria Math" w:hAnsi="Cambria Math" w:cs="Arial"/>
                    <w:sz w:val="22"/>
                    <w:szCs w:val="22"/>
                  </w:rPr>
                  <m:t>d</m:t>
                </m:r>
              </m:sub>
            </m:sSub>
          </m:e>
        </m:d>
      </m:oMath>
      <w:r w:rsidRPr="00711BAD">
        <w:rPr>
          <w:rFonts w:ascii="Arial" w:hAnsi="Arial" w:cs="Arial"/>
          <w:sz w:val="22"/>
          <w:szCs w:val="22"/>
        </w:rPr>
        <w:t xml:space="preserve"> es el error de muestreo con varianza conocida </w:t>
      </w:r>
      <m:oMath>
        <m:sSub>
          <m:sSubPr>
            <m:ctrlPr>
              <w:rPr>
                <w:rFonts w:ascii="Cambria Math" w:hAnsi="Cambria Math" w:cs="Arial"/>
                <w:sz w:val="22"/>
                <w:szCs w:val="22"/>
              </w:rPr>
            </m:ctrlPr>
          </m:sSubPr>
          <m:e>
            <m:r>
              <w:rPr>
                <w:rFonts w:ascii="Cambria Math" w:hAnsi="Cambria Math" w:cs="Arial"/>
                <w:sz w:val="22"/>
                <w:szCs w:val="22"/>
              </w:rPr>
              <m:t>ψ</m:t>
            </m:r>
          </m:e>
          <m:sub>
            <m:r>
              <w:rPr>
                <w:rFonts w:ascii="Cambria Math" w:hAnsi="Cambria Math" w:cs="Arial"/>
                <w:sz w:val="22"/>
                <w:szCs w:val="22"/>
              </w:rPr>
              <m:t>d</m:t>
            </m:r>
          </m:sub>
        </m:sSub>
      </m:oMath>
      <w:r w:rsidRPr="00711BAD">
        <w:rPr>
          <w:rFonts w:ascii="Arial" w:hAnsi="Arial" w:cs="Arial"/>
          <w:sz w:val="22"/>
          <w:szCs w:val="22"/>
        </w:rPr>
        <w:t>.</w:t>
      </w:r>
    </w:p>
    <w:p w14:paraId="004DDA58" w14:textId="2A6F5D0E" w:rsidR="00B97271" w:rsidRPr="00711BAD" w:rsidRDefault="00B97271" w:rsidP="00B97271">
      <w:pPr>
        <w:numPr>
          <w:ilvl w:val="0"/>
          <w:numId w:val="11"/>
        </w:numPr>
        <w:rPr>
          <w:rFonts w:ascii="Arial" w:hAnsi="Arial" w:cs="Arial"/>
          <w:sz w:val="22"/>
          <w:szCs w:val="22"/>
        </w:rPr>
      </w:pPr>
      <w:r w:rsidRPr="00711BAD">
        <w:rPr>
          <w:rFonts w:ascii="Arial" w:hAnsi="Arial" w:cs="Arial"/>
          <w:sz w:val="22"/>
          <w:szCs w:val="22"/>
        </w:rPr>
        <w:t xml:space="preserve">Modelo de Enlace (Proceso): </w:t>
      </w:r>
      <m:oMath>
        <m:sSub>
          <m:sSubPr>
            <m:ctrlPr>
              <w:rPr>
                <w:rFonts w:ascii="Cambria Math" w:hAnsi="Cambria Math" w:cs="Arial"/>
                <w:sz w:val="22"/>
                <w:szCs w:val="22"/>
              </w:rPr>
            </m:ctrlPr>
          </m:sSubPr>
          <m:e>
            <m:r>
              <w:rPr>
                <w:rFonts w:ascii="Cambria Math" w:hAnsi="Cambria Math" w:cs="Arial"/>
                <w:sz w:val="22"/>
                <w:szCs w:val="22"/>
              </w:rPr>
              <m:t>θ</m:t>
            </m:r>
          </m:e>
          <m:sub>
            <m:r>
              <w:rPr>
                <w:rFonts w:ascii="Cambria Math" w:hAnsi="Cambria Math" w:cs="Arial"/>
                <w:sz w:val="22"/>
                <w:szCs w:val="22"/>
              </w:rPr>
              <m:t>d</m:t>
            </m:r>
          </m:sub>
        </m:sSub>
        <m:r>
          <w:rPr>
            <w:rFonts w:ascii="Cambria Math" w:hAnsi="Cambria Math" w:cs="Arial"/>
            <w:sz w:val="22"/>
            <w:szCs w:val="22"/>
          </w:rPr>
          <m:t>=</m:t>
        </m:r>
        <m:sSubSup>
          <m:sSubSupPr>
            <m:ctrlPr>
              <w:rPr>
                <w:rFonts w:ascii="Cambria Math" w:hAnsi="Cambria Math" w:cs="Arial"/>
                <w:sz w:val="22"/>
                <w:szCs w:val="22"/>
              </w:rPr>
            </m:ctrlPr>
          </m:sSubSupPr>
          <m:e>
            <m:r>
              <w:rPr>
                <w:rFonts w:ascii="Cambria Math" w:hAnsi="Cambria Math" w:cs="Arial"/>
                <w:sz w:val="22"/>
                <w:szCs w:val="22"/>
              </w:rPr>
              <m:t>x</m:t>
            </m:r>
          </m:e>
          <m:sub>
            <m:r>
              <w:rPr>
                <w:rFonts w:ascii="Cambria Math" w:hAnsi="Cambria Math" w:cs="Arial"/>
                <w:sz w:val="22"/>
                <w:szCs w:val="22"/>
              </w:rPr>
              <m:t>d</m:t>
            </m:r>
          </m:sub>
          <m:sup>
            <m:r>
              <w:rPr>
                <w:rFonts w:ascii="Cambria Math" w:hAnsi="Cambria Math" w:cs="Arial"/>
                <w:sz w:val="22"/>
                <w:szCs w:val="22"/>
              </w:rPr>
              <m:t>T</m:t>
            </m:r>
          </m:sup>
        </m:sSubSup>
        <m:r>
          <w:rPr>
            <w:rFonts w:ascii="Cambria Math" w:hAnsi="Cambria Math" w:cs="Arial"/>
            <w:sz w:val="22"/>
            <w:szCs w:val="22"/>
          </w:rPr>
          <m:t>β+</m:t>
        </m:r>
        <m:sSub>
          <m:sSubPr>
            <m:ctrlPr>
              <w:rPr>
                <w:rFonts w:ascii="Cambria Math" w:hAnsi="Cambria Math" w:cs="Arial"/>
                <w:sz w:val="22"/>
                <w:szCs w:val="22"/>
              </w:rPr>
            </m:ctrlPr>
          </m:sSubPr>
          <m:e>
            <m:r>
              <w:rPr>
                <w:rFonts w:ascii="Cambria Math" w:hAnsi="Cambria Math" w:cs="Arial"/>
                <w:sz w:val="22"/>
                <w:szCs w:val="22"/>
              </w:rPr>
              <m:t>u</m:t>
            </m:r>
          </m:e>
          <m:sub>
            <m:r>
              <w:rPr>
                <w:rFonts w:ascii="Cambria Math" w:hAnsi="Cambria Math" w:cs="Arial"/>
                <w:sz w:val="22"/>
                <w:szCs w:val="22"/>
              </w:rPr>
              <m:t>d</m:t>
            </m:r>
          </m:sub>
        </m:sSub>
      </m:oMath>
      <w:r w:rsidRPr="00711BAD">
        <w:rPr>
          <w:rFonts w:ascii="Arial" w:hAnsi="Arial" w:cs="Arial"/>
          <w:sz w:val="22"/>
          <w:szCs w:val="22"/>
        </w:rPr>
        <w:t xml:space="preserve">, con </w:t>
      </w:r>
      <m:oMath>
        <m:sSub>
          <m:sSubPr>
            <m:ctrlPr>
              <w:rPr>
                <w:rFonts w:ascii="Cambria Math" w:hAnsi="Cambria Math" w:cs="Arial"/>
                <w:sz w:val="22"/>
                <w:szCs w:val="22"/>
              </w:rPr>
            </m:ctrlPr>
          </m:sSubPr>
          <m:e>
            <m:r>
              <w:rPr>
                <w:rFonts w:ascii="Cambria Math" w:hAnsi="Cambria Math" w:cs="Arial"/>
                <w:sz w:val="22"/>
                <w:szCs w:val="22"/>
              </w:rPr>
              <m:t>u</m:t>
            </m:r>
          </m:e>
          <m:sub>
            <m:r>
              <w:rPr>
                <w:rFonts w:ascii="Cambria Math" w:hAnsi="Cambria Math" w:cs="Arial"/>
                <w:sz w:val="22"/>
                <w:szCs w:val="22"/>
              </w:rPr>
              <m:t>d</m:t>
            </m:r>
          </m:sub>
        </m:sSub>
        <m:r>
          <w:rPr>
            <w:rFonts w:ascii="Cambria Math" w:hAnsi="Cambria Math" w:cs="Arial"/>
            <w:sz w:val="22"/>
            <w:szCs w:val="22"/>
          </w:rPr>
          <m:t>∼N</m:t>
        </m:r>
        <m:d>
          <m:dPr>
            <m:ctrlPr>
              <w:rPr>
                <w:rFonts w:ascii="Cambria Math" w:hAnsi="Cambria Math" w:cs="Arial"/>
                <w:sz w:val="22"/>
                <w:szCs w:val="22"/>
              </w:rPr>
            </m:ctrlPr>
          </m:dPr>
          <m:e>
            <m:r>
              <w:rPr>
                <w:rFonts w:ascii="Cambria Math" w:hAnsi="Cambria Math" w:cs="Arial"/>
                <w:sz w:val="22"/>
                <w:szCs w:val="22"/>
              </w:rPr>
              <m:t>0,</m:t>
            </m:r>
            <m:sSubSup>
              <m:sSubSupPr>
                <m:ctrlPr>
                  <w:rPr>
                    <w:rFonts w:ascii="Cambria Math" w:hAnsi="Cambria Math" w:cs="Arial"/>
                    <w:sz w:val="22"/>
                    <w:szCs w:val="22"/>
                  </w:rPr>
                </m:ctrlPr>
              </m:sSubSupPr>
              <m:e>
                <m:r>
                  <w:rPr>
                    <w:rFonts w:ascii="Cambria Math" w:hAnsi="Cambria Math" w:cs="Arial"/>
                    <w:sz w:val="22"/>
                    <w:szCs w:val="22"/>
                  </w:rPr>
                  <m:t>σ</m:t>
                </m:r>
              </m:e>
              <m:sub>
                <m:r>
                  <w:rPr>
                    <w:rFonts w:ascii="Cambria Math" w:hAnsi="Cambria Math" w:cs="Arial"/>
                    <w:sz w:val="22"/>
                    <w:szCs w:val="22"/>
                  </w:rPr>
                  <m:t>u</m:t>
                </m:r>
              </m:sub>
              <m:sup>
                <m:r>
                  <w:rPr>
                    <w:rFonts w:ascii="Cambria Math" w:hAnsi="Cambria Math" w:cs="Arial"/>
                    <w:sz w:val="22"/>
                    <w:szCs w:val="22"/>
                  </w:rPr>
                  <m:t>2</m:t>
                </m:r>
              </m:sup>
            </m:sSubSup>
          </m:e>
        </m:d>
      </m:oMath>
      <w:r w:rsidRPr="00711BAD">
        <w:rPr>
          <w:rFonts w:ascii="Arial" w:hAnsi="Arial" w:cs="Arial"/>
          <w:sz w:val="22"/>
          <w:szCs w:val="22"/>
        </w:rPr>
        <w:t xml:space="preserve"> como el efecto aleatorio del área.</w:t>
      </w:r>
    </w:p>
    <w:p w14:paraId="45BE1CA3" w14:textId="106D29C3" w:rsidR="00B97271" w:rsidRPr="00711BAD" w:rsidRDefault="00B97271" w:rsidP="00B97271">
      <w:pPr>
        <w:rPr>
          <w:rFonts w:ascii="Arial" w:hAnsi="Arial" w:cs="Arial"/>
          <w:sz w:val="22"/>
          <w:szCs w:val="22"/>
        </w:rPr>
      </w:pPr>
      <w:r w:rsidRPr="00711BAD">
        <w:rPr>
          <w:rFonts w:ascii="Arial" w:hAnsi="Arial" w:cs="Arial"/>
          <w:sz w:val="22"/>
          <w:szCs w:val="22"/>
        </w:rPr>
        <w:t xml:space="preserve">El estimador EBLUP final para la unidad </w:t>
      </w:r>
      <m:oMath>
        <m:r>
          <w:rPr>
            <w:rFonts w:ascii="Cambria Math" w:hAnsi="Cambria Math" w:cs="Arial"/>
            <w:sz w:val="22"/>
            <w:szCs w:val="22"/>
          </w:rPr>
          <m:t>d</m:t>
        </m:r>
      </m:oMath>
      <w:r w:rsidRPr="00711BAD">
        <w:rPr>
          <w:rFonts w:ascii="Arial" w:hAnsi="Arial" w:cs="Arial"/>
          <w:sz w:val="22"/>
          <w:szCs w:val="22"/>
        </w:rPr>
        <w:t xml:space="preserve"> responde a la combinación convexa:</w:t>
      </w:r>
    </w:p>
    <w:p w14:paraId="295D7BAC" w14:textId="4B67DB25" w:rsidR="00B97271" w:rsidRPr="00711BAD" w:rsidRDefault="00000000" w:rsidP="00B97271">
      <w:pPr>
        <w:rPr>
          <w:rFonts w:ascii="Arial" w:hAnsi="Arial" w:cs="Arial"/>
          <w:sz w:val="22"/>
          <w:szCs w:val="22"/>
          <w:lang w:val="en-US"/>
        </w:rPr>
      </w:pPr>
      <m:oMathPara>
        <m:oMath>
          <m:sSubSup>
            <m:sSubSupPr>
              <m:ctrlPr>
                <w:rPr>
                  <w:rFonts w:ascii="Cambria Math" w:hAnsi="Cambria Math" w:cs="Arial"/>
                  <w:sz w:val="22"/>
                  <w:szCs w:val="22"/>
                </w:rPr>
              </m:ctrlPr>
            </m:sSubSupPr>
            <m:e>
              <m:acc>
                <m:accPr>
                  <m:chr m:val="˜"/>
                  <m:ctrlPr>
                    <w:rPr>
                      <w:rFonts w:ascii="Cambria Math" w:hAnsi="Cambria Math" w:cs="Arial"/>
                      <w:sz w:val="22"/>
                      <w:szCs w:val="22"/>
                    </w:rPr>
                  </m:ctrlPr>
                </m:accPr>
                <m:e>
                  <m:r>
                    <w:rPr>
                      <w:rFonts w:ascii="Cambria Math" w:hAnsi="Cambria Math" w:cs="Arial"/>
                      <w:sz w:val="22"/>
                      <w:szCs w:val="22"/>
                    </w:rPr>
                    <m:t>θ</m:t>
                  </m:r>
                </m:e>
              </m:acc>
            </m:e>
            <m:sub>
              <m:r>
                <w:rPr>
                  <w:rFonts w:ascii="Cambria Math" w:hAnsi="Cambria Math" w:cs="Arial"/>
                  <w:sz w:val="22"/>
                  <w:szCs w:val="22"/>
                </w:rPr>
                <m:t>d</m:t>
              </m:r>
            </m:sub>
            <m:sup>
              <m:r>
                <m:rPr>
                  <m:nor/>
                </m:rPr>
                <w:rPr>
                  <w:rFonts w:ascii="Arial" w:hAnsi="Arial" w:cs="Arial"/>
                  <w:sz w:val="22"/>
                  <w:szCs w:val="22"/>
                  <w:lang w:val="en-US"/>
                </w:rPr>
                <m:t>FH</m:t>
              </m:r>
            </m:sup>
          </m:sSubSup>
          <m:r>
            <w:rPr>
              <w:rFonts w:ascii="Cambria Math" w:hAnsi="Cambria Math" w:cs="Arial"/>
              <w:sz w:val="22"/>
              <w:szCs w:val="22"/>
              <w:lang w:val="en-US"/>
            </w:rPr>
            <m:t>=</m:t>
          </m:r>
          <m:sSub>
            <m:sSubPr>
              <m:ctrlPr>
                <w:rPr>
                  <w:rFonts w:ascii="Cambria Math" w:hAnsi="Cambria Math" w:cs="Arial"/>
                  <w:sz w:val="22"/>
                  <w:szCs w:val="22"/>
                </w:rPr>
              </m:ctrlPr>
            </m:sSubPr>
            <m:e>
              <m:r>
                <w:rPr>
                  <w:rFonts w:ascii="Cambria Math" w:hAnsi="Cambria Math" w:cs="Arial"/>
                  <w:sz w:val="22"/>
                  <w:szCs w:val="22"/>
                </w:rPr>
                <m:t>γ</m:t>
              </m:r>
            </m:e>
            <m:sub>
              <m:r>
                <w:rPr>
                  <w:rFonts w:ascii="Cambria Math" w:hAnsi="Cambria Math" w:cs="Arial"/>
                  <w:sz w:val="22"/>
                  <w:szCs w:val="22"/>
                </w:rPr>
                <m:t>d</m:t>
              </m:r>
            </m:sub>
          </m:sSub>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d</m:t>
              </m:r>
            </m:sub>
          </m:sSub>
          <m:r>
            <w:rPr>
              <w:rFonts w:ascii="Cambria Math" w:hAnsi="Cambria Math" w:cs="Arial"/>
              <w:sz w:val="22"/>
              <w:szCs w:val="22"/>
              <w:lang w:val="en-US"/>
            </w:rPr>
            <m:t>+</m:t>
          </m:r>
          <m:d>
            <m:dPr>
              <m:ctrlPr>
                <w:rPr>
                  <w:rFonts w:ascii="Cambria Math" w:hAnsi="Cambria Math" w:cs="Arial"/>
                  <w:sz w:val="22"/>
                  <w:szCs w:val="22"/>
                </w:rPr>
              </m:ctrlPr>
            </m:dPr>
            <m:e>
              <m:r>
                <w:rPr>
                  <w:rFonts w:ascii="Cambria Math" w:hAnsi="Cambria Math" w:cs="Arial"/>
                  <w:sz w:val="22"/>
                  <w:szCs w:val="22"/>
                  <w:lang w:val="en-US"/>
                </w:rPr>
                <m:t>1-</m:t>
              </m:r>
              <m:sSub>
                <m:sSubPr>
                  <m:ctrlPr>
                    <w:rPr>
                      <w:rFonts w:ascii="Cambria Math" w:hAnsi="Cambria Math" w:cs="Arial"/>
                      <w:sz w:val="22"/>
                      <w:szCs w:val="22"/>
                    </w:rPr>
                  </m:ctrlPr>
                </m:sSubPr>
                <m:e>
                  <m:r>
                    <w:rPr>
                      <w:rFonts w:ascii="Cambria Math" w:hAnsi="Cambria Math" w:cs="Arial"/>
                      <w:sz w:val="22"/>
                      <w:szCs w:val="22"/>
                    </w:rPr>
                    <m:t>γ</m:t>
                  </m:r>
                </m:e>
                <m:sub>
                  <m:r>
                    <w:rPr>
                      <w:rFonts w:ascii="Cambria Math" w:hAnsi="Cambria Math" w:cs="Arial"/>
                      <w:sz w:val="22"/>
                      <w:szCs w:val="22"/>
                    </w:rPr>
                    <m:t>d</m:t>
                  </m:r>
                </m:sub>
              </m:sSub>
            </m:e>
          </m:d>
          <m:sSubSup>
            <m:sSubSupPr>
              <m:ctrlPr>
                <w:rPr>
                  <w:rFonts w:ascii="Cambria Math" w:hAnsi="Cambria Math" w:cs="Arial"/>
                  <w:sz w:val="22"/>
                  <w:szCs w:val="22"/>
                </w:rPr>
              </m:ctrlPr>
            </m:sSubSupPr>
            <m:e>
              <m:r>
                <w:rPr>
                  <w:rFonts w:ascii="Cambria Math" w:hAnsi="Cambria Math" w:cs="Arial"/>
                  <w:sz w:val="22"/>
                  <w:szCs w:val="22"/>
                </w:rPr>
                <m:t>x</m:t>
              </m:r>
            </m:e>
            <m:sub>
              <m:r>
                <w:rPr>
                  <w:rFonts w:ascii="Cambria Math" w:hAnsi="Cambria Math" w:cs="Arial"/>
                  <w:sz w:val="22"/>
                  <w:szCs w:val="22"/>
                </w:rPr>
                <m:t>d</m:t>
              </m:r>
            </m:sub>
            <m:sup>
              <m:r>
                <w:rPr>
                  <w:rFonts w:ascii="Cambria Math" w:hAnsi="Cambria Math" w:cs="Arial"/>
                  <w:sz w:val="22"/>
                  <w:szCs w:val="22"/>
                </w:rPr>
                <m:t>T</m:t>
              </m:r>
            </m:sup>
          </m:sSubSup>
          <m:acc>
            <m:accPr>
              <m:chr m:val="ˆ"/>
              <m:ctrlPr>
                <w:rPr>
                  <w:rFonts w:ascii="Cambria Math" w:hAnsi="Cambria Math" w:cs="Arial"/>
                  <w:sz w:val="22"/>
                  <w:szCs w:val="22"/>
                </w:rPr>
              </m:ctrlPr>
            </m:accPr>
            <m:e>
              <m:r>
                <w:rPr>
                  <w:rFonts w:ascii="Cambria Math" w:hAnsi="Cambria Math" w:cs="Arial"/>
                  <w:sz w:val="22"/>
                  <w:szCs w:val="22"/>
                </w:rPr>
                <m:t>β</m:t>
              </m:r>
            </m:e>
          </m:acc>
        </m:oMath>
      </m:oMathPara>
    </w:p>
    <w:p w14:paraId="025E5147" w14:textId="2E21AE8F" w:rsidR="00B97271" w:rsidRPr="00711BAD" w:rsidRDefault="00B97271" w:rsidP="00B97271">
      <w:pPr>
        <w:rPr>
          <w:rFonts w:ascii="Arial" w:hAnsi="Arial" w:cs="Arial"/>
          <w:sz w:val="22"/>
          <w:szCs w:val="22"/>
        </w:rPr>
      </w:pPr>
      <w:r w:rsidRPr="00711BAD">
        <w:rPr>
          <w:rFonts w:ascii="Arial" w:hAnsi="Arial" w:cs="Arial"/>
          <w:sz w:val="22"/>
          <w:szCs w:val="22"/>
        </w:rPr>
        <w:t xml:space="preserve">Donde la ponderación </w:t>
      </w:r>
      <m:oMath>
        <m:sSub>
          <m:sSubPr>
            <m:ctrlPr>
              <w:rPr>
                <w:rFonts w:ascii="Cambria Math" w:hAnsi="Cambria Math" w:cs="Arial"/>
                <w:sz w:val="22"/>
                <w:szCs w:val="22"/>
              </w:rPr>
            </m:ctrlPr>
          </m:sSubPr>
          <m:e>
            <m:r>
              <w:rPr>
                <w:rFonts w:ascii="Cambria Math" w:hAnsi="Cambria Math" w:cs="Arial"/>
                <w:sz w:val="22"/>
                <w:szCs w:val="22"/>
              </w:rPr>
              <m:t>γ</m:t>
            </m:r>
          </m:e>
          <m:sub>
            <m:r>
              <w:rPr>
                <w:rFonts w:ascii="Cambria Math" w:hAnsi="Cambria Math" w:cs="Arial"/>
                <w:sz w:val="22"/>
                <w:szCs w:val="22"/>
              </w:rPr>
              <m:t>d</m:t>
            </m:r>
          </m:sub>
        </m:sSub>
      </m:oMath>
      <w:r w:rsidRPr="00711BAD">
        <w:rPr>
          <w:rFonts w:ascii="Arial" w:hAnsi="Arial" w:cs="Arial"/>
          <w:sz w:val="22"/>
          <w:szCs w:val="22"/>
        </w:rPr>
        <w:t xml:space="preserve"> viene dada por:</w:t>
      </w:r>
    </w:p>
    <w:p w14:paraId="7760B175" w14:textId="19B8885B" w:rsidR="00B97271" w:rsidRPr="00711BAD" w:rsidRDefault="00000000" w:rsidP="00B97271">
      <w:pPr>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γ</m:t>
              </m:r>
            </m:e>
            <m:sub>
              <m:r>
                <w:rPr>
                  <w:rFonts w:ascii="Cambria Math" w:hAnsi="Cambria Math" w:cs="Arial"/>
                  <w:sz w:val="22"/>
                  <w:szCs w:val="22"/>
                </w:rPr>
                <m:t>d</m:t>
              </m:r>
            </m:sub>
          </m:sSub>
          <m:r>
            <w:rPr>
              <w:rFonts w:ascii="Cambria Math" w:hAnsi="Cambria Math" w:cs="Arial"/>
              <w:sz w:val="22"/>
              <w:szCs w:val="22"/>
            </w:rPr>
            <m:t>=</m:t>
          </m:r>
          <m:f>
            <m:fPr>
              <m:ctrlPr>
                <w:rPr>
                  <w:rFonts w:ascii="Cambria Math" w:hAnsi="Cambria Math" w:cs="Arial"/>
                  <w:sz w:val="22"/>
                  <w:szCs w:val="22"/>
                </w:rPr>
              </m:ctrlPr>
            </m:fPr>
            <m:num>
              <m:sSubSup>
                <m:sSubSupPr>
                  <m:ctrlPr>
                    <w:rPr>
                      <w:rFonts w:ascii="Cambria Math" w:hAnsi="Cambria Math" w:cs="Arial"/>
                      <w:sz w:val="22"/>
                      <w:szCs w:val="22"/>
                    </w:rPr>
                  </m:ctrlPr>
                </m:sSubSupPr>
                <m:e>
                  <m:acc>
                    <m:accPr>
                      <m:chr m:val="ˆ"/>
                      <m:ctrlPr>
                        <w:rPr>
                          <w:rFonts w:ascii="Cambria Math" w:hAnsi="Cambria Math" w:cs="Arial"/>
                          <w:sz w:val="22"/>
                          <w:szCs w:val="22"/>
                        </w:rPr>
                      </m:ctrlPr>
                    </m:accPr>
                    <m:e>
                      <m:r>
                        <w:rPr>
                          <w:rFonts w:ascii="Cambria Math" w:hAnsi="Cambria Math" w:cs="Arial"/>
                          <w:sz w:val="22"/>
                          <w:szCs w:val="22"/>
                        </w:rPr>
                        <m:t>σ</m:t>
                      </m:r>
                    </m:e>
                  </m:acc>
                </m:e>
                <m:sub>
                  <m:r>
                    <w:rPr>
                      <w:rFonts w:ascii="Cambria Math" w:hAnsi="Cambria Math" w:cs="Arial"/>
                      <w:sz w:val="22"/>
                      <w:szCs w:val="22"/>
                    </w:rPr>
                    <m:t>u</m:t>
                  </m:r>
                </m:sub>
                <m:sup>
                  <m:r>
                    <w:rPr>
                      <w:rFonts w:ascii="Cambria Math" w:hAnsi="Cambria Math" w:cs="Arial"/>
                      <w:sz w:val="22"/>
                      <w:szCs w:val="22"/>
                    </w:rPr>
                    <m:t>2</m:t>
                  </m:r>
                </m:sup>
              </m:sSubSup>
            </m:num>
            <m:den>
              <m:sSubSup>
                <m:sSubSupPr>
                  <m:ctrlPr>
                    <w:rPr>
                      <w:rFonts w:ascii="Cambria Math" w:hAnsi="Cambria Math" w:cs="Arial"/>
                      <w:sz w:val="22"/>
                      <w:szCs w:val="22"/>
                    </w:rPr>
                  </m:ctrlPr>
                </m:sSubSupPr>
                <m:e>
                  <m:acc>
                    <m:accPr>
                      <m:chr m:val="ˆ"/>
                      <m:ctrlPr>
                        <w:rPr>
                          <w:rFonts w:ascii="Cambria Math" w:hAnsi="Cambria Math" w:cs="Arial"/>
                          <w:sz w:val="22"/>
                          <w:szCs w:val="22"/>
                        </w:rPr>
                      </m:ctrlPr>
                    </m:accPr>
                    <m:e>
                      <m:r>
                        <w:rPr>
                          <w:rFonts w:ascii="Cambria Math" w:hAnsi="Cambria Math" w:cs="Arial"/>
                          <w:sz w:val="22"/>
                          <w:szCs w:val="22"/>
                        </w:rPr>
                        <m:t>σ</m:t>
                      </m:r>
                    </m:e>
                  </m:acc>
                </m:e>
                <m:sub>
                  <m:r>
                    <w:rPr>
                      <w:rFonts w:ascii="Cambria Math" w:hAnsi="Cambria Math" w:cs="Arial"/>
                      <w:sz w:val="22"/>
                      <w:szCs w:val="22"/>
                    </w:rPr>
                    <m:t>u</m:t>
                  </m:r>
                </m:sub>
                <m:sup>
                  <m:r>
                    <w:rPr>
                      <w:rFonts w:ascii="Cambria Math" w:hAnsi="Cambria Math" w:cs="Arial"/>
                      <w:sz w:val="22"/>
                      <w:szCs w:val="22"/>
                    </w:rPr>
                    <m:t>2</m:t>
                  </m:r>
                </m:sup>
              </m:sSubSup>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ψ</m:t>
                  </m:r>
                </m:e>
                <m:sub>
                  <m:r>
                    <w:rPr>
                      <w:rFonts w:ascii="Cambria Math" w:hAnsi="Cambria Math" w:cs="Arial"/>
                      <w:sz w:val="22"/>
                      <w:szCs w:val="22"/>
                    </w:rPr>
                    <m:t>d</m:t>
                  </m:r>
                </m:sub>
              </m:sSub>
            </m:den>
          </m:f>
        </m:oMath>
      </m:oMathPara>
    </w:p>
    <w:p w14:paraId="0BE7F99E" w14:textId="476C6ECB" w:rsidR="009F2247" w:rsidRPr="00711BAD" w:rsidRDefault="009F2247" w:rsidP="009F2247">
      <w:pPr>
        <w:rPr>
          <w:rFonts w:ascii="Arial" w:hAnsi="Arial" w:cs="Arial"/>
          <w:sz w:val="22"/>
          <w:szCs w:val="22"/>
        </w:rPr>
      </w:pPr>
    </w:p>
    <w:p w14:paraId="5D5FCE74" w14:textId="77777777" w:rsidR="009F2247" w:rsidRPr="00711BAD" w:rsidRDefault="009F2247" w:rsidP="009F2247">
      <w:pPr>
        <w:rPr>
          <w:rFonts w:ascii="Arial" w:hAnsi="Arial" w:cs="Arial"/>
          <w:b/>
          <w:bCs/>
          <w:sz w:val="22"/>
          <w:szCs w:val="22"/>
        </w:rPr>
      </w:pPr>
      <w:r w:rsidRPr="00711BAD">
        <w:rPr>
          <w:rFonts w:ascii="Arial" w:hAnsi="Arial" w:cs="Arial"/>
          <w:b/>
          <w:bCs/>
          <w:sz w:val="22"/>
          <w:szCs w:val="22"/>
        </w:rPr>
        <w:t>2. Modelo SAE a Nivel de Subárea (Desagregación No Lineal Acotada + Benchmarking)</w:t>
      </w:r>
    </w:p>
    <w:p w14:paraId="3FA2FB39" w14:textId="5466C64B" w:rsidR="00B97271" w:rsidRPr="00711BAD" w:rsidRDefault="00B97271" w:rsidP="00B97271">
      <w:pPr>
        <w:rPr>
          <w:rFonts w:ascii="Arial" w:hAnsi="Arial" w:cs="Arial"/>
          <w:sz w:val="22"/>
          <w:szCs w:val="22"/>
        </w:rPr>
      </w:pPr>
      <w:r w:rsidRPr="00711BAD">
        <w:rPr>
          <w:rFonts w:ascii="Arial" w:hAnsi="Arial" w:cs="Arial"/>
          <w:sz w:val="22"/>
          <w:szCs w:val="22"/>
        </w:rPr>
        <w:t xml:space="preserve">Para proyectar el IPM a nivel municipal </w:t>
      </w:r>
      <m:oMath>
        <m:r>
          <w:rPr>
            <w:rFonts w:ascii="Cambria Math" w:hAnsi="Cambria Math" w:cs="Arial"/>
            <w:sz w:val="22"/>
            <w:szCs w:val="22"/>
          </w:rPr>
          <m:t>i</m:t>
        </m:r>
      </m:oMath>
      <w:r w:rsidRPr="00711BAD">
        <w:rPr>
          <w:rFonts w:ascii="Arial" w:hAnsi="Arial" w:cs="Arial"/>
          <w:sz w:val="22"/>
          <w:szCs w:val="22"/>
        </w:rPr>
        <w:t xml:space="preserve"> dentro del departamento </w:t>
      </w:r>
      <m:oMath>
        <m:r>
          <w:rPr>
            <w:rFonts w:ascii="Cambria Math" w:hAnsi="Cambria Math" w:cs="Arial"/>
            <w:sz w:val="22"/>
            <w:szCs w:val="22"/>
          </w:rPr>
          <m:t>d</m:t>
        </m:r>
      </m:oMath>
      <w:r w:rsidRPr="00711BAD">
        <w:rPr>
          <w:rFonts w:ascii="Arial" w:hAnsi="Arial" w:cs="Arial"/>
          <w:sz w:val="22"/>
          <w:szCs w:val="22"/>
        </w:rPr>
        <w:t xml:space="preserve"> bajo la restricción del dominio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di</m:t>
            </m:r>
          </m:sub>
        </m:sSub>
        <m:r>
          <w:rPr>
            <w:rFonts w:ascii="Cambria Math" w:hAnsi="Cambria Math" w:cs="Arial"/>
            <w:sz w:val="22"/>
            <w:szCs w:val="22"/>
          </w:rPr>
          <m:t>∈</m:t>
        </m:r>
        <m:d>
          <m:dPr>
            <m:begChr m:val="["/>
            <m:endChr m:val="]"/>
            <m:ctrlPr>
              <w:rPr>
                <w:rFonts w:ascii="Cambria Math" w:hAnsi="Cambria Math" w:cs="Arial"/>
                <w:sz w:val="22"/>
                <w:szCs w:val="22"/>
              </w:rPr>
            </m:ctrlPr>
          </m:dPr>
          <m:e>
            <m:r>
              <w:rPr>
                <w:rFonts w:ascii="Cambria Math" w:hAnsi="Cambria Math" w:cs="Arial"/>
                <w:sz w:val="22"/>
                <w:szCs w:val="22"/>
              </w:rPr>
              <m:t>0,100%</m:t>
            </m:r>
          </m:e>
        </m:d>
      </m:oMath>
      <w:r w:rsidRPr="00711BAD">
        <w:rPr>
          <w:rFonts w:ascii="Arial" w:hAnsi="Arial" w:cs="Arial"/>
          <w:sz w:val="22"/>
          <w:szCs w:val="22"/>
        </w:rPr>
        <w:t>, se implementa un modelo de regresión logística mixta:</w:t>
      </w:r>
    </w:p>
    <w:p w14:paraId="6A8C877B" w14:textId="0C3EBDC2" w:rsidR="00B97271" w:rsidRPr="00711BAD" w:rsidRDefault="00B97271" w:rsidP="00B97271">
      <w:pPr>
        <w:rPr>
          <w:rFonts w:ascii="Arial" w:hAnsi="Arial" w:cs="Arial"/>
          <w:sz w:val="22"/>
          <w:szCs w:val="22"/>
        </w:rPr>
      </w:pPr>
      <m:oMathPara>
        <m:oMath>
          <m:r>
            <m:rPr>
              <m:nor/>
            </m:rPr>
            <w:rPr>
              <w:rFonts w:ascii="Arial" w:hAnsi="Arial" w:cs="Arial"/>
              <w:sz w:val="22"/>
              <w:szCs w:val="22"/>
            </w:rPr>
            <m:t>logit</m:t>
          </m:r>
          <m:d>
            <m:dPr>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di</m:t>
                  </m:r>
                </m:sub>
              </m:sSub>
            </m:e>
          </m:d>
          <m:r>
            <w:rPr>
              <w:rFonts w:ascii="Cambria Math" w:hAnsi="Cambria Math" w:cs="Arial"/>
              <w:sz w:val="22"/>
              <w:szCs w:val="22"/>
            </w:rPr>
            <m:t>=</m:t>
          </m:r>
          <m:func>
            <m:funcPr>
              <m:ctrlPr>
                <w:rPr>
                  <w:rFonts w:ascii="Cambria Math" w:hAnsi="Cambria Math" w:cs="Arial"/>
                  <w:sz w:val="22"/>
                  <w:szCs w:val="22"/>
                </w:rPr>
              </m:ctrlPr>
            </m:funcPr>
            <m:fName>
              <m:r>
                <m:rPr>
                  <m:sty m:val="p"/>
                </m:rPr>
                <w:rPr>
                  <w:rFonts w:ascii="Cambria Math" w:hAnsi="Cambria Math" w:cs="Arial"/>
                  <w:sz w:val="22"/>
                  <w:szCs w:val="22"/>
                </w:rPr>
                <m:t>ln</m:t>
              </m:r>
            </m:fName>
            <m:e>
              <m:d>
                <m:dPr>
                  <m:ctrlPr>
                    <w:rPr>
                      <w:rFonts w:ascii="Cambria Math" w:hAnsi="Cambria Math" w:cs="Arial"/>
                      <w:sz w:val="22"/>
                      <w:szCs w:val="22"/>
                    </w:rPr>
                  </m:ctrlPr>
                </m:dPr>
                <m:e>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di</m:t>
                          </m:r>
                        </m:sub>
                      </m:sSub>
                    </m:num>
                    <m:den>
                      <m:r>
                        <w:rPr>
                          <w:rFonts w:ascii="Cambria Math" w:hAnsi="Cambria Math" w:cs="Arial"/>
                          <w:sz w:val="22"/>
                          <w:szCs w:val="22"/>
                        </w:rPr>
                        <m:t>1-</m:t>
                      </m:r>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di</m:t>
                          </m:r>
                        </m:sub>
                      </m:sSub>
                    </m:den>
                  </m:f>
                </m:e>
              </m:d>
            </m:e>
          </m:func>
          <m:r>
            <w:rPr>
              <w:rFonts w:ascii="Cambria Math" w:hAnsi="Cambria Math" w:cs="Arial"/>
              <w:sz w:val="22"/>
              <w:szCs w:val="22"/>
            </w:rPr>
            <m:t>=</m:t>
          </m:r>
          <m:sSubSup>
            <m:sSubSupPr>
              <m:ctrlPr>
                <w:rPr>
                  <w:rFonts w:ascii="Cambria Math" w:hAnsi="Cambria Math" w:cs="Arial"/>
                  <w:sz w:val="22"/>
                  <w:szCs w:val="22"/>
                </w:rPr>
              </m:ctrlPr>
            </m:sSubSupPr>
            <m:e>
              <m:r>
                <w:rPr>
                  <w:rFonts w:ascii="Cambria Math" w:hAnsi="Cambria Math" w:cs="Arial"/>
                  <w:sz w:val="22"/>
                  <w:szCs w:val="22"/>
                </w:rPr>
                <m:t>x</m:t>
              </m:r>
            </m:e>
            <m:sub>
              <m:r>
                <w:rPr>
                  <w:rFonts w:ascii="Cambria Math" w:hAnsi="Cambria Math" w:cs="Arial"/>
                  <w:sz w:val="22"/>
                  <w:szCs w:val="22"/>
                </w:rPr>
                <m:t>di</m:t>
              </m:r>
            </m:sub>
            <m:sup>
              <m:r>
                <w:rPr>
                  <w:rFonts w:ascii="Cambria Math" w:hAnsi="Cambria Math" w:cs="Arial"/>
                  <w:sz w:val="22"/>
                  <w:szCs w:val="22"/>
                </w:rPr>
                <m:t>T</m:t>
              </m:r>
            </m:sup>
          </m:sSubSup>
          <m:r>
            <w:rPr>
              <w:rFonts w:ascii="Cambria Math" w:hAnsi="Cambria Math" w:cs="Arial"/>
              <w:sz w:val="22"/>
              <w:szCs w:val="22"/>
            </w:rPr>
            <m:t>β+</m:t>
          </m:r>
          <m:sSub>
            <m:sSubPr>
              <m:ctrlPr>
                <w:rPr>
                  <w:rFonts w:ascii="Cambria Math" w:hAnsi="Cambria Math" w:cs="Arial"/>
                  <w:sz w:val="22"/>
                  <w:szCs w:val="22"/>
                </w:rPr>
              </m:ctrlPr>
            </m:sSubPr>
            <m:e>
              <m:r>
                <w:rPr>
                  <w:rFonts w:ascii="Cambria Math" w:hAnsi="Cambria Math" w:cs="Arial"/>
                  <w:sz w:val="22"/>
                  <w:szCs w:val="22"/>
                </w:rPr>
                <m:t>u</m:t>
              </m:r>
            </m:e>
            <m:sub>
              <m:r>
                <w:rPr>
                  <w:rFonts w:ascii="Cambria Math" w:hAnsi="Cambria Math" w:cs="Arial"/>
                  <w:sz w:val="22"/>
                  <w:szCs w:val="22"/>
                </w:rPr>
                <m:t>d</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di</m:t>
              </m:r>
            </m:sub>
          </m:sSub>
        </m:oMath>
      </m:oMathPara>
    </w:p>
    <w:p w14:paraId="2C36685B" w14:textId="3EC1E476" w:rsidR="00B97271" w:rsidRPr="00711BAD" w:rsidRDefault="00B97271" w:rsidP="00B97271">
      <w:pPr>
        <w:rPr>
          <w:rFonts w:ascii="Arial" w:hAnsi="Arial" w:cs="Arial"/>
          <w:sz w:val="22"/>
          <w:szCs w:val="22"/>
        </w:rPr>
      </w:pPr>
      <w:r w:rsidRPr="00711BAD">
        <w:rPr>
          <w:rFonts w:ascii="Arial" w:hAnsi="Arial" w:cs="Arial"/>
          <w:sz w:val="22"/>
          <w:szCs w:val="22"/>
        </w:rPr>
        <w:t xml:space="preserve">Donde </w:t>
      </w:r>
      <m:oMath>
        <m:sSub>
          <m:sSubPr>
            <m:ctrlPr>
              <w:rPr>
                <w:rFonts w:ascii="Cambria Math" w:hAnsi="Cambria Math" w:cs="Arial"/>
                <w:sz w:val="22"/>
                <w:szCs w:val="22"/>
              </w:rPr>
            </m:ctrlPr>
          </m:sSubPr>
          <m:e>
            <m:r>
              <w:rPr>
                <w:rFonts w:ascii="Cambria Math" w:hAnsi="Cambria Math" w:cs="Arial"/>
                <w:sz w:val="22"/>
                <w:szCs w:val="22"/>
              </w:rPr>
              <m:t>u</m:t>
            </m:r>
          </m:e>
          <m:sub>
            <m:r>
              <w:rPr>
                <w:rFonts w:ascii="Cambria Math" w:hAnsi="Cambria Math" w:cs="Arial"/>
                <w:sz w:val="22"/>
                <w:szCs w:val="22"/>
              </w:rPr>
              <m:t>d</m:t>
            </m:r>
          </m:sub>
        </m:sSub>
        <m:r>
          <w:rPr>
            <w:rFonts w:ascii="Cambria Math" w:hAnsi="Cambria Math" w:cs="Arial"/>
            <w:sz w:val="22"/>
            <w:szCs w:val="22"/>
          </w:rPr>
          <m:t>∼N</m:t>
        </m:r>
        <m:d>
          <m:dPr>
            <m:ctrlPr>
              <w:rPr>
                <w:rFonts w:ascii="Cambria Math" w:hAnsi="Cambria Math" w:cs="Arial"/>
                <w:sz w:val="22"/>
                <w:szCs w:val="22"/>
              </w:rPr>
            </m:ctrlPr>
          </m:dPr>
          <m:e>
            <m:r>
              <w:rPr>
                <w:rFonts w:ascii="Cambria Math" w:hAnsi="Cambria Math" w:cs="Arial"/>
                <w:sz w:val="22"/>
                <w:szCs w:val="22"/>
              </w:rPr>
              <m:t>0,</m:t>
            </m:r>
            <m:sSubSup>
              <m:sSubSupPr>
                <m:ctrlPr>
                  <w:rPr>
                    <w:rFonts w:ascii="Cambria Math" w:hAnsi="Cambria Math" w:cs="Arial"/>
                    <w:sz w:val="22"/>
                    <w:szCs w:val="22"/>
                  </w:rPr>
                </m:ctrlPr>
              </m:sSubSupPr>
              <m:e>
                <m:r>
                  <w:rPr>
                    <w:rFonts w:ascii="Cambria Math" w:hAnsi="Cambria Math" w:cs="Arial"/>
                    <w:sz w:val="22"/>
                    <w:szCs w:val="22"/>
                  </w:rPr>
                  <m:t>σ</m:t>
                </m:r>
              </m:e>
              <m:sub>
                <m:r>
                  <w:rPr>
                    <w:rFonts w:ascii="Cambria Math" w:hAnsi="Cambria Math" w:cs="Arial"/>
                    <w:sz w:val="22"/>
                    <w:szCs w:val="22"/>
                  </w:rPr>
                  <m:t>u</m:t>
                </m:r>
              </m:sub>
              <m:sup>
                <m:r>
                  <w:rPr>
                    <w:rFonts w:ascii="Cambria Math" w:hAnsi="Cambria Math" w:cs="Arial"/>
                    <w:sz w:val="22"/>
                    <w:szCs w:val="22"/>
                  </w:rPr>
                  <m:t>2</m:t>
                </m:r>
              </m:sup>
            </m:sSubSup>
          </m:e>
        </m:d>
      </m:oMath>
      <w:r w:rsidRPr="00711BAD">
        <w:rPr>
          <w:rFonts w:ascii="Arial" w:hAnsi="Arial" w:cs="Arial"/>
          <w:sz w:val="22"/>
          <w:szCs w:val="22"/>
        </w:rPr>
        <w:t xml:space="preserve"> es el efecto aleatorio departamental y </w:t>
      </w:r>
      <m:oMath>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di</m:t>
            </m:r>
          </m:sub>
        </m:sSub>
        <m:r>
          <w:rPr>
            <w:rFonts w:ascii="Cambria Math" w:hAnsi="Cambria Math" w:cs="Arial"/>
            <w:sz w:val="22"/>
            <w:szCs w:val="22"/>
          </w:rPr>
          <m:t>∼N</m:t>
        </m:r>
        <m:d>
          <m:dPr>
            <m:ctrlPr>
              <w:rPr>
                <w:rFonts w:ascii="Cambria Math" w:hAnsi="Cambria Math" w:cs="Arial"/>
                <w:sz w:val="22"/>
                <w:szCs w:val="22"/>
              </w:rPr>
            </m:ctrlPr>
          </m:dPr>
          <m:e>
            <m:r>
              <w:rPr>
                <w:rFonts w:ascii="Cambria Math" w:hAnsi="Cambria Math" w:cs="Arial"/>
                <w:sz w:val="22"/>
                <w:szCs w:val="22"/>
              </w:rPr>
              <m:t>0,</m:t>
            </m:r>
            <m:sSubSup>
              <m:sSubSupPr>
                <m:ctrlPr>
                  <w:rPr>
                    <w:rFonts w:ascii="Cambria Math" w:hAnsi="Cambria Math" w:cs="Arial"/>
                    <w:sz w:val="22"/>
                    <w:szCs w:val="22"/>
                  </w:rPr>
                </m:ctrlPr>
              </m:sSubSupPr>
              <m:e>
                <m:r>
                  <w:rPr>
                    <w:rFonts w:ascii="Cambria Math" w:hAnsi="Cambria Math" w:cs="Arial"/>
                    <w:sz w:val="22"/>
                    <w:szCs w:val="22"/>
                  </w:rPr>
                  <m:t>σ</m:t>
                </m:r>
              </m:e>
              <m:sub>
                <m:r>
                  <w:rPr>
                    <w:rFonts w:ascii="Cambria Math" w:hAnsi="Cambria Math" w:cs="Arial"/>
                    <w:sz w:val="22"/>
                    <w:szCs w:val="22"/>
                  </w:rPr>
                  <m:t>v</m:t>
                </m:r>
              </m:sub>
              <m:sup>
                <m:r>
                  <w:rPr>
                    <w:rFonts w:ascii="Cambria Math" w:hAnsi="Cambria Math" w:cs="Arial"/>
                    <w:sz w:val="22"/>
                    <w:szCs w:val="22"/>
                  </w:rPr>
                  <m:t>2</m:t>
                </m:r>
              </m:sup>
            </m:sSubSup>
          </m:e>
        </m:d>
      </m:oMath>
      <w:r w:rsidRPr="00711BAD">
        <w:rPr>
          <w:rFonts w:ascii="Arial" w:hAnsi="Arial" w:cs="Arial"/>
          <w:sz w:val="22"/>
          <w:szCs w:val="22"/>
        </w:rPr>
        <w:t xml:space="preserve"> es la heterogeneidad no observada a nivel municipal.</w:t>
      </w:r>
    </w:p>
    <w:p w14:paraId="3E4E2966" w14:textId="77777777" w:rsidR="00B97271" w:rsidRPr="00711BAD" w:rsidRDefault="00B97271" w:rsidP="00B97271">
      <w:pPr>
        <w:rPr>
          <w:rFonts w:ascii="Arial" w:hAnsi="Arial" w:cs="Arial"/>
          <w:sz w:val="22"/>
          <w:szCs w:val="22"/>
        </w:rPr>
      </w:pPr>
      <w:r w:rsidRPr="00711BAD">
        <w:rPr>
          <w:rFonts w:ascii="Arial" w:hAnsi="Arial" w:cs="Arial"/>
          <w:sz w:val="22"/>
          <w:szCs w:val="22"/>
        </w:rPr>
        <w:t>Para asegurar la coherencia macroeconómica con los agregados departamentales publicados por el DANE, se aplica una calibración proporcional (</w:t>
      </w:r>
      <w:r w:rsidRPr="00711BAD">
        <w:rPr>
          <w:rFonts w:ascii="Arial" w:hAnsi="Arial" w:cs="Arial"/>
          <w:i/>
          <w:iCs/>
          <w:sz w:val="22"/>
          <w:szCs w:val="22"/>
        </w:rPr>
        <w:t>benchmarking</w:t>
      </w:r>
      <w:r w:rsidRPr="00711BAD">
        <w:rPr>
          <w:rFonts w:ascii="Arial" w:hAnsi="Arial" w:cs="Arial"/>
          <w:sz w:val="22"/>
          <w:szCs w:val="22"/>
        </w:rPr>
        <w:t>):</w:t>
      </w:r>
    </w:p>
    <w:p w14:paraId="57970CB0" w14:textId="3CA7E8A1" w:rsidR="00B97271" w:rsidRPr="00711BAD" w:rsidRDefault="00000000" w:rsidP="00B97271">
      <w:pPr>
        <w:rPr>
          <w:rFonts w:ascii="Arial" w:hAnsi="Arial" w:cs="Arial"/>
          <w:sz w:val="22"/>
          <w:szCs w:val="22"/>
          <w:lang w:val="en-US"/>
        </w:rPr>
      </w:pPr>
      <m:oMathPara>
        <m:oMath>
          <m:sSubSup>
            <m:sSubSupPr>
              <m:ctrlPr>
                <w:rPr>
                  <w:rFonts w:ascii="Cambria Math" w:hAnsi="Cambria Math" w:cs="Arial"/>
                  <w:sz w:val="22"/>
                  <w:szCs w:val="22"/>
                </w:rPr>
              </m:ctrlPr>
            </m:sSubSupPr>
            <m:e>
              <m:acc>
                <m:accPr>
                  <m:chr m:val="ˆ"/>
                  <m:ctrlPr>
                    <w:rPr>
                      <w:rFonts w:ascii="Cambria Math" w:hAnsi="Cambria Math" w:cs="Arial"/>
                      <w:sz w:val="22"/>
                      <w:szCs w:val="22"/>
                    </w:rPr>
                  </m:ctrlPr>
                </m:accPr>
                <m:e>
                  <m:r>
                    <w:rPr>
                      <w:rFonts w:ascii="Cambria Math" w:hAnsi="Cambria Math" w:cs="Arial"/>
                      <w:sz w:val="22"/>
                      <w:szCs w:val="22"/>
                    </w:rPr>
                    <m:t>P</m:t>
                  </m:r>
                </m:e>
              </m:acc>
            </m:e>
            <m:sub>
              <m:r>
                <w:rPr>
                  <w:rFonts w:ascii="Cambria Math" w:hAnsi="Cambria Math" w:cs="Arial"/>
                  <w:sz w:val="22"/>
                  <w:szCs w:val="22"/>
                </w:rPr>
                <m:t>di</m:t>
              </m:r>
            </m:sub>
            <m:sup>
              <m:r>
                <m:rPr>
                  <m:nor/>
                </m:rPr>
                <w:rPr>
                  <w:rFonts w:ascii="Arial" w:hAnsi="Arial" w:cs="Arial"/>
                  <w:sz w:val="22"/>
                  <w:szCs w:val="22"/>
                  <w:lang w:val="en-US"/>
                </w:rPr>
                <m:t>bench</m:t>
              </m:r>
            </m:sup>
          </m:sSubSup>
          <m:r>
            <w:rPr>
              <w:rFonts w:ascii="Cambria Math" w:hAnsi="Cambria Math" w:cs="Arial"/>
              <w:sz w:val="22"/>
              <w:szCs w:val="22"/>
              <w:lang w:val="en-US"/>
            </w:rPr>
            <m:t>=</m:t>
          </m:r>
          <m:sSub>
            <m:sSubPr>
              <m:ctrlPr>
                <w:rPr>
                  <w:rFonts w:ascii="Cambria Math" w:hAnsi="Cambria Math" w:cs="Arial"/>
                  <w:sz w:val="22"/>
                  <w:szCs w:val="22"/>
                </w:rPr>
              </m:ctrlPr>
            </m:sSubPr>
            <m:e>
              <m:acc>
                <m:accPr>
                  <m:chr m:val="ˆ"/>
                  <m:ctrlPr>
                    <w:rPr>
                      <w:rFonts w:ascii="Cambria Math" w:hAnsi="Cambria Math" w:cs="Arial"/>
                      <w:sz w:val="22"/>
                      <w:szCs w:val="22"/>
                    </w:rPr>
                  </m:ctrlPr>
                </m:accPr>
                <m:e>
                  <m:r>
                    <w:rPr>
                      <w:rFonts w:ascii="Cambria Math" w:hAnsi="Cambria Math" w:cs="Arial"/>
                      <w:sz w:val="22"/>
                      <w:szCs w:val="22"/>
                    </w:rPr>
                    <m:t>P</m:t>
                  </m:r>
                </m:e>
              </m:acc>
            </m:e>
            <m:sub>
              <m:r>
                <w:rPr>
                  <w:rFonts w:ascii="Cambria Math" w:hAnsi="Cambria Math" w:cs="Arial"/>
                  <w:sz w:val="22"/>
                  <w:szCs w:val="22"/>
                </w:rPr>
                <m:t>di</m:t>
              </m:r>
            </m:sub>
          </m:sSub>
          <m:r>
            <w:rPr>
              <w:rFonts w:ascii="Cambria Math" w:hAnsi="Cambria Math" w:cs="Arial"/>
              <w:sz w:val="22"/>
              <w:szCs w:val="22"/>
              <w:lang w:val="en-US"/>
            </w:rPr>
            <m:t>×</m:t>
          </m:r>
          <m:d>
            <m:dPr>
              <m:ctrlPr>
                <w:rPr>
                  <w:rFonts w:ascii="Cambria Math" w:hAnsi="Cambria Math" w:cs="Arial"/>
                  <w:sz w:val="22"/>
                  <w:szCs w:val="22"/>
                </w:rPr>
              </m:ctrlPr>
            </m:dPr>
            <m:e>
              <m:f>
                <m:fPr>
                  <m:ctrlPr>
                    <w:rPr>
                      <w:rFonts w:ascii="Cambria Math" w:hAnsi="Cambria Math" w:cs="Arial"/>
                      <w:sz w:val="22"/>
                      <w:szCs w:val="22"/>
                    </w:rPr>
                  </m:ctrlPr>
                </m:fPr>
                <m:num>
                  <m:sSubSup>
                    <m:sSubSupPr>
                      <m:ctrlPr>
                        <w:rPr>
                          <w:rFonts w:ascii="Cambria Math" w:hAnsi="Cambria Math" w:cs="Arial"/>
                          <w:sz w:val="22"/>
                          <w:szCs w:val="22"/>
                        </w:rPr>
                      </m:ctrlPr>
                    </m:sSubSupPr>
                    <m:e>
                      <m:r>
                        <w:rPr>
                          <w:rFonts w:ascii="Cambria Math" w:hAnsi="Cambria Math" w:cs="Arial"/>
                          <w:sz w:val="22"/>
                          <w:szCs w:val="22"/>
                        </w:rPr>
                        <m:t>Y</m:t>
                      </m:r>
                    </m:e>
                    <m:sub>
                      <m:r>
                        <w:rPr>
                          <w:rFonts w:ascii="Cambria Math" w:hAnsi="Cambria Math" w:cs="Arial"/>
                          <w:sz w:val="22"/>
                          <w:szCs w:val="22"/>
                        </w:rPr>
                        <m:t>d</m:t>
                      </m:r>
                    </m:sub>
                    <m:sup>
                      <m:r>
                        <m:rPr>
                          <m:nor/>
                        </m:rPr>
                        <w:rPr>
                          <w:rFonts w:ascii="Arial" w:hAnsi="Arial" w:cs="Arial"/>
                          <w:sz w:val="22"/>
                          <w:szCs w:val="22"/>
                          <w:lang w:val="en-US"/>
                        </w:rPr>
                        <m:t>DANE</m:t>
                      </m:r>
                    </m:sup>
                  </m:sSubSup>
                </m:num>
                <m:den>
                  <m:nary>
                    <m:naryPr>
                      <m:chr m:val="∑"/>
                      <m:limLoc m:val="undOvr"/>
                      <m:supHide m:val="1"/>
                      <m:ctrlPr>
                        <w:rPr>
                          <w:rFonts w:ascii="Cambria Math" w:hAnsi="Cambria Math" w:cs="Arial"/>
                          <w:sz w:val="22"/>
                          <w:szCs w:val="22"/>
                        </w:rPr>
                      </m:ctrlPr>
                    </m:naryPr>
                    <m:sub>
                      <m:r>
                        <w:rPr>
                          <w:rFonts w:ascii="Cambria Math" w:hAnsi="Cambria Math" w:cs="Arial"/>
                          <w:sz w:val="22"/>
                          <w:szCs w:val="22"/>
                        </w:rPr>
                        <m:t>i</m:t>
                      </m:r>
                      <m:r>
                        <w:rPr>
                          <w:rFonts w:ascii="Cambria Math" w:hAnsi="Cambria Math" w:cs="Arial"/>
                          <w:sz w:val="22"/>
                          <w:szCs w:val="22"/>
                          <w:lang w:val="en-US"/>
                        </w:rPr>
                        <m:t>∈</m:t>
                      </m:r>
                      <m:r>
                        <w:rPr>
                          <w:rFonts w:ascii="Cambria Math" w:hAnsi="Cambria Math" w:cs="Arial"/>
                          <w:sz w:val="22"/>
                          <w:szCs w:val="22"/>
                        </w:rPr>
                        <m:t>d</m:t>
                      </m:r>
                    </m:sub>
                    <m:sup/>
                    <m:e>
                      <m:sSub>
                        <m:sSubPr>
                          <m:ctrlPr>
                            <w:rPr>
                              <w:rFonts w:ascii="Cambria Math" w:hAnsi="Cambria Math" w:cs="Arial"/>
                              <w:sz w:val="22"/>
                              <w:szCs w:val="22"/>
                            </w:rPr>
                          </m:ctrlPr>
                        </m:sSubPr>
                        <m:e>
                          <m:r>
                            <w:rPr>
                              <w:rFonts w:ascii="Cambria Math" w:hAnsi="Cambria Math" w:cs="Arial"/>
                              <w:sz w:val="22"/>
                              <w:szCs w:val="22"/>
                            </w:rPr>
                            <m:t>w</m:t>
                          </m:r>
                        </m:e>
                        <m:sub>
                          <m:r>
                            <w:rPr>
                              <w:rFonts w:ascii="Cambria Math" w:hAnsi="Cambria Math" w:cs="Arial"/>
                              <w:sz w:val="22"/>
                              <w:szCs w:val="22"/>
                            </w:rPr>
                            <m:t>di</m:t>
                          </m:r>
                        </m:sub>
                      </m:sSub>
                    </m:e>
                  </m:nary>
                  <m:sSub>
                    <m:sSubPr>
                      <m:ctrlPr>
                        <w:rPr>
                          <w:rFonts w:ascii="Cambria Math" w:hAnsi="Cambria Math" w:cs="Arial"/>
                          <w:sz w:val="22"/>
                          <w:szCs w:val="22"/>
                        </w:rPr>
                      </m:ctrlPr>
                    </m:sSubPr>
                    <m:e>
                      <m:acc>
                        <m:accPr>
                          <m:chr m:val="ˆ"/>
                          <m:ctrlPr>
                            <w:rPr>
                              <w:rFonts w:ascii="Cambria Math" w:hAnsi="Cambria Math" w:cs="Arial"/>
                              <w:sz w:val="22"/>
                              <w:szCs w:val="22"/>
                            </w:rPr>
                          </m:ctrlPr>
                        </m:accPr>
                        <m:e>
                          <m:r>
                            <w:rPr>
                              <w:rFonts w:ascii="Cambria Math" w:hAnsi="Cambria Math" w:cs="Arial"/>
                              <w:sz w:val="22"/>
                              <w:szCs w:val="22"/>
                            </w:rPr>
                            <m:t>P</m:t>
                          </m:r>
                        </m:e>
                      </m:acc>
                    </m:e>
                    <m:sub>
                      <m:r>
                        <w:rPr>
                          <w:rFonts w:ascii="Cambria Math" w:hAnsi="Cambria Math" w:cs="Arial"/>
                          <w:sz w:val="22"/>
                          <w:szCs w:val="22"/>
                        </w:rPr>
                        <m:t>di</m:t>
                      </m:r>
                    </m:sub>
                  </m:sSub>
                </m:den>
              </m:f>
            </m:e>
          </m:d>
        </m:oMath>
      </m:oMathPara>
    </w:p>
    <w:p w14:paraId="3F8030DA" w14:textId="07E43351" w:rsidR="009F2247" w:rsidRPr="00711BAD" w:rsidRDefault="00B97271" w:rsidP="009F2247">
      <w:pPr>
        <w:rPr>
          <w:rFonts w:ascii="Arial" w:hAnsi="Arial" w:cs="Arial"/>
          <w:sz w:val="22"/>
          <w:szCs w:val="22"/>
        </w:rPr>
      </w:pPr>
      <w:r w:rsidRPr="00711BAD">
        <w:rPr>
          <w:rFonts w:ascii="Arial" w:hAnsi="Arial" w:cs="Arial"/>
          <w:sz w:val="22"/>
          <w:szCs w:val="22"/>
        </w:rPr>
        <w:t xml:space="preserve">Donde </w:t>
      </w:r>
      <m:oMath>
        <m:sSub>
          <m:sSubPr>
            <m:ctrlPr>
              <w:rPr>
                <w:rFonts w:ascii="Cambria Math" w:hAnsi="Cambria Math" w:cs="Arial"/>
                <w:sz w:val="22"/>
                <w:szCs w:val="22"/>
              </w:rPr>
            </m:ctrlPr>
          </m:sSubPr>
          <m:e>
            <m:r>
              <w:rPr>
                <w:rFonts w:ascii="Cambria Math" w:hAnsi="Cambria Math" w:cs="Arial"/>
                <w:sz w:val="22"/>
                <w:szCs w:val="22"/>
              </w:rPr>
              <m:t>w</m:t>
            </m:r>
          </m:e>
          <m:sub>
            <m:r>
              <w:rPr>
                <w:rFonts w:ascii="Cambria Math" w:hAnsi="Cambria Math" w:cs="Arial"/>
                <w:sz w:val="22"/>
                <w:szCs w:val="22"/>
              </w:rPr>
              <m:t>di</m:t>
            </m:r>
          </m:sub>
        </m:sSub>
      </m:oMath>
      <w:r w:rsidRPr="00711BAD">
        <w:rPr>
          <w:rFonts w:ascii="Arial" w:hAnsi="Arial" w:cs="Arial"/>
          <w:sz w:val="22"/>
          <w:szCs w:val="22"/>
        </w:rPr>
        <w:t xml:space="preserve"> representa el factor de expansión poblacional del municipio </w:t>
      </w:r>
      <m:oMath>
        <m:r>
          <w:rPr>
            <w:rFonts w:ascii="Cambria Math" w:hAnsi="Cambria Math" w:cs="Arial"/>
            <w:sz w:val="22"/>
            <w:szCs w:val="22"/>
          </w:rPr>
          <m:t>i</m:t>
        </m:r>
      </m:oMath>
      <w:r w:rsidRPr="00711BAD">
        <w:rPr>
          <w:rFonts w:ascii="Arial" w:hAnsi="Arial" w:cs="Arial"/>
          <w:sz w:val="22"/>
          <w:szCs w:val="22"/>
        </w:rPr>
        <w:t>.</w:t>
      </w:r>
    </w:p>
    <w:p w14:paraId="33DEE693" w14:textId="77777777" w:rsidR="009F2247" w:rsidRPr="00711BAD" w:rsidRDefault="009F2247" w:rsidP="009F2247">
      <w:pPr>
        <w:rPr>
          <w:rFonts w:ascii="Arial" w:hAnsi="Arial" w:cs="Arial"/>
          <w:b/>
          <w:bCs/>
          <w:sz w:val="22"/>
          <w:szCs w:val="22"/>
        </w:rPr>
      </w:pPr>
      <w:r w:rsidRPr="00711BAD">
        <w:rPr>
          <w:rFonts w:ascii="Arial" w:hAnsi="Arial" w:cs="Arial"/>
          <w:b/>
          <w:bCs/>
          <w:sz w:val="22"/>
          <w:szCs w:val="22"/>
        </w:rPr>
        <w:lastRenderedPageBreak/>
        <w:t>3. El Puente Metodológico y la Incorporación del Modelo Autorregresivo Espacial (SAR)</w:t>
      </w:r>
    </w:p>
    <w:p w14:paraId="3DC50D37" w14:textId="0167380D" w:rsidR="00074CF6" w:rsidRPr="00711BAD" w:rsidRDefault="00074CF6" w:rsidP="00074CF6">
      <w:pPr>
        <w:rPr>
          <w:rFonts w:ascii="Arial" w:hAnsi="Arial" w:cs="Arial"/>
          <w:sz w:val="22"/>
          <w:szCs w:val="22"/>
        </w:rPr>
      </w:pPr>
      <w:r w:rsidRPr="00711BAD">
        <w:rPr>
          <w:rFonts w:ascii="Arial" w:hAnsi="Arial" w:cs="Arial"/>
          <w:sz w:val="22"/>
          <w:szCs w:val="22"/>
        </w:rPr>
        <w:t>Para incorporar la dependencia geográfica territorial no observada en los modelos SAE de área y subárea, se especifica un Modelo de Rezago Espacial (</w:t>
      </w:r>
      <w:r w:rsidRPr="00711BAD">
        <w:rPr>
          <w:rFonts w:ascii="Arial" w:hAnsi="Arial" w:cs="Arial"/>
          <w:i/>
          <w:iCs/>
          <w:sz w:val="22"/>
          <w:szCs w:val="22"/>
        </w:rPr>
        <w:t>Spatial Lag / SAR</w:t>
      </w:r>
      <w:r w:rsidRPr="00711BAD">
        <w:rPr>
          <w:rFonts w:ascii="Arial" w:hAnsi="Arial" w:cs="Arial"/>
          <w:sz w:val="22"/>
          <w:szCs w:val="22"/>
        </w:rPr>
        <w:t>) estimado por Máxima Verosimilitud sobre la estructura empírica ancla del año censal (2018). El modelo se especifica tal que:</w:t>
      </w:r>
    </w:p>
    <w:p w14:paraId="4B98BA7E" w14:textId="4D283C1C" w:rsidR="00074CF6" w:rsidRPr="00711BAD" w:rsidRDefault="00074CF6" w:rsidP="00074CF6">
      <w:pPr>
        <w:pStyle w:val="Prrafodelista"/>
        <w:numPr>
          <w:ilvl w:val="0"/>
          <w:numId w:val="20"/>
        </w:numPr>
        <w:rPr>
          <w:rFonts w:ascii="Arial" w:hAnsi="Arial" w:cs="Arial"/>
          <w:b/>
          <w:bCs/>
          <w:sz w:val="22"/>
          <w:szCs w:val="22"/>
        </w:rPr>
      </w:pPr>
      <w:r w:rsidRPr="00711BAD">
        <w:rPr>
          <w:rFonts w:ascii="Arial" w:hAnsi="Arial" w:cs="Arial"/>
          <w:b/>
          <w:bCs/>
          <w:sz w:val="22"/>
          <w:szCs w:val="22"/>
        </w:rPr>
        <w:t>Transformación Logit del IPM</w:t>
      </w:r>
    </w:p>
    <w:p w14:paraId="3D374080" w14:textId="4A0ACB65" w:rsidR="00074CF6" w:rsidRPr="00711BAD" w:rsidRDefault="00074CF6" w:rsidP="00074CF6">
      <w:pPr>
        <w:rPr>
          <w:rFonts w:ascii="Arial" w:hAnsi="Arial" w:cs="Arial"/>
          <w:sz w:val="22"/>
          <w:szCs w:val="22"/>
        </w:rPr>
      </w:pPr>
      <w:r w:rsidRPr="00711BAD">
        <w:rPr>
          <w:rFonts w:ascii="Arial" w:hAnsi="Arial" w:cs="Arial"/>
          <w:sz w:val="22"/>
          <w:szCs w:val="22"/>
        </w:rPr>
        <w:t xml:space="preserve">Dado que el IPM representa una proporción contenida en la escala </w:t>
      </w:r>
      <m:oMath>
        <m:d>
          <m:dPr>
            <m:begChr m:val="["/>
            <m:endChr m:val="]"/>
            <m:ctrlPr>
              <w:rPr>
                <w:rFonts w:ascii="Cambria Math" w:hAnsi="Cambria Math" w:cs="Arial"/>
                <w:sz w:val="22"/>
                <w:szCs w:val="22"/>
              </w:rPr>
            </m:ctrlPr>
          </m:dPr>
          <m:e>
            <m:r>
              <w:rPr>
                <w:rFonts w:ascii="Cambria Math" w:hAnsi="Cambria Math" w:cs="Arial"/>
                <w:sz w:val="22"/>
                <w:szCs w:val="22"/>
              </w:rPr>
              <m:t>0,100%</m:t>
            </m:r>
          </m:e>
        </m:d>
      </m:oMath>
      <w:r w:rsidRPr="00711BAD">
        <w:rPr>
          <w:rFonts w:ascii="Arial" w:hAnsi="Arial" w:cs="Arial"/>
          <w:sz w:val="22"/>
          <w:szCs w:val="22"/>
        </w:rPr>
        <w:t>, se aplica una transformación de enlace logístico previa a la estimación lineal, garantizando el rigor estadístico sobre variables acotadas y evitando predicciones fuera del soporte admisible:</w:t>
      </w:r>
    </w:p>
    <w:p w14:paraId="0BB24858" w14:textId="08FB87D2" w:rsidR="00074CF6" w:rsidRPr="00711BAD" w:rsidRDefault="00000000" w:rsidP="00074CF6">
      <w:pPr>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i,</m:t>
              </m:r>
              <m:r>
                <m:rPr>
                  <m:nor/>
                </m:rPr>
                <w:rPr>
                  <w:rFonts w:ascii="Arial" w:hAnsi="Arial" w:cs="Arial"/>
                  <w:sz w:val="22"/>
                  <w:szCs w:val="22"/>
                </w:rPr>
                <m:t>logit</m:t>
              </m:r>
            </m:sub>
          </m:sSub>
          <m:r>
            <w:rPr>
              <w:rFonts w:ascii="Cambria Math" w:hAnsi="Cambria Math" w:cs="Arial"/>
              <w:sz w:val="22"/>
              <w:szCs w:val="22"/>
            </w:rPr>
            <m:t>=</m:t>
          </m:r>
          <m:func>
            <m:funcPr>
              <m:ctrlPr>
                <w:rPr>
                  <w:rFonts w:ascii="Cambria Math" w:hAnsi="Cambria Math" w:cs="Arial"/>
                  <w:sz w:val="22"/>
                  <w:szCs w:val="22"/>
                </w:rPr>
              </m:ctrlPr>
            </m:funcPr>
            <m:fName>
              <m:r>
                <m:rPr>
                  <m:sty m:val="p"/>
                </m:rPr>
                <w:rPr>
                  <w:rFonts w:ascii="Cambria Math" w:hAnsi="Cambria Math" w:cs="Arial"/>
                  <w:sz w:val="22"/>
                  <w:szCs w:val="22"/>
                </w:rPr>
                <m:t>ln</m:t>
              </m:r>
            </m:fName>
            <m:e>
              <m:d>
                <m:dPr>
                  <m:ctrlPr>
                    <w:rPr>
                      <w:rFonts w:ascii="Cambria Math" w:hAnsi="Cambria Math" w:cs="Arial"/>
                      <w:sz w:val="22"/>
                      <w:szCs w:val="22"/>
                    </w:rPr>
                  </m:ctrlPr>
                </m:dPr>
                <m:e>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i,01</m:t>
                          </m:r>
                        </m:sub>
                      </m:sSub>
                    </m:num>
                    <m:den>
                      <m:r>
                        <w:rPr>
                          <w:rFonts w:ascii="Cambria Math" w:hAnsi="Cambria Math" w:cs="Arial"/>
                          <w:sz w:val="22"/>
                          <w:szCs w:val="22"/>
                        </w:rPr>
                        <m:t>1-</m:t>
                      </m:r>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i,01</m:t>
                          </m:r>
                        </m:sub>
                      </m:sSub>
                    </m:den>
                  </m:f>
                </m:e>
              </m:d>
            </m:e>
          </m:func>
        </m:oMath>
      </m:oMathPara>
    </w:p>
    <w:p w14:paraId="518E0347" w14:textId="350C855A" w:rsidR="00074CF6" w:rsidRPr="00711BAD" w:rsidRDefault="00074CF6" w:rsidP="00074CF6">
      <w:pPr>
        <w:rPr>
          <w:rFonts w:ascii="Arial" w:hAnsi="Arial" w:cs="Arial"/>
          <w:sz w:val="22"/>
          <w:szCs w:val="22"/>
        </w:rPr>
      </w:pPr>
      <w:r w:rsidRPr="00711BAD">
        <w:rPr>
          <w:rFonts w:ascii="Arial" w:hAnsi="Arial" w:cs="Arial"/>
          <w:sz w:val="22"/>
          <w:szCs w:val="22"/>
        </w:rPr>
        <w:t xml:space="preserve">Donde </w:t>
      </w:r>
      <m:oMath>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i,01</m:t>
            </m:r>
          </m:sub>
        </m:sSub>
        <m: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m:rPr>
                    <m:nor/>
                  </m:rPr>
                  <w:rPr>
                    <w:rFonts w:ascii="Arial" w:hAnsi="Arial" w:cs="Arial"/>
                    <w:sz w:val="22"/>
                    <w:szCs w:val="22"/>
                  </w:rPr>
                  <m:t>IPM</m:t>
                </m:r>
              </m:e>
              <m:sub>
                <m:r>
                  <w:rPr>
                    <w:rFonts w:ascii="Cambria Math" w:hAnsi="Cambria Math" w:cs="Arial"/>
                    <w:sz w:val="22"/>
                    <w:szCs w:val="22"/>
                  </w:rPr>
                  <m:t>i</m:t>
                </m:r>
              </m:sub>
            </m:sSub>
          </m:num>
          <m:den>
            <m:r>
              <w:rPr>
                <w:rFonts w:ascii="Cambria Math" w:hAnsi="Cambria Math" w:cs="Arial"/>
                <w:sz w:val="22"/>
                <w:szCs w:val="22"/>
              </w:rPr>
              <m:t>100</m:t>
            </m:r>
          </m:den>
        </m:f>
      </m:oMath>
      <w:r w:rsidRPr="00711BAD">
        <w:rPr>
          <w:rFonts w:ascii="Arial" w:hAnsi="Arial" w:cs="Arial"/>
          <w:sz w:val="22"/>
          <w:szCs w:val="22"/>
        </w:rPr>
        <w:t xml:space="preserve">, ajustado con un margen de seguridad acotado en el intervalo </w:t>
      </w:r>
      <m:oMath>
        <m:d>
          <m:dPr>
            <m:begChr m:val="["/>
            <m:endChr m:val="]"/>
            <m:ctrlPr>
              <w:rPr>
                <w:rFonts w:ascii="Cambria Math" w:hAnsi="Cambria Math" w:cs="Arial"/>
                <w:sz w:val="22"/>
                <w:szCs w:val="22"/>
              </w:rPr>
            </m:ctrlPr>
          </m:dPr>
          <m:e>
            <m:r>
              <w:rPr>
                <w:rFonts w:ascii="Cambria Math" w:hAnsi="Cambria Math" w:cs="Arial"/>
                <w:sz w:val="22"/>
                <w:szCs w:val="22"/>
              </w:rPr>
              <m:t>0.001,0.999</m:t>
            </m:r>
          </m:e>
        </m:d>
      </m:oMath>
      <w:r w:rsidRPr="00711BAD">
        <w:rPr>
          <w:rFonts w:ascii="Arial" w:hAnsi="Arial" w:cs="Arial"/>
          <w:sz w:val="22"/>
          <w:szCs w:val="22"/>
        </w:rPr>
        <w:t xml:space="preserve"> para prevenir indeterminaciones numéricas en los extremos.</w:t>
      </w:r>
    </w:p>
    <w:p w14:paraId="5020942F" w14:textId="2364B0A7" w:rsidR="00074CF6" w:rsidRPr="00711BAD" w:rsidRDefault="00074CF6" w:rsidP="00074CF6">
      <w:pPr>
        <w:pStyle w:val="Prrafodelista"/>
        <w:numPr>
          <w:ilvl w:val="0"/>
          <w:numId w:val="20"/>
        </w:numPr>
        <w:rPr>
          <w:rFonts w:ascii="Arial" w:hAnsi="Arial" w:cs="Arial"/>
          <w:b/>
          <w:bCs/>
          <w:sz w:val="22"/>
          <w:szCs w:val="22"/>
        </w:rPr>
      </w:pPr>
      <w:r w:rsidRPr="00711BAD">
        <w:rPr>
          <w:rFonts w:ascii="Arial" w:hAnsi="Arial" w:cs="Arial"/>
          <w:b/>
          <w:bCs/>
          <w:sz w:val="22"/>
          <w:szCs w:val="22"/>
        </w:rPr>
        <w:t>Construcción de la Matriz de Pesos Espaciales (</w:t>
      </w:r>
      <m:oMath>
        <m:r>
          <m:rPr>
            <m:sty m:val="bi"/>
          </m:rPr>
          <w:rPr>
            <w:rFonts w:ascii="Cambria Math" w:hAnsi="Cambria Math" w:cs="Arial"/>
            <w:sz w:val="22"/>
            <w:szCs w:val="22"/>
          </w:rPr>
          <m:t>W</m:t>
        </m:r>
      </m:oMath>
      <w:r w:rsidRPr="00711BAD">
        <w:rPr>
          <w:rFonts w:ascii="Arial" w:hAnsi="Arial" w:cs="Arial"/>
          <w:b/>
          <w:bCs/>
          <w:sz w:val="22"/>
          <w:szCs w:val="22"/>
        </w:rPr>
        <w:t>)</w:t>
      </w:r>
    </w:p>
    <w:p w14:paraId="0CE19D4E" w14:textId="70D4C80F" w:rsidR="00074CF6" w:rsidRPr="00711BAD" w:rsidRDefault="00074CF6" w:rsidP="00074CF6">
      <w:pPr>
        <w:rPr>
          <w:rFonts w:ascii="Arial" w:hAnsi="Arial" w:cs="Arial"/>
          <w:sz w:val="22"/>
          <w:szCs w:val="22"/>
        </w:rPr>
      </w:pPr>
      <w:r w:rsidRPr="00711BAD">
        <w:rPr>
          <w:rFonts w:ascii="Arial" w:hAnsi="Arial" w:cs="Arial"/>
          <w:sz w:val="22"/>
          <w:szCs w:val="22"/>
        </w:rPr>
        <w:t xml:space="preserve">La matriz de contigüidad espacial </w:t>
      </w:r>
      <m:oMath>
        <m:r>
          <w:rPr>
            <w:rFonts w:ascii="Cambria Math" w:hAnsi="Cambria Math" w:cs="Arial"/>
            <w:sz w:val="22"/>
            <w:szCs w:val="22"/>
          </w:rPr>
          <m:t>W</m:t>
        </m:r>
      </m:oMath>
      <w:r w:rsidRPr="00711BAD">
        <w:rPr>
          <w:rFonts w:ascii="Arial" w:hAnsi="Arial" w:cs="Arial"/>
          <w:sz w:val="22"/>
          <w:szCs w:val="22"/>
        </w:rPr>
        <w:t xml:space="preserve"> se construye mediante la lista de vecinos geográficos basados en el criterio Reina (</w:t>
      </w:r>
      <w:r w:rsidRPr="00711BAD">
        <w:rPr>
          <w:rFonts w:ascii="Arial" w:hAnsi="Arial" w:cs="Arial"/>
          <w:i/>
          <w:iCs/>
          <w:sz w:val="22"/>
          <w:szCs w:val="22"/>
        </w:rPr>
        <w:t>Queen</w:t>
      </w:r>
      <w:r w:rsidRPr="00711BAD">
        <w:rPr>
          <w:rFonts w:ascii="Arial" w:hAnsi="Arial" w:cs="Arial"/>
          <w:sz w:val="22"/>
          <w:szCs w:val="22"/>
        </w:rPr>
        <w:t xml:space="preserve"> de primer orden con tolerancia topológica </w:t>
      </w:r>
      <m:oMath>
        <m:r>
          <m:rPr>
            <m:nor/>
          </m:rPr>
          <w:rPr>
            <w:rFonts w:ascii="Arial" w:hAnsi="Arial" w:cs="Arial"/>
            <w:sz w:val="22"/>
            <w:szCs w:val="22"/>
          </w:rPr>
          <m:t>snap</m:t>
        </m:r>
        <m:r>
          <w:rPr>
            <w:rFonts w:ascii="Cambria Math" w:hAnsi="Cambria Math" w:cs="Arial"/>
            <w:sz w:val="22"/>
            <w:szCs w:val="22"/>
          </w:rPr>
          <m:t>=0.001</m:t>
        </m:r>
      </m:oMath>
      <w:r w:rsidRPr="00711BAD">
        <w:rPr>
          <w:rFonts w:ascii="Arial" w:hAnsi="Arial" w:cs="Arial"/>
          <w:sz w:val="22"/>
          <w:szCs w:val="22"/>
        </w:rPr>
        <w:t xml:space="preserve"> metros) sobre la geometría municipal validada (</w:t>
      </w:r>
      <m:oMath>
        <m:r>
          <w:rPr>
            <w:rFonts w:ascii="Cambria Math" w:hAnsi="Cambria Math" w:cs="Arial"/>
            <w:sz w:val="22"/>
            <w:szCs w:val="22"/>
          </w:rPr>
          <m:t>n=1.101</m:t>
        </m:r>
      </m:oMath>
      <w:r w:rsidRPr="00711BAD">
        <w:rPr>
          <w:rFonts w:ascii="Arial" w:hAnsi="Arial" w:cs="Arial"/>
          <w:sz w:val="22"/>
          <w:szCs w:val="22"/>
        </w:rPr>
        <w:t>):</w:t>
      </w:r>
    </w:p>
    <w:p w14:paraId="465C5EBA" w14:textId="42FAF3D7" w:rsidR="00074CF6" w:rsidRPr="00711BAD" w:rsidRDefault="00000000" w:rsidP="00074CF6">
      <w:pPr>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w</m:t>
              </m:r>
            </m:e>
            <m:sub>
              <m:r>
                <w:rPr>
                  <w:rFonts w:ascii="Cambria Math" w:hAnsi="Cambria Math" w:cs="Arial"/>
                  <w:sz w:val="22"/>
                  <w:szCs w:val="22"/>
                </w:rPr>
                <m:t>ij</m:t>
              </m:r>
            </m:sub>
          </m:sSub>
          <m:r>
            <w:rPr>
              <w:rFonts w:ascii="Cambria Math" w:hAnsi="Cambria Math" w:cs="Arial"/>
              <w:sz w:val="22"/>
              <w:szCs w:val="22"/>
            </w:rPr>
            <m:t>=</m:t>
          </m:r>
          <m:d>
            <m:dPr>
              <m:begChr m:val="{"/>
              <m:endChr m:val=""/>
              <m:ctrlPr>
                <w:rPr>
                  <w:rFonts w:ascii="Cambria Math" w:hAnsi="Cambria Math" w:cs="Arial"/>
                  <w:sz w:val="22"/>
                  <w:szCs w:val="22"/>
                </w:rPr>
              </m:ctrlPr>
            </m:dPr>
            <m:e>
              <m:m>
                <m:mPr>
                  <m:mcs>
                    <m:mc>
                      <m:mcPr>
                        <m:count m:val="2"/>
                        <m:mcJc m:val="center"/>
                      </m:mcPr>
                    </m:mc>
                  </m:mcs>
                  <m:ctrlPr>
                    <w:rPr>
                      <w:rFonts w:ascii="Cambria Math" w:hAnsi="Cambria Math" w:cs="Arial"/>
                      <w:sz w:val="22"/>
                      <w:szCs w:val="22"/>
                    </w:rPr>
                  </m:ctrlPr>
                </m:mPr>
                <m:mr>
                  <m:e>
                    <m:r>
                      <w:rPr>
                        <w:rFonts w:ascii="Cambria Math" w:hAnsi="Cambria Math" w:cs="Arial"/>
                        <w:sz w:val="22"/>
                        <w:szCs w:val="22"/>
                      </w:rPr>
                      <m:t>1</m:t>
                    </m:r>
                  </m:e>
                  <m:e>
                    <m:r>
                      <m:rPr>
                        <m:nor/>
                      </m:rPr>
                      <w:rPr>
                        <w:rFonts w:ascii="Arial" w:hAnsi="Arial" w:cs="Arial"/>
                        <w:sz w:val="22"/>
                        <w:szCs w:val="22"/>
                      </w:rPr>
                      <m:t>si el municipio </m:t>
                    </m:r>
                    <m:r>
                      <w:rPr>
                        <w:rFonts w:ascii="Cambria Math" w:hAnsi="Cambria Math" w:cs="Arial"/>
                        <w:sz w:val="22"/>
                        <w:szCs w:val="22"/>
                      </w:rPr>
                      <m:t>i</m:t>
                    </m:r>
                    <m:r>
                      <m:rPr>
                        <m:nor/>
                      </m:rPr>
                      <w:rPr>
                        <w:rFonts w:ascii="Arial" w:hAnsi="Arial" w:cs="Arial"/>
                        <w:sz w:val="22"/>
                        <w:szCs w:val="22"/>
                      </w:rPr>
                      <m:t> y el municipio </m:t>
                    </m:r>
                    <m:r>
                      <w:rPr>
                        <w:rFonts w:ascii="Cambria Math" w:hAnsi="Cambria Math" w:cs="Arial"/>
                        <w:sz w:val="22"/>
                        <w:szCs w:val="22"/>
                      </w:rPr>
                      <m:t>j</m:t>
                    </m:r>
                    <m:r>
                      <m:rPr>
                        <m:nor/>
                      </m:rPr>
                      <w:rPr>
                        <w:rFonts w:ascii="Arial" w:hAnsi="Arial" w:cs="Arial"/>
                        <w:sz w:val="22"/>
                        <w:szCs w:val="22"/>
                      </w:rPr>
                      <m:t> comparten frontera o vértice</m:t>
                    </m:r>
                  </m:e>
                </m:mr>
                <m:mr>
                  <m:e>
                    <m:r>
                      <w:rPr>
                        <w:rFonts w:ascii="Cambria Math" w:hAnsi="Cambria Math" w:cs="Arial"/>
                        <w:sz w:val="22"/>
                        <w:szCs w:val="22"/>
                      </w:rPr>
                      <m:t>0</m:t>
                    </m:r>
                  </m:e>
                  <m:e>
                    <m:r>
                      <m:rPr>
                        <m:nor/>
                      </m:rPr>
                      <w:rPr>
                        <w:rFonts w:ascii="Arial" w:hAnsi="Arial" w:cs="Arial"/>
                        <w:sz w:val="22"/>
                        <w:szCs w:val="22"/>
                      </w:rPr>
                      <m:t>en otro caso</m:t>
                    </m:r>
                  </m:e>
                </m:mr>
              </m:m>
            </m:e>
          </m:d>
        </m:oMath>
      </m:oMathPara>
    </w:p>
    <w:p w14:paraId="60AAD18C" w14:textId="0F4B590A" w:rsidR="00074CF6" w:rsidRPr="00711BAD" w:rsidRDefault="00074CF6" w:rsidP="00074CF6">
      <w:pPr>
        <w:rPr>
          <w:rFonts w:ascii="Arial" w:hAnsi="Arial" w:cs="Arial"/>
          <w:sz w:val="22"/>
          <w:szCs w:val="22"/>
        </w:rPr>
      </w:pPr>
      <w:r w:rsidRPr="00711BAD">
        <w:rPr>
          <w:rFonts w:ascii="Arial" w:hAnsi="Arial" w:cs="Arial"/>
          <w:sz w:val="22"/>
          <w:szCs w:val="22"/>
        </w:rPr>
        <w:t>La matriz es estandarizada por filas (</w:t>
      </w:r>
      <m:oMath>
        <m:r>
          <w:rPr>
            <w:rFonts w:ascii="Cambria Math" w:hAnsi="Cambria Math" w:cs="Arial"/>
            <w:sz w:val="22"/>
            <w:szCs w:val="22"/>
          </w:rPr>
          <m:t>style="W"</m:t>
        </m:r>
      </m:oMath>
      <w:r w:rsidRPr="00711BAD">
        <w:rPr>
          <w:rFonts w:ascii="Arial" w:hAnsi="Arial" w:cs="Arial"/>
          <w:sz w:val="22"/>
          <w:szCs w:val="22"/>
        </w:rPr>
        <w:t>) e incorpora una política de tolerancia a dominios aislados (</w:t>
      </w:r>
      <m:oMath>
        <m:r>
          <m:rPr>
            <m:nor/>
          </m:rPr>
          <w:rPr>
            <w:rFonts w:ascii="Arial" w:hAnsi="Arial" w:cs="Arial"/>
            <w:sz w:val="22"/>
            <w:szCs w:val="22"/>
          </w:rPr>
          <m:t>zero.policy</m:t>
        </m:r>
        <m:r>
          <w:rPr>
            <w:rFonts w:ascii="Cambria Math" w:hAnsi="Cambria Math" w:cs="Arial"/>
            <w:sz w:val="22"/>
            <w:szCs w:val="22"/>
          </w:rPr>
          <m:t>=</m:t>
        </m:r>
        <m:r>
          <m:rPr>
            <m:nor/>
          </m:rPr>
          <w:rPr>
            <w:rFonts w:ascii="Arial" w:hAnsi="Arial" w:cs="Arial"/>
            <w:sz w:val="22"/>
            <w:szCs w:val="22"/>
          </w:rPr>
          <m:t>TRUE</m:t>
        </m:r>
      </m:oMath>
      <w:r w:rsidRPr="00711BAD">
        <w:rPr>
          <w:rFonts w:ascii="Arial" w:hAnsi="Arial" w:cs="Arial"/>
          <w:sz w:val="22"/>
          <w:szCs w:val="22"/>
        </w:rPr>
        <w:t>) para evitar singularidades algebraicas en unidades insulares discontinuas.</w:t>
      </w:r>
    </w:p>
    <w:p w14:paraId="1435C8BF" w14:textId="0FD283D4" w:rsidR="00074CF6" w:rsidRPr="00711BAD" w:rsidRDefault="00074CF6" w:rsidP="00074CF6">
      <w:pPr>
        <w:pStyle w:val="Prrafodelista"/>
        <w:numPr>
          <w:ilvl w:val="0"/>
          <w:numId w:val="20"/>
        </w:numPr>
        <w:rPr>
          <w:rFonts w:ascii="Arial" w:hAnsi="Arial" w:cs="Arial"/>
          <w:b/>
          <w:bCs/>
          <w:sz w:val="22"/>
          <w:szCs w:val="22"/>
        </w:rPr>
      </w:pPr>
      <w:r w:rsidRPr="00711BAD">
        <w:rPr>
          <w:rFonts w:ascii="Arial" w:hAnsi="Arial" w:cs="Arial"/>
          <w:b/>
          <w:bCs/>
          <w:sz w:val="22"/>
          <w:szCs w:val="22"/>
        </w:rPr>
        <w:t>Formulación del Modelo Estructural</w:t>
      </w:r>
    </w:p>
    <w:p w14:paraId="6E62F58A" w14:textId="77777777" w:rsidR="00074CF6" w:rsidRPr="00711BAD" w:rsidRDefault="00074CF6" w:rsidP="00074CF6">
      <w:pPr>
        <w:rPr>
          <w:rFonts w:ascii="Arial" w:hAnsi="Arial" w:cs="Arial"/>
          <w:sz w:val="22"/>
          <w:szCs w:val="22"/>
        </w:rPr>
      </w:pPr>
      <w:r w:rsidRPr="00711BAD">
        <w:rPr>
          <w:rFonts w:ascii="Arial" w:hAnsi="Arial" w:cs="Arial"/>
          <w:sz w:val="22"/>
          <w:szCs w:val="22"/>
        </w:rPr>
        <w:t>El modelo de rezago espacial se formula como:</w:t>
      </w:r>
    </w:p>
    <w:p w14:paraId="6572AB23" w14:textId="38B51555" w:rsidR="00074CF6" w:rsidRPr="00711BAD" w:rsidRDefault="00000000" w:rsidP="00074CF6">
      <w:pPr>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Y</m:t>
              </m:r>
            </m:e>
            <m:sub>
              <m:r>
                <m:rPr>
                  <m:nor/>
                </m:rPr>
                <w:rPr>
                  <w:rFonts w:ascii="Arial" w:hAnsi="Arial" w:cs="Arial"/>
                  <w:sz w:val="22"/>
                  <w:szCs w:val="22"/>
                </w:rPr>
                <m:t>logit</m:t>
              </m:r>
            </m:sub>
          </m:sSub>
          <m:r>
            <w:rPr>
              <w:rFonts w:ascii="Cambria Math" w:hAnsi="Cambria Math" w:cs="Arial"/>
              <w:sz w:val="22"/>
              <w:szCs w:val="22"/>
            </w:rPr>
            <m:t>=ρW</m:t>
          </m:r>
          <m:sSub>
            <m:sSubPr>
              <m:ctrlPr>
                <w:rPr>
                  <w:rFonts w:ascii="Cambria Math" w:hAnsi="Cambria Math" w:cs="Arial"/>
                  <w:sz w:val="22"/>
                  <w:szCs w:val="22"/>
                </w:rPr>
              </m:ctrlPr>
            </m:sSubPr>
            <m:e>
              <m:r>
                <w:rPr>
                  <w:rFonts w:ascii="Cambria Math" w:hAnsi="Cambria Math" w:cs="Arial"/>
                  <w:sz w:val="22"/>
                  <w:szCs w:val="22"/>
                </w:rPr>
                <m:t>Y</m:t>
              </m:r>
            </m:e>
            <m:sub>
              <m:r>
                <m:rPr>
                  <m:nor/>
                </m:rPr>
                <w:rPr>
                  <w:rFonts w:ascii="Arial" w:hAnsi="Arial" w:cs="Arial"/>
                  <w:sz w:val="22"/>
                  <w:szCs w:val="22"/>
                </w:rPr>
                <m:t>logit</m:t>
              </m:r>
            </m:sub>
          </m:sSub>
          <m:r>
            <w:rPr>
              <w:rFonts w:ascii="Cambria Math" w:hAnsi="Cambria Math" w:cs="Arial"/>
              <w:sz w:val="22"/>
              <w:szCs w:val="22"/>
            </w:rPr>
            <m:t>+Xβ+ε,</m:t>
          </m:r>
          <m:r>
            <w:rPr>
              <w:rFonts w:ascii="Cambria Math" w:hAnsi="Cambria Math" w:cs="Arial"/>
              <w:i/>
              <w:sz w:val="22"/>
              <w:szCs w:val="22"/>
            </w:rPr>
            <m:t> </m:t>
          </m:r>
          <m:r>
            <w:rPr>
              <w:rFonts w:ascii="Cambria Math" w:hAnsi="Cambria Math" w:cs="Arial"/>
              <w:sz w:val="22"/>
              <w:szCs w:val="22"/>
            </w:rPr>
            <m:t>ε∼N</m:t>
          </m:r>
          <m:d>
            <m:dPr>
              <m:ctrlPr>
                <w:rPr>
                  <w:rFonts w:ascii="Cambria Math" w:hAnsi="Cambria Math" w:cs="Arial"/>
                  <w:sz w:val="22"/>
                  <w:szCs w:val="22"/>
                </w:rPr>
              </m:ctrlPr>
            </m:dPr>
            <m:e>
              <m:r>
                <w:rPr>
                  <w:rFonts w:ascii="Cambria Math" w:hAnsi="Cambria Math" w:cs="Arial"/>
                  <w:sz w:val="22"/>
                  <w:szCs w:val="22"/>
                </w:rPr>
                <m:t>0,</m:t>
              </m:r>
              <m:sSup>
                <m:sSupPr>
                  <m:ctrlPr>
                    <w:rPr>
                      <w:rFonts w:ascii="Cambria Math" w:hAnsi="Cambria Math" w:cs="Arial"/>
                      <w:sz w:val="22"/>
                      <w:szCs w:val="22"/>
                    </w:rPr>
                  </m:ctrlPr>
                </m:sSupPr>
                <m:e>
                  <m:r>
                    <w:rPr>
                      <w:rFonts w:ascii="Cambria Math" w:hAnsi="Cambria Math" w:cs="Arial"/>
                      <w:sz w:val="22"/>
                      <w:szCs w:val="22"/>
                    </w:rPr>
                    <m:t>σ</m:t>
                  </m:r>
                </m:e>
                <m:sup>
                  <m:r>
                    <w:rPr>
                      <w:rFonts w:ascii="Cambria Math" w:hAnsi="Cambria Math" w:cs="Arial"/>
                      <w:sz w:val="22"/>
                      <w:szCs w:val="22"/>
                    </w:rPr>
                    <m:t>2</m:t>
                  </m:r>
                </m:sup>
              </m:sSup>
              <m:sSub>
                <m:sSubPr>
                  <m:ctrlPr>
                    <w:rPr>
                      <w:rFonts w:ascii="Cambria Math" w:hAnsi="Cambria Math" w:cs="Arial"/>
                      <w:sz w:val="22"/>
                      <w:szCs w:val="22"/>
                    </w:rPr>
                  </m:ctrlPr>
                </m:sSubPr>
                <m:e>
                  <m:r>
                    <w:rPr>
                      <w:rFonts w:ascii="Cambria Math" w:hAnsi="Cambria Math" w:cs="Arial"/>
                      <w:sz w:val="22"/>
                      <w:szCs w:val="22"/>
                    </w:rPr>
                    <m:t>I</m:t>
                  </m:r>
                </m:e>
                <m:sub>
                  <m:r>
                    <w:rPr>
                      <w:rFonts w:ascii="Cambria Math" w:hAnsi="Cambria Math" w:cs="Arial"/>
                      <w:sz w:val="22"/>
                      <w:szCs w:val="22"/>
                    </w:rPr>
                    <m:t>n</m:t>
                  </m:r>
                </m:sub>
              </m:sSub>
            </m:e>
          </m:d>
        </m:oMath>
      </m:oMathPara>
    </w:p>
    <w:p w14:paraId="7B1C4F3A" w14:textId="77777777" w:rsidR="00074CF6" w:rsidRPr="00711BAD" w:rsidRDefault="00074CF6" w:rsidP="00074CF6">
      <w:pPr>
        <w:rPr>
          <w:rFonts w:ascii="Arial" w:hAnsi="Arial" w:cs="Arial"/>
          <w:sz w:val="22"/>
          <w:szCs w:val="22"/>
        </w:rPr>
      </w:pPr>
      <w:r w:rsidRPr="00711BAD">
        <w:rPr>
          <w:rFonts w:ascii="Arial" w:hAnsi="Arial" w:cs="Arial"/>
          <w:sz w:val="22"/>
          <w:szCs w:val="22"/>
        </w:rPr>
        <w:t>Donde:</w:t>
      </w:r>
    </w:p>
    <w:p w14:paraId="08186B65" w14:textId="792517EC" w:rsidR="00074CF6" w:rsidRPr="00711BAD" w:rsidRDefault="00000000" w:rsidP="00074CF6">
      <w:pPr>
        <w:numPr>
          <w:ilvl w:val="0"/>
          <w:numId w:val="17"/>
        </w:numPr>
        <w:rPr>
          <w:rFonts w:ascii="Arial" w:hAnsi="Arial" w:cs="Arial"/>
          <w:sz w:val="22"/>
          <w:szCs w:val="22"/>
        </w:rPr>
      </w:pPr>
      <m:oMath>
        <m:sSub>
          <m:sSubPr>
            <m:ctrlPr>
              <w:rPr>
                <w:rFonts w:ascii="Cambria Math" w:hAnsi="Cambria Math" w:cs="Arial"/>
                <w:sz w:val="22"/>
                <w:szCs w:val="22"/>
              </w:rPr>
            </m:ctrlPr>
          </m:sSubPr>
          <m:e>
            <m:r>
              <w:rPr>
                <w:rFonts w:ascii="Cambria Math" w:hAnsi="Cambria Math" w:cs="Arial"/>
                <w:sz w:val="22"/>
                <w:szCs w:val="22"/>
              </w:rPr>
              <m:t>Y</m:t>
            </m:r>
          </m:e>
          <m:sub>
            <m:r>
              <m:rPr>
                <m:nor/>
              </m:rPr>
              <w:rPr>
                <w:rFonts w:ascii="Arial" w:hAnsi="Arial" w:cs="Arial"/>
                <w:sz w:val="22"/>
                <w:szCs w:val="22"/>
              </w:rPr>
              <m:t>logit</m:t>
            </m:r>
          </m:sub>
        </m:sSub>
      </m:oMath>
      <w:r w:rsidR="00074CF6" w:rsidRPr="00711BAD">
        <w:rPr>
          <w:rFonts w:ascii="Arial" w:hAnsi="Arial" w:cs="Arial"/>
          <w:sz w:val="22"/>
          <w:szCs w:val="22"/>
        </w:rPr>
        <w:t xml:space="preserve"> es el vector </w:t>
      </w:r>
      <m:oMath>
        <m:r>
          <w:rPr>
            <w:rFonts w:ascii="Cambria Math" w:hAnsi="Cambria Math" w:cs="Arial"/>
            <w:sz w:val="22"/>
            <w:szCs w:val="22"/>
          </w:rPr>
          <m:t>n×1</m:t>
        </m:r>
      </m:oMath>
      <w:r w:rsidR="00074CF6" w:rsidRPr="00711BAD">
        <w:rPr>
          <w:rFonts w:ascii="Arial" w:hAnsi="Arial" w:cs="Arial"/>
          <w:sz w:val="22"/>
          <w:szCs w:val="22"/>
        </w:rPr>
        <w:t xml:space="preserve"> de las tasas del IPM transformadas mediante logit.</w:t>
      </w:r>
    </w:p>
    <w:p w14:paraId="2BDCB6F8" w14:textId="63EEC21A" w:rsidR="00074CF6" w:rsidRPr="00711BAD" w:rsidRDefault="00074CF6" w:rsidP="00074CF6">
      <w:pPr>
        <w:numPr>
          <w:ilvl w:val="0"/>
          <w:numId w:val="17"/>
        </w:numPr>
        <w:rPr>
          <w:rFonts w:ascii="Arial" w:hAnsi="Arial" w:cs="Arial"/>
          <w:sz w:val="22"/>
          <w:szCs w:val="22"/>
        </w:rPr>
      </w:pPr>
      <m:oMath>
        <m:r>
          <w:rPr>
            <w:rFonts w:ascii="Cambria Math" w:hAnsi="Cambria Math" w:cs="Arial"/>
            <w:sz w:val="22"/>
            <w:szCs w:val="22"/>
          </w:rPr>
          <m:t>W</m:t>
        </m:r>
        <m:sSub>
          <m:sSubPr>
            <m:ctrlPr>
              <w:rPr>
                <w:rFonts w:ascii="Cambria Math" w:hAnsi="Cambria Math" w:cs="Arial"/>
                <w:sz w:val="22"/>
                <w:szCs w:val="22"/>
              </w:rPr>
            </m:ctrlPr>
          </m:sSubPr>
          <m:e>
            <m:r>
              <w:rPr>
                <w:rFonts w:ascii="Cambria Math" w:hAnsi="Cambria Math" w:cs="Arial"/>
                <w:sz w:val="22"/>
                <w:szCs w:val="22"/>
              </w:rPr>
              <m:t>Y</m:t>
            </m:r>
          </m:e>
          <m:sub>
            <m:r>
              <m:rPr>
                <m:nor/>
              </m:rPr>
              <w:rPr>
                <w:rFonts w:ascii="Arial" w:hAnsi="Arial" w:cs="Arial"/>
                <w:sz w:val="22"/>
                <w:szCs w:val="22"/>
              </w:rPr>
              <m:t>logit</m:t>
            </m:r>
          </m:sub>
        </m:sSub>
      </m:oMath>
      <w:r w:rsidRPr="00711BAD">
        <w:rPr>
          <w:rFonts w:ascii="Arial" w:hAnsi="Arial" w:cs="Arial"/>
          <w:sz w:val="22"/>
          <w:szCs w:val="22"/>
        </w:rPr>
        <w:t xml:space="preserve"> representa el rezago espacial de la variable dependiente.</w:t>
      </w:r>
    </w:p>
    <w:p w14:paraId="4D640130" w14:textId="69F4AC20" w:rsidR="00074CF6" w:rsidRPr="00711BAD" w:rsidRDefault="00074CF6" w:rsidP="00074CF6">
      <w:pPr>
        <w:numPr>
          <w:ilvl w:val="0"/>
          <w:numId w:val="17"/>
        </w:numPr>
        <w:rPr>
          <w:rFonts w:ascii="Arial" w:hAnsi="Arial" w:cs="Arial"/>
          <w:sz w:val="22"/>
          <w:szCs w:val="22"/>
        </w:rPr>
      </w:pPr>
      <m:oMath>
        <m:r>
          <w:rPr>
            <w:rFonts w:ascii="Cambria Math" w:hAnsi="Cambria Math" w:cs="Arial"/>
            <w:sz w:val="22"/>
            <w:szCs w:val="22"/>
          </w:rPr>
          <m:t>ρ</m:t>
        </m:r>
      </m:oMath>
      <w:r w:rsidRPr="00711BAD">
        <w:rPr>
          <w:rFonts w:ascii="Arial" w:hAnsi="Arial" w:cs="Arial"/>
          <w:sz w:val="22"/>
          <w:szCs w:val="22"/>
        </w:rPr>
        <w:t xml:space="preserve"> es el coeficiente autorregresivo espacial que cuantifica el grado de autocorrelación o contagio territorial latente.</w:t>
      </w:r>
    </w:p>
    <w:p w14:paraId="108E7804" w14:textId="385BB58C" w:rsidR="00074CF6" w:rsidRPr="00711BAD" w:rsidRDefault="00074CF6" w:rsidP="00074CF6">
      <w:pPr>
        <w:numPr>
          <w:ilvl w:val="0"/>
          <w:numId w:val="17"/>
        </w:numPr>
        <w:rPr>
          <w:rFonts w:ascii="Arial" w:hAnsi="Arial" w:cs="Arial"/>
          <w:sz w:val="22"/>
          <w:szCs w:val="22"/>
        </w:rPr>
      </w:pPr>
      <m:oMath>
        <m:r>
          <w:rPr>
            <w:rFonts w:ascii="Cambria Math" w:hAnsi="Cambria Math" w:cs="Arial"/>
            <w:sz w:val="22"/>
            <w:szCs w:val="22"/>
          </w:rPr>
          <m:t>X</m:t>
        </m:r>
      </m:oMath>
      <w:r w:rsidRPr="00711BAD">
        <w:rPr>
          <w:rFonts w:ascii="Arial" w:hAnsi="Arial" w:cs="Arial"/>
          <w:sz w:val="22"/>
          <w:szCs w:val="22"/>
        </w:rPr>
        <w:t xml:space="preserve"> es la matriz de covariables estratégicas seleccionadas a nivel municipal:</w:t>
      </w:r>
    </w:p>
    <w:p w14:paraId="449EE24E" w14:textId="02A5AC62" w:rsidR="00074CF6" w:rsidRPr="00711BAD" w:rsidRDefault="00074CF6" w:rsidP="00074CF6">
      <w:pPr>
        <w:rPr>
          <w:rFonts w:ascii="Arial" w:hAnsi="Arial" w:cs="Arial"/>
          <w:sz w:val="22"/>
          <w:szCs w:val="22"/>
        </w:rPr>
      </w:pPr>
      <m:oMathPara>
        <m:oMathParaPr>
          <m:jc m:val="center"/>
        </m:oMathParaPr>
        <m:oMath>
          <m:r>
            <w:rPr>
              <w:rFonts w:ascii="Cambria Math" w:hAnsi="Cambria Math" w:cs="Arial"/>
              <w:sz w:val="22"/>
              <w:szCs w:val="22"/>
            </w:rPr>
            <w:lastRenderedPageBreak/>
            <m:t>X=</m:t>
          </m:r>
          <m:d>
            <m:dPr>
              <m:begChr m:val="["/>
              <m:endChr m:val="]"/>
              <m:ctrlPr>
                <w:rPr>
                  <w:rFonts w:ascii="Cambria Math" w:hAnsi="Cambria Math" w:cs="Arial"/>
                  <w:sz w:val="22"/>
                  <w:szCs w:val="22"/>
                </w:rPr>
              </m:ctrlPr>
            </m:dPr>
            <m:e>
              <m:r>
                <m:rPr>
                  <m:nor/>
                </m:rPr>
                <w:rPr>
                  <w:rFonts w:ascii="Arial" w:hAnsi="Arial" w:cs="Arial"/>
                  <w:sz w:val="22"/>
                  <w:szCs w:val="22"/>
                </w:rPr>
                <m:t>tasa_matriculacion_5_16</m:t>
              </m:r>
              <m:r>
                <w:rPr>
                  <w:rFonts w:ascii="Cambria Math" w:hAnsi="Cambria Math" w:cs="Arial"/>
                  <w:sz w:val="22"/>
                  <w:szCs w:val="22"/>
                </w:rPr>
                <m:t>,</m:t>
              </m:r>
              <m:r>
                <m:rPr>
                  <m:nor/>
                </m:rPr>
                <w:rPr>
                  <w:rFonts w:ascii="Arial" w:hAnsi="Arial" w:cs="Arial"/>
                  <w:sz w:val="22"/>
                  <w:szCs w:val="22"/>
                </w:rPr>
                <m:t>desercion</m:t>
              </m:r>
              <m:r>
                <w:rPr>
                  <w:rFonts w:ascii="Cambria Math" w:hAnsi="Cambria Math" w:cs="Arial"/>
                  <w:sz w:val="22"/>
                  <w:szCs w:val="22"/>
                </w:rPr>
                <m:t>,</m:t>
              </m:r>
              <m:r>
                <m:rPr>
                  <m:nor/>
                </m:rPr>
                <w:rPr>
                  <w:rFonts w:ascii="Arial" w:hAnsi="Arial" w:cs="Arial"/>
                  <w:sz w:val="22"/>
                  <w:szCs w:val="22"/>
                </w:rPr>
                <m:t>infraestructura_basica</m:t>
              </m:r>
              <m:r>
                <w:rPr>
                  <w:rFonts w:ascii="Cambria Math" w:hAnsi="Cambria Math" w:cs="Arial"/>
                  <w:sz w:val="22"/>
                  <w:szCs w:val="22"/>
                </w:rPr>
                <m:t>,</m:t>
              </m:r>
              <m:r>
                <m:rPr>
                  <m:nor/>
                </m:rPr>
                <w:rPr>
                  <w:rFonts w:ascii="Arial" w:hAnsi="Arial" w:cs="Arial"/>
                  <w:sz w:val="22"/>
                  <w:szCs w:val="22"/>
                </w:rPr>
                <m:t>mortalidad_infantil_1</m:t>
              </m:r>
              <m:r>
                <w:rPr>
                  <w:rFonts w:ascii="Cambria Math" w:hAnsi="Cambria Math" w:cs="Arial"/>
                  <w:sz w:val="22"/>
                  <w:szCs w:val="22"/>
                </w:rPr>
                <m:t>,</m:t>
              </m:r>
              <m:func>
                <m:funcPr>
                  <m:ctrlPr>
                    <w:rPr>
                      <w:rFonts w:ascii="Cambria Math" w:hAnsi="Cambria Math" w:cs="Arial"/>
                      <w:sz w:val="22"/>
                      <w:szCs w:val="22"/>
                    </w:rPr>
                  </m:ctrlPr>
                </m:funcPr>
                <m:fName>
                  <m:r>
                    <m:rPr>
                      <m:sty m:val="p"/>
                    </m:rPr>
                    <w:rPr>
                      <w:rFonts w:ascii="Cambria Math" w:hAnsi="Cambria Math" w:cs="Arial"/>
                      <w:sz w:val="22"/>
                      <w:szCs w:val="22"/>
                    </w:rPr>
                    <m:t>log</m:t>
                  </m:r>
                </m:fName>
                <m:e>
                  <m:d>
                    <m:dPr>
                      <m:ctrlPr>
                        <w:rPr>
                          <w:rFonts w:ascii="Cambria Math" w:hAnsi="Cambria Math" w:cs="Arial"/>
                          <w:sz w:val="22"/>
                          <w:szCs w:val="22"/>
                        </w:rPr>
                      </m:ctrlPr>
                    </m:dPr>
                    <m:e>
                      <m:r>
                        <m:rPr>
                          <m:nor/>
                        </m:rPr>
                        <w:rPr>
                          <w:rFonts w:ascii="Arial" w:hAnsi="Arial" w:cs="Arial"/>
                          <w:sz w:val="22"/>
                          <w:szCs w:val="22"/>
                        </w:rPr>
                        <m:t>viirs</m:t>
                      </m:r>
                    </m:e>
                  </m:d>
                </m:e>
              </m:func>
              <m:r>
                <w:rPr>
                  <w:rFonts w:ascii="Cambria Math" w:hAnsi="Cambria Math" w:cs="Arial"/>
                  <w:sz w:val="22"/>
                  <w:szCs w:val="22"/>
                </w:rPr>
                <m:t>,</m:t>
              </m:r>
              <m:r>
                <m:rPr>
                  <m:nor/>
                </m:rPr>
                <w:rPr>
                  <w:rFonts w:ascii="Arial" w:hAnsi="Arial" w:cs="Arial"/>
                  <w:sz w:val="22"/>
                  <w:szCs w:val="22"/>
                </w:rPr>
                <m:t>pct_subsidiado</m:t>
              </m:r>
            </m:e>
          </m:d>
        </m:oMath>
      </m:oMathPara>
    </w:p>
    <w:p w14:paraId="1E5CB4A9" w14:textId="374EDF1F" w:rsidR="00074CF6" w:rsidRPr="00711BAD" w:rsidRDefault="00074CF6" w:rsidP="00074CF6">
      <w:pPr>
        <w:rPr>
          <w:rFonts w:ascii="Arial" w:hAnsi="Arial" w:cs="Arial"/>
          <w:sz w:val="22"/>
          <w:szCs w:val="22"/>
        </w:rPr>
      </w:pPr>
      <w:r w:rsidRPr="00711BAD">
        <w:rPr>
          <w:rFonts w:ascii="Arial" w:hAnsi="Arial" w:cs="Arial"/>
          <w:sz w:val="22"/>
          <w:szCs w:val="22"/>
        </w:rPr>
        <w:t xml:space="preserve">La estimación se ejecuta mediante la función de máxima verosimilitud de regresión espacial (lagsarlm), permitiendo extraer los coeficientes estructurales </w:t>
      </w:r>
      <m:oMath>
        <m:acc>
          <m:accPr>
            <m:chr m:val="ˆ"/>
            <m:ctrlPr>
              <w:rPr>
                <w:rFonts w:ascii="Cambria Math" w:hAnsi="Cambria Math" w:cs="Arial"/>
                <w:sz w:val="22"/>
                <w:szCs w:val="22"/>
              </w:rPr>
            </m:ctrlPr>
          </m:accPr>
          <m:e>
            <m:r>
              <w:rPr>
                <w:rFonts w:ascii="Cambria Math" w:hAnsi="Cambria Math" w:cs="Arial"/>
                <w:sz w:val="22"/>
                <w:szCs w:val="22"/>
              </w:rPr>
              <m:t>β</m:t>
            </m:r>
          </m:e>
        </m:acc>
      </m:oMath>
      <w:r w:rsidRPr="00711BAD">
        <w:rPr>
          <w:rFonts w:ascii="Arial" w:hAnsi="Arial" w:cs="Arial"/>
          <w:sz w:val="22"/>
          <w:szCs w:val="22"/>
        </w:rPr>
        <w:t xml:space="preserve"> y el parámetro de intensidad espacial </w:t>
      </w:r>
      <m:oMath>
        <m:acc>
          <m:accPr>
            <m:chr m:val="ˆ"/>
            <m:ctrlPr>
              <w:rPr>
                <w:rFonts w:ascii="Cambria Math" w:hAnsi="Cambria Math" w:cs="Arial"/>
                <w:sz w:val="22"/>
                <w:szCs w:val="22"/>
              </w:rPr>
            </m:ctrlPr>
          </m:accPr>
          <m:e>
            <m:r>
              <w:rPr>
                <w:rFonts w:ascii="Cambria Math" w:hAnsi="Cambria Math" w:cs="Arial"/>
                <w:sz w:val="22"/>
                <w:szCs w:val="22"/>
              </w:rPr>
              <m:t>ρ</m:t>
            </m:r>
          </m:e>
        </m:acc>
      </m:oMath>
      <w:r w:rsidRPr="00711BAD">
        <w:rPr>
          <w:rFonts w:ascii="Arial" w:hAnsi="Arial" w:cs="Arial"/>
          <w:sz w:val="22"/>
          <w:szCs w:val="22"/>
        </w:rPr>
        <w:t xml:space="preserve"> para la posterior proyección contemporánea 2024.</w:t>
      </w:r>
    </w:p>
    <w:p w14:paraId="5EBCF98B" w14:textId="77777777" w:rsidR="009F2247" w:rsidRPr="00711BAD" w:rsidRDefault="009F2247" w:rsidP="009F2247">
      <w:pPr>
        <w:spacing w:after="0"/>
        <w:rPr>
          <w:rFonts w:ascii="Arial" w:hAnsi="Arial" w:cs="Arial"/>
          <w:b/>
          <w:bCs/>
          <w:sz w:val="22"/>
          <w:szCs w:val="22"/>
        </w:rPr>
      </w:pPr>
      <w:r w:rsidRPr="00711BAD">
        <w:rPr>
          <w:rFonts w:ascii="Arial" w:hAnsi="Arial" w:cs="Arial"/>
          <w:b/>
          <w:bCs/>
          <w:sz w:val="22"/>
          <w:szCs w:val="22"/>
        </w:rPr>
        <w:t>(2.3) Evaluación del Desempeño de los Modelos [10%]</w:t>
      </w:r>
    </w:p>
    <w:p w14:paraId="12BE280F" w14:textId="77777777" w:rsidR="009F2247" w:rsidRPr="00711BAD" w:rsidRDefault="009F2247" w:rsidP="009F2247">
      <w:pPr>
        <w:rPr>
          <w:rFonts w:ascii="Arial" w:hAnsi="Arial" w:cs="Arial"/>
          <w:sz w:val="22"/>
          <w:szCs w:val="22"/>
        </w:rPr>
      </w:pPr>
      <w:r w:rsidRPr="00711BAD">
        <w:rPr>
          <w:rFonts w:ascii="Arial" w:hAnsi="Arial" w:cs="Arial"/>
          <w:i/>
          <w:iCs/>
          <w:sz w:val="22"/>
          <w:szCs w:val="22"/>
        </w:rPr>
        <w:t>(Estrategia de validación cuantitativa out-of-sample)</w:t>
      </w:r>
    </w:p>
    <w:p w14:paraId="07521682" w14:textId="77777777" w:rsidR="00074CF6" w:rsidRPr="00711BAD" w:rsidRDefault="00074CF6" w:rsidP="00074CF6">
      <w:pPr>
        <w:rPr>
          <w:rFonts w:ascii="Arial" w:hAnsi="Arial" w:cs="Arial"/>
          <w:sz w:val="22"/>
          <w:szCs w:val="22"/>
        </w:rPr>
      </w:pPr>
      <w:r w:rsidRPr="00711BAD">
        <w:rPr>
          <w:rFonts w:ascii="Arial" w:hAnsi="Arial" w:cs="Arial"/>
          <w:sz w:val="22"/>
          <w:szCs w:val="22"/>
        </w:rPr>
        <w:t>Para comparar la capacidad de generalización predictiva del Modelo Autorregresivo Espacial (SAR) frente a las dos aproximaciones de Estimación en Áreas Pequeñas (SAE) detalladas previamente, se implementó un esquema de validación cruzada por exclusión de dominios (</w:t>
      </w:r>
      <w:r w:rsidRPr="00711BAD">
        <w:rPr>
          <w:rFonts w:ascii="Arial" w:hAnsi="Arial" w:cs="Arial"/>
          <w:i/>
          <w:iCs/>
          <w:sz w:val="22"/>
          <w:szCs w:val="22"/>
        </w:rPr>
        <w:t>Leave-One-Domain-Out</w:t>
      </w:r>
      <w:r w:rsidRPr="00711BAD">
        <w:rPr>
          <w:rFonts w:ascii="Arial" w:hAnsi="Arial" w:cs="Arial"/>
          <w:sz w:val="22"/>
          <w:szCs w:val="22"/>
        </w:rPr>
        <w:t xml:space="preserve"> - LODO) a nivel departamental.</w:t>
      </w:r>
    </w:p>
    <w:p w14:paraId="733621D6" w14:textId="0892A458" w:rsidR="00074CF6" w:rsidRPr="00711BAD" w:rsidRDefault="00074CF6" w:rsidP="00074CF6">
      <w:pPr>
        <w:rPr>
          <w:rFonts w:ascii="Arial" w:hAnsi="Arial" w:cs="Arial"/>
          <w:sz w:val="22"/>
          <w:szCs w:val="22"/>
        </w:rPr>
      </w:pPr>
      <w:r w:rsidRPr="00711BAD">
        <w:rPr>
          <w:rFonts w:ascii="Arial" w:hAnsi="Arial" w:cs="Arial"/>
          <w:sz w:val="22"/>
          <w:szCs w:val="22"/>
        </w:rPr>
        <w:t xml:space="preserve">Esta estrategia evalúa el comportamiento </w:t>
      </w:r>
      <w:r w:rsidRPr="00711BAD">
        <w:rPr>
          <w:rFonts w:ascii="Arial" w:hAnsi="Arial" w:cs="Arial"/>
          <w:i/>
          <w:iCs/>
          <w:sz w:val="22"/>
          <w:szCs w:val="22"/>
        </w:rPr>
        <w:t>out-of-sample</w:t>
      </w:r>
      <w:r w:rsidRPr="00711BAD">
        <w:rPr>
          <w:rFonts w:ascii="Arial" w:hAnsi="Arial" w:cs="Arial"/>
          <w:sz w:val="22"/>
          <w:szCs w:val="22"/>
        </w:rPr>
        <w:t xml:space="preserve"> simular el escenario en el cual un departamento completo no dispone de información muestral directa. En cada iteración </w:t>
      </w:r>
      <m:oMath>
        <m:r>
          <w:rPr>
            <w:rFonts w:ascii="Cambria Math" w:hAnsi="Cambria Math" w:cs="Arial"/>
            <w:sz w:val="22"/>
            <w:szCs w:val="22"/>
          </w:rPr>
          <m:t>k</m:t>
        </m:r>
      </m:oMath>
      <w:r w:rsidRPr="00711BAD">
        <w:rPr>
          <w:rFonts w:ascii="Arial" w:hAnsi="Arial" w:cs="Arial"/>
          <w:sz w:val="22"/>
          <w:szCs w:val="22"/>
        </w:rPr>
        <w:t xml:space="preserve"> (</w:t>
      </w:r>
      <m:oMath>
        <m:r>
          <w:rPr>
            <w:rFonts w:ascii="Cambria Math" w:hAnsi="Cambria Math" w:cs="Arial"/>
            <w:sz w:val="22"/>
            <w:szCs w:val="22"/>
          </w:rPr>
          <m:t>k=1,…,32</m:t>
        </m:r>
      </m:oMath>
      <w:r w:rsidRPr="00711BAD">
        <w:rPr>
          <w:rFonts w:ascii="Arial" w:hAnsi="Arial" w:cs="Arial"/>
          <w:sz w:val="22"/>
          <w:szCs w:val="22"/>
        </w:rPr>
        <w:t xml:space="preserve">), se excluye la totalidad de los municipios pertenecientes al departamento </w:t>
      </w:r>
      <m:oMath>
        <m:r>
          <w:rPr>
            <w:rFonts w:ascii="Cambria Math" w:hAnsi="Cambria Math" w:cs="Arial"/>
            <w:sz w:val="22"/>
            <w:szCs w:val="22"/>
          </w:rPr>
          <m:t>k</m:t>
        </m:r>
      </m:oMath>
      <w:r w:rsidRPr="00711BAD">
        <w:rPr>
          <w:rFonts w:ascii="Arial" w:hAnsi="Arial" w:cs="Arial"/>
          <w:sz w:val="22"/>
          <w:szCs w:val="22"/>
        </w:rPr>
        <w:t xml:space="preserve"> del conjunto de entrenamiento, se estiman los parámetros de los tres modelos con las unidades restantes, y se predice el IPM para los municipios del dominio omitido.</w:t>
      </w:r>
    </w:p>
    <w:p w14:paraId="1BB2D883" w14:textId="77777777" w:rsidR="009F2247" w:rsidRPr="00711BAD" w:rsidRDefault="009F2247" w:rsidP="009F2247">
      <w:pPr>
        <w:rPr>
          <w:rFonts w:ascii="Arial" w:hAnsi="Arial" w:cs="Arial"/>
          <w:sz w:val="22"/>
          <w:szCs w:val="22"/>
        </w:rPr>
      </w:pPr>
      <w:r w:rsidRPr="00711BAD">
        <w:rPr>
          <w:rFonts w:ascii="Arial" w:hAnsi="Arial" w:cs="Arial"/>
          <w:sz w:val="22"/>
          <w:szCs w:val="22"/>
        </w:rPr>
        <w:t>Las métricas cuantitativas evaluadas para la comparación directa son:</w:t>
      </w:r>
    </w:p>
    <w:p w14:paraId="02844817" w14:textId="77777777" w:rsidR="00074CF6" w:rsidRPr="00711BAD" w:rsidRDefault="00074CF6" w:rsidP="00074CF6">
      <w:pPr>
        <w:rPr>
          <w:rFonts w:ascii="Arial" w:hAnsi="Arial" w:cs="Arial"/>
          <w:b/>
          <w:bCs/>
          <w:sz w:val="22"/>
          <w:szCs w:val="22"/>
        </w:rPr>
      </w:pPr>
      <w:r w:rsidRPr="00711BAD">
        <w:rPr>
          <w:rFonts w:ascii="Arial" w:hAnsi="Arial" w:cs="Arial"/>
          <w:b/>
          <w:bCs/>
          <w:sz w:val="22"/>
          <w:szCs w:val="22"/>
        </w:rPr>
        <w:t>Métricas Cuantitativas de Evaluación</w:t>
      </w:r>
    </w:p>
    <w:p w14:paraId="27CE4B5C" w14:textId="77777777" w:rsidR="00074CF6" w:rsidRPr="00711BAD" w:rsidRDefault="00074CF6" w:rsidP="00074CF6">
      <w:pPr>
        <w:rPr>
          <w:rFonts w:ascii="Arial" w:hAnsi="Arial" w:cs="Arial"/>
          <w:sz w:val="22"/>
          <w:szCs w:val="22"/>
        </w:rPr>
      </w:pPr>
      <w:r w:rsidRPr="00711BAD">
        <w:rPr>
          <w:rFonts w:ascii="Arial" w:hAnsi="Arial" w:cs="Arial"/>
          <w:sz w:val="22"/>
          <w:szCs w:val="22"/>
        </w:rPr>
        <w:t>La precisión y la magnitud del error de predicción se cuantificaron a través de tres métricas estándar:</w:t>
      </w:r>
    </w:p>
    <w:p w14:paraId="302DDA52" w14:textId="77777777" w:rsidR="00074CF6" w:rsidRPr="00711BAD" w:rsidRDefault="00074CF6" w:rsidP="00074CF6">
      <w:pPr>
        <w:numPr>
          <w:ilvl w:val="0"/>
          <w:numId w:val="13"/>
        </w:numPr>
        <w:rPr>
          <w:rFonts w:ascii="Arial" w:hAnsi="Arial" w:cs="Arial"/>
          <w:sz w:val="22"/>
          <w:szCs w:val="22"/>
        </w:rPr>
      </w:pPr>
      <w:r w:rsidRPr="00711BAD">
        <w:rPr>
          <w:rFonts w:ascii="Arial" w:hAnsi="Arial" w:cs="Arial"/>
          <w:sz w:val="22"/>
          <w:szCs w:val="22"/>
        </w:rPr>
        <w:t>Raíz del Error Cuadrático Medio de Validación (RMSE):</w:t>
      </w:r>
    </w:p>
    <w:p w14:paraId="6A1D5AB9" w14:textId="04F9B8EE" w:rsidR="00074CF6" w:rsidRPr="00711BAD" w:rsidRDefault="00074CF6" w:rsidP="00074CF6">
      <w:pPr>
        <w:rPr>
          <w:rFonts w:ascii="Arial" w:hAnsi="Arial" w:cs="Arial"/>
          <w:sz w:val="22"/>
          <w:szCs w:val="22"/>
          <w:lang w:val="en-US"/>
        </w:rPr>
      </w:pPr>
      <m:oMathPara>
        <m:oMath>
          <m:r>
            <m:rPr>
              <m:nor/>
            </m:rPr>
            <w:rPr>
              <w:rFonts w:ascii="Arial" w:hAnsi="Arial" w:cs="Arial"/>
              <w:sz w:val="22"/>
              <w:szCs w:val="22"/>
              <w:lang w:val="en-US"/>
            </w:rPr>
            <m:t>RMSE</m:t>
          </m:r>
          <m:r>
            <w:rPr>
              <w:rFonts w:ascii="Cambria Math" w:hAnsi="Cambria Math" w:cs="Arial"/>
              <w:sz w:val="22"/>
              <w:szCs w:val="22"/>
              <w:lang w:val="en-US"/>
            </w:rPr>
            <m:t>=</m:t>
          </m:r>
          <m:rad>
            <m:radPr>
              <m:degHide m:val="1"/>
              <m:ctrlPr>
                <w:rPr>
                  <w:rFonts w:ascii="Cambria Math" w:hAnsi="Cambria Math" w:cs="Arial"/>
                  <w:sz w:val="22"/>
                  <w:szCs w:val="22"/>
                </w:rPr>
              </m:ctrlPr>
            </m:radPr>
            <m:deg/>
            <m:e>
              <m:f>
                <m:fPr>
                  <m:ctrlPr>
                    <w:rPr>
                      <w:rFonts w:ascii="Cambria Math" w:hAnsi="Cambria Math" w:cs="Arial"/>
                      <w:sz w:val="22"/>
                      <w:szCs w:val="22"/>
                    </w:rPr>
                  </m:ctrlPr>
                </m:fPr>
                <m:num>
                  <m:r>
                    <w:rPr>
                      <w:rFonts w:ascii="Cambria Math" w:hAnsi="Cambria Math" w:cs="Arial"/>
                      <w:sz w:val="22"/>
                      <w:szCs w:val="22"/>
                      <w:lang w:val="en-US"/>
                    </w:rPr>
                    <m:t>1</m:t>
                  </m:r>
                </m:num>
                <m:den>
                  <m:r>
                    <w:rPr>
                      <w:rFonts w:ascii="Cambria Math" w:hAnsi="Cambria Math" w:cs="Arial"/>
                      <w:sz w:val="22"/>
                      <w:szCs w:val="22"/>
                    </w:rPr>
                    <m:t>N</m:t>
                  </m:r>
                </m:den>
              </m:f>
              <m:nary>
                <m:naryPr>
                  <m:chr m:val="∑"/>
                  <m:limLoc m:val="undOvr"/>
                  <m:ctrlPr>
                    <w:rPr>
                      <w:rFonts w:ascii="Cambria Math" w:hAnsi="Cambria Math" w:cs="Arial"/>
                      <w:sz w:val="22"/>
                      <w:szCs w:val="22"/>
                    </w:rPr>
                  </m:ctrlPr>
                </m:naryPr>
                <m:sub>
                  <m:r>
                    <w:rPr>
                      <w:rFonts w:ascii="Cambria Math" w:hAnsi="Cambria Math" w:cs="Arial"/>
                      <w:sz w:val="22"/>
                      <w:szCs w:val="22"/>
                    </w:rPr>
                    <m:t>i</m:t>
                  </m:r>
                  <m:r>
                    <w:rPr>
                      <w:rFonts w:ascii="Cambria Math" w:hAnsi="Cambria Math" w:cs="Arial"/>
                      <w:sz w:val="22"/>
                      <w:szCs w:val="22"/>
                      <w:lang w:val="en-US"/>
                    </w:rPr>
                    <m:t>=1</m:t>
                  </m:r>
                </m:sub>
                <m:sup>
                  <m:r>
                    <w:rPr>
                      <w:rFonts w:ascii="Cambria Math" w:hAnsi="Cambria Math" w:cs="Arial"/>
                      <w:sz w:val="22"/>
                      <w:szCs w:val="22"/>
                    </w:rPr>
                    <m:t>N</m:t>
                  </m:r>
                </m:sup>
                <m:e>
                  <m:sSup>
                    <m:sSupPr>
                      <m:ctrlPr>
                        <w:rPr>
                          <w:rFonts w:ascii="Cambria Math" w:hAnsi="Cambria Math" w:cs="Arial"/>
                          <w:sz w:val="22"/>
                          <w:szCs w:val="22"/>
                        </w:rPr>
                      </m:ctrlPr>
                    </m:sSupPr>
                    <m:e>
                      <m:d>
                        <m:dPr>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i</m:t>
                              </m:r>
                            </m:sub>
                          </m:sSub>
                          <m:r>
                            <w:rPr>
                              <w:rFonts w:ascii="Cambria Math" w:hAnsi="Cambria Math" w:cs="Arial"/>
                              <w:sz w:val="22"/>
                              <w:szCs w:val="22"/>
                              <w:lang w:val="en-US"/>
                            </w:rPr>
                            <m:t>-</m:t>
                          </m:r>
                          <m:sSubSup>
                            <m:sSubSupPr>
                              <m:ctrlPr>
                                <w:rPr>
                                  <w:rFonts w:ascii="Cambria Math" w:hAnsi="Cambria Math" w:cs="Arial"/>
                                  <w:sz w:val="22"/>
                                  <w:szCs w:val="22"/>
                                </w:rPr>
                              </m:ctrlPr>
                            </m:sSubSupPr>
                            <m:e>
                              <m:acc>
                                <m:accPr>
                                  <m:chr m:val="ˆ"/>
                                  <m:ctrlPr>
                                    <w:rPr>
                                      <w:rFonts w:ascii="Cambria Math" w:hAnsi="Cambria Math" w:cs="Arial"/>
                                      <w:sz w:val="22"/>
                                      <w:szCs w:val="22"/>
                                    </w:rPr>
                                  </m:ctrlPr>
                                </m:accPr>
                                <m:e>
                                  <m:r>
                                    <w:rPr>
                                      <w:rFonts w:ascii="Cambria Math" w:hAnsi="Cambria Math" w:cs="Arial"/>
                                      <w:sz w:val="22"/>
                                      <w:szCs w:val="22"/>
                                    </w:rPr>
                                    <m:t>Y</m:t>
                                  </m:r>
                                </m:e>
                              </m:acc>
                            </m:e>
                            <m:sub>
                              <m:r>
                                <w:rPr>
                                  <w:rFonts w:ascii="Cambria Math" w:hAnsi="Cambria Math" w:cs="Arial"/>
                                  <w:sz w:val="22"/>
                                  <w:szCs w:val="22"/>
                                </w:rPr>
                                <m:t>i</m:t>
                              </m:r>
                            </m:sub>
                            <m:sup>
                              <m:d>
                                <m:dPr>
                                  <m:ctrlPr>
                                    <w:rPr>
                                      <w:rFonts w:ascii="Cambria Math" w:hAnsi="Cambria Math" w:cs="Arial"/>
                                      <w:sz w:val="22"/>
                                      <w:szCs w:val="22"/>
                                    </w:rPr>
                                  </m:ctrlPr>
                                </m:dPr>
                                <m:e>
                                  <m:r>
                                    <w:rPr>
                                      <w:rFonts w:ascii="Cambria Math" w:hAnsi="Cambria Math" w:cs="Arial"/>
                                      <w:sz w:val="22"/>
                                      <w:szCs w:val="22"/>
                                      <w:lang w:val="en-US"/>
                                    </w:rPr>
                                    <m:t>-</m:t>
                                  </m:r>
                                  <m:r>
                                    <w:rPr>
                                      <w:rFonts w:ascii="Cambria Math" w:hAnsi="Cambria Math" w:cs="Arial"/>
                                      <w:sz w:val="22"/>
                                      <w:szCs w:val="22"/>
                                    </w:rPr>
                                    <m:t>d</m:t>
                                  </m:r>
                                </m:e>
                              </m:d>
                            </m:sup>
                          </m:sSubSup>
                        </m:e>
                      </m:d>
                    </m:e>
                    <m:sup>
                      <m:r>
                        <w:rPr>
                          <w:rFonts w:ascii="Cambria Math" w:hAnsi="Cambria Math" w:cs="Arial"/>
                          <w:sz w:val="22"/>
                          <w:szCs w:val="22"/>
                          <w:lang w:val="en-US"/>
                        </w:rPr>
                        <m:t>2</m:t>
                      </m:r>
                    </m:sup>
                  </m:sSup>
                </m:e>
              </m:nary>
            </m:e>
          </m:rad>
        </m:oMath>
      </m:oMathPara>
    </w:p>
    <w:p w14:paraId="032E4A5F" w14:textId="77777777" w:rsidR="00074CF6" w:rsidRPr="00711BAD" w:rsidRDefault="00074CF6" w:rsidP="00074CF6">
      <w:pPr>
        <w:numPr>
          <w:ilvl w:val="0"/>
          <w:numId w:val="14"/>
        </w:numPr>
        <w:rPr>
          <w:rFonts w:ascii="Arial" w:hAnsi="Arial" w:cs="Arial"/>
          <w:sz w:val="22"/>
          <w:szCs w:val="22"/>
        </w:rPr>
      </w:pPr>
      <w:r w:rsidRPr="00711BAD">
        <w:rPr>
          <w:rFonts w:ascii="Arial" w:hAnsi="Arial" w:cs="Arial"/>
          <w:sz w:val="22"/>
          <w:szCs w:val="22"/>
        </w:rPr>
        <w:t>Error Absoluto Medio (MAE):</w:t>
      </w:r>
    </w:p>
    <w:p w14:paraId="21E7C5DA" w14:textId="2CCD1F06" w:rsidR="00074CF6" w:rsidRPr="00711BAD" w:rsidRDefault="00074CF6" w:rsidP="00074CF6">
      <w:pPr>
        <w:rPr>
          <w:rFonts w:ascii="Arial" w:hAnsi="Arial" w:cs="Arial"/>
          <w:sz w:val="22"/>
          <w:szCs w:val="22"/>
        </w:rPr>
      </w:pPr>
      <m:oMathPara>
        <m:oMath>
          <m:r>
            <m:rPr>
              <m:nor/>
            </m:rPr>
            <w:rPr>
              <w:rFonts w:ascii="Arial" w:hAnsi="Arial" w:cs="Arial"/>
              <w:sz w:val="22"/>
              <w:szCs w:val="22"/>
            </w:rPr>
            <m:t>MAE</m:t>
          </m:r>
          <m: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1</m:t>
              </m:r>
            </m:num>
            <m:den>
              <m:r>
                <w:rPr>
                  <w:rFonts w:ascii="Cambria Math" w:hAnsi="Cambria Math" w:cs="Arial"/>
                  <w:sz w:val="22"/>
                  <w:szCs w:val="22"/>
                </w:rPr>
                <m:t>N</m:t>
              </m:r>
            </m:den>
          </m:f>
          <m:nary>
            <m:naryPr>
              <m:chr m:val="∑"/>
              <m:limLoc m:val="undOvr"/>
              <m:ctrlPr>
                <w:rPr>
                  <w:rFonts w:ascii="Cambria Math" w:hAnsi="Cambria Math" w:cs="Arial"/>
                  <w:sz w:val="22"/>
                  <w:szCs w:val="22"/>
                </w:rPr>
              </m:ctrlPr>
            </m:naryPr>
            <m:sub>
              <m:r>
                <w:rPr>
                  <w:rFonts w:ascii="Cambria Math" w:hAnsi="Cambria Math" w:cs="Arial"/>
                  <w:sz w:val="22"/>
                  <w:szCs w:val="22"/>
                </w:rPr>
                <m:t>i=1</m:t>
              </m:r>
            </m:sub>
            <m:sup>
              <m:r>
                <w:rPr>
                  <w:rFonts w:ascii="Cambria Math" w:hAnsi="Cambria Math" w:cs="Arial"/>
                  <w:sz w:val="22"/>
                  <w:szCs w:val="22"/>
                </w:rPr>
                <m:t>N</m:t>
              </m:r>
            </m:sup>
            <m:e>
              <m:d>
                <m:dPr>
                  <m:begChr m:val="|"/>
                  <m:endChr m:val="|"/>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i</m:t>
                      </m:r>
                    </m:sub>
                  </m:sSub>
                  <m:r>
                    <w:rPr>
                      <w:rFonts w:ascii="Cambria Math" w:hAnsi="Cambria Math" w:cs="Arial"/>
                      <w:sz w:val="22"/>
                      <w:szCs w:val="22"/>
                    </w:rPr>
                    <m:t>-</m:t>
                  </m:r>
                  <m:sSubSup>
                    <m:sSubSupPr>
                      <m:ctrlPr>
                        <w:rPr>
                          <w:rFonts w:ascii="Cambria Math" w:hAnsi="Cambria Math" w:cs="Arial"/>
                          <w:sz w:val="22"/>
                          <w:szCs w:val="22"/>
                        </w:rPr>
                      </m:ctrlPr>
                    </m:sSubSupPr>
                    <m:e>
                      <m:acc>
                        <m:accPr>
                          <m:chr m:val="ˆ"/>
                          <m:ctrlPr>
                            <w:rPr>
                              <w:rFonts w:ascii="Cambria Math" w:hAnsi="Cambria Math" w:cs="Arial"/>
                              <w:sz w:val="22"/>
                              <w:szCs w:val="22"/>
                            </w:rPr>
                          </m:ctrlPr>
                        </m:accPr>
                        <m:e>
                          <m:r>
                            <w:rPr>
                              <w:rFonts w:ascii="Cambria Math" w:hAnsi="Cambria Math" w:cs="Arial"/>
                              <w:sz w:val="22"/>
                              <w:szCs w:val="22"/>
                            </w:rPr>
                            <m:t>Y</m:t>
                          </m:r>
                        </m:e>
                      </m:acc>
                    </m:e>
                    <m:sub>
                      <m:r>
                        <w:rPr>
                          <w:rFonts w:ascii="Cambria Math" w:hAnsi="Cambria Math" w:cs="Arial"/>
                          <w:sz w:val="22"/>
                          <w:szCs w:val="22"/>
                        </w:rPr>
                        <m:t>i</m:t>
                      </m:r>
                    </m:sub>
                    <m:sup>
                      <m:d>
                        <m:dPr>
                          <m:ctrlPr>
                            <w:rPr>
                              <w:rFonts w:ascii="Cambria Math" w:hAnsi="Cambria Math" w:cs="Arial"/>
                              <w:sz w:val="22"/>
                              <w:szCs w:val="22"/>
                            </w:rPr>
                          </m:ctrlPr>
                        </m:dPr>
                        <m:e>
                          <m:r>
                            <w:rPr>
                              <w:rFonts w:ascii="Cambria Math" w:hAnsi="Cambria Math" w:cs="Arial"/>
                              <w:sz w:val="22"/>
                              <w:szCs w:val="22"/>
                            </w:rPr>
                            <m:t>-d</m:t>
                          </m:r>
                        </m:e>
                      </m:d>
                    </m:sup>
                  </m:sSubSup>
                </m:e>
              </m:d>
            </m:e>
          </m:nary>
        </m:oMath>
      </m:oMathPara>
    </w:p>
    <w:p w14:paraId="539DFD89" w14:textId="77777777" w:rsidR="00074CF6" w:rsidRPr="00711BAD" w:rsidRDefault="00074CF6" w:rsidP="00074CF6">
      <w:pPr>
        <w:numPr>
          <w:ilvl w:val="0"/>
          <w:numId w:val="15"/>
        </w:numPr>
        <w:rPr>
          <w:rFonts w:ascii="Arial" w:hAnsi="Arial" w:cs="Arial"/>
          <w:sz w:val="22"/>
          <w:szCs w:val="22"/>
        </w:rPr>
      </w:pPr>
      <w:r w:rsidRPr="00711BAD">
        <w:rPr>
          <w:rFonts w:ascii="Arial" w:hAnsi="Arial" w:cs="Arial"/>
          <w:sz w:val="22"/>
          <w:szCs w:val="22"/>
        </w:rPr>
        <w:t>Error Cuadrático Medio Relativo (RRMSE):</w:t>
      </w:r>
    </w:p>
    <w:p w14:paraId="6F144A3B" w14:textId="5E08FACC" w:rsidR="00074CF6" w:rsidRPr="00711BAD" w:rsidRDefault="00074CF6" w:rsidP="00074CF6">
      <w:pPr>
        <w:rPr>
          <w:rFonts w:ascii="Arial" w:hAnsi="Arial" w:cs="Arial"/>
          <w:sz w:val="22"/>
          <w:szCs w:val="22"/>
        </w:rPr>
      </w:pPr>
      <m:oMathPara>
        <m:oMath>
          <m:r>
            <m:rPr>
              <m:nor/>
            </m:rPr>
            <w:rPr>
              <w:rFonts w:ascii="Arial" w:hAnsi="Arial" w:cs="Arial"/>
              <w:sz w:val="22"/>
              <w:szCs w:val="22"/>
            </w:rPr>
            <m:t>RRMSE</m:t>
          </m:r>
          <m:d>
            <m:dPr>
              <m:ctrlPr>
                <w:rPr>
                  <w:rFonts w:ascii="Cambria Math" w:hAnsi="Cambria Math" w:cs="Arial"/>
                  <w:sz w:val="22"/>
                  <w:szCs w:val="22"/>
                </w:rPr>
              </m:ctrlPr>
            </m:dPr>
            <m:e>
              <m:r>
                <w:rPr>
                  <w:rFonts w:ascii="Cambria Math" w:hAnsi="Cambria Math" w:cs="Arial"/>
                  <w:sz w:val="22"/>
                  <w:szCs w:val="22"/>
                </w:rPr>
                <m:t>%</m:t>
              </m:r>
            </m:e>
          </m:d>
          <m:r>
            <w:rPr>
              <w:rFonts w:ascii="Cambria Math" w:hAnsi="Cambria Math" w:cs="Arial"/>
              <w:sz w:val="22"/>
              <w:szCs w:val="22"/>
            </w:rPr>
            <m:t>=</m:t>
          </m:r>
          <m:f>
            <m:fPr>
              <m:ctrlPr>
                <w:rPr>
                  <w:rFonts w:ascii="Cambria Math" w:hAnsi="Cambria Math" w:cs="Arial"/>
                  <w:sz w:val="22"/>
                  <w:szCs w:val="22"/>
                </w:rPr>
              </m:ctrlPr>
            </m:fPr>
            <m:num>
              <m:r>
                <m:rPr>
                  <m:nor/>
                </m:rPr>
                <w:rPr>
                  <w:rFonts w:ascii="Arial" w:hAnsi="Arial" w:cs="Arial"/>
                  <w:sz w:val="22"/>
                  <w:szCs w:val="22"/>
                </w:rPr>
                <m:t>RMSE</m:t>
              </m:r>
            </m:num>
            <m:den>
              <m:acc>
                <m:accPr>
                  <m:chr m:val="̅"/>
                  <m:ctrlPr>
                    <w:rPr>
                      <w:rFonts w:ascii="Cambria Math" w:hAnsi="Cambria Math" w:cs="Arial"/>
                      <w:sz w:val="22"/>
                      <w:szCs w:val="22"/>
                    </w:rPr>
                  </m:ctrlPr>
                </m:accPr>
                <m:e>
                  <m:r>
                    <w:rPr>
                      <w:rFonts w:ascii="Cambria Math" w:hAnsi="Cambria Math" w:cs="Arial"/>
                      <w:sz w:val="22"/>
                      <w:szCs w:val="22"/>
                    </w:rPr>
                    <m:t>Y</m:t>
                  </m:r>
                </m:e>
              </m:acc>
            </m:den>
          </m:f>
          <m:r>
            <w:rPr>
              <w:rFonts w:ascii="Cambria Math" w:hAnsi="Cambria Math" w:cs="Arial"/>
              <w:sz w:val="22"/>
              <w:szCs w:val="22"/>
            </w:rPr>
            <m:t>×100</m:t>
          </m:r>
        </m:oMath>
      </m:oMathPara>
    </w:p>
    <w:p w14:paraId="7870B4FD" w14:textId="21A44EF0" w:rsidR="00074CF6" w:rsidRPr="00711BAD" w:rsidRDefault="00074CF6" w:rsidP="00074CF6">
      <w:pPr>
        <w:rPr>
          <w:rFonts w:ascii="Arial" w:hAnsi="Arial" w:cs="Arial"/>
          <w:sz w:val="22"/>
          <w:szCs w:val="22"/>
        </w:rPr>
      </w:pPr>
      <w:r w:rsidRPr="00711BAD">
        <w:rPr>
          <w:rFonts w:ascii="Arial" w:hAnsi="Arial" w:cs="Arial"/>
          <w:sz w:val="22"/>
          <w:szCs w:val="22"/>
        </w:rPr>
        <w:t xml:space="preserve">Donde </w:t>
      </w:r>
      <m:oMath>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i</m:t>
            </m:r>
          </m:sub>
        </m:sSub>
      </m:oMath>
      <w:r w:rsidRPr="00711BAD">
        <w:rPr>
          <w:rFonts w:ascii="Arial" w:hAnsi="Arial" w:cs="Arial"/>
          <w:sz w:val="22"/>
          <w:szCs w:val="22"/>
        </w:rPr>
        <w:t xml:space="preserve"> representa el valor de referencia del IPM en el municipio </w:t>
      </w:r>
      <m:oMath>
        <m:r>
          <w:rPr>
            <w:rFonts w:ascii="Cambria Math" w:hAnsi="Cambria Math" w:cs="Arial"/>
            <w:sz w:val="22"/>
            <w:szCs w:val="22"/>
          </w:rPr>
          <m:t>i</m:t>
        </m:r>
      </m:oMath>
      <w:r w:rsidRPr="00711BAD">
        <w:rPr>
          <w:rFonts w:ascii="Arial" w:hAnsi="Arial" w:cs="Arial"/>
          <w:sz w:val="22"/>
          <w:szCs w:val="22"/>
        </w:rPr>
        <w:t xml:space="preserve">, </w:t>
      </w:r>
      <m:oMath>
        <m:sSubSup>
          <m:sSubSupPr>
            <m:ctrlPr>
              <w:rPr>
                <w:rFonts w:ascii="Cambria Math" w:hAnsi="Cambria Math" w:cs="Arial"/>
                <w:sz w:val="22"/>
                <w:szCs w:val="22"/>
              </w:rPr>
            </m:ctrlPr>
          </m:sSubSupPr>
          <m:e>
            <m:acc>
              <m:accPr>
                <m:chr m:val="ˆ"/>
                <m:ctrlPr>
                  <w:rPr>
                    <w:rFonts w:ascii="Cambria Math" w:hAnsi="Cambria Math" w:cs="Arial"/>
                    <w:sz w:val="22"/>
                    <w:szCs w:val="22"/>
                  </w:rPr>
                </m:ctrlPr>
              </m:accPr>
              <m:e>
                <m:r>
                  <w:rPr>
                    <w:rFonts w:ascii="Cambria Math" w:hAnsi="Cambria Math" w:cs="Arial"/>
                    <w:sz w:val="22"/>
                    <w:szCs w:val="22"/>
                  </w:rPr>
                  <m:t>Y</m:t>
                </m:r>
              </m:e>
            </m:acc>
          </m:e>
          <m:sub>
            <m:r>
              <w:rPr>
                <w:rFonts w:ascii="Cambria Math" w:hAnsi="Cambria Math" w:cs="Arial"/>
                <w:sz w:val="22"/>
                <w:szCs w:val="22"/>
              </w:rPr>
              <m:t>i</m:t>
            </m:r>
          </m:sub>
          <m:sup>
            <m:d>
              <m:dPr>
                <m:ctrlPr>
                  <w:rPr>
                    <w:rFonts w:ascii="Cambria Math" w:hAnsi="Cambria Math" w:cs="Arial"/>
                    <w:sz w:val="22"/>
                    <w:szCs w:val="22"/>
                  </w:rPr>
                </m:ctrlPr>
              </m:dPr>
              <m:e>
                <m:r>
                  <w:rPr>
                    <w:rFonts w:ascii="Cambria Math" w:hAnsi="Cambria Math" w:cs="Arial"/>
                    <w:sz w:val="22"/>
                    <w:szCs w:val="22"/>
                  </w:rPr>
                  <m:t>-d</m:t>
                </m:r>
              </m:e>
            </m:d>
          </m:sup>
        </m:sSubSup>
      </m:oMath>
      <w:r w:rsidRPr="00711BAD">
        <w:rPr>
          <w:rFonts w:ascii="Arial" w:hAnsi="Arial" w:cs="Arial"/>
          <w:sz w:val="22"/>
          <w:szCs w:val="22"/>
        </w:rPr>
        <w:t xml:space="preserve"> es la predicción obtenida al omitir su departamento en el entrenamiento, y </w:t>
      </w:r>
      <m:oMath>
        <m:r>
          <w:rPr>
            <w:rFonts w:ascii="Cambria Math" w:hAnsi="Cambria Math" w:cs="Arial"/>
            <w:sz w:val="22"/>
            <w:szCs w:val="22"/>
          </w:rPr>
          <m:t>N=1.101</m:t>
        </m:r>
      </m:oMath>
      <w:r w:rsidRPr="00711BAD">
        <w:rPr>
          <w:rFonts w:ascii="Arial" w:hAnsi="Arial" w:cs="Arial"/>
          <w:sz w:val="22"/>
          <w:szCs w:val="22"/>
        </w:rPr>
        <w:t>.</w:t>
      </w:r>
    </w:p>
    <w:p w14:paraId="57321AC6" w14:textId="37750336" w:rsidR="009F2247" w:rsidRPr="00711BAD" w:rsidRDefault="00074CF6" w:rsidP="009F2247">
      <w:pPr>
        <w:rPr>
          <w:rFonts w:ascii="Arial" w:hAnsi="Arial" w:cs="Arial"/>
          <w:sz w:val="22"/>
          <w:szCs w:val="22"/>
        </w:rPr>
      </w:pPr>
      <w:r w:rsidRPr="00711BAD">
        <w:rPr>
          <w:rFonts w:ascii="Arial" w:hAnsi="Arial" w:cs="Arial"/>
          <w:i/>
          <w:iCs/>
          <w:sz w:val="22"/>
          <w:szCs w:val="22"/>
        </w:rPr>
        <w:t>Nota de rigor metodológico sobre la comparación:</w:t>
      </w:r>
      <w:r w:rsidRPr="00711BAD">
        <w:rPr>
          <w:rFonts w:ascii="Arial" w:hAnsi="Arial" w:cs="Arial"/>
          <w:sz w:val="22"/>
          <w:szCs w:val="22"/>
        </w:rPr>
        <w:t xml:space="preserve"> Tal como se estableció en la formulación del Modelo 2 (Subárea), la calibración por </w:t>
      </w:r>
      <w:r w:rsidRPr="00711BAD">
        <w:rPr>
          <w:rFonts w:ascii="Arial" w:hAnsi="Arial" w:cs="Arial"/>
          <w:i/>
          <w:iCs/>
          <w:sz w:val="22"/>
          <w:szCs w:val="22"/>
        </w:rPr>
        <w:t>benchmarking</w:t>
      </w:r>
      <w:r w:rsidRPr="00711BAD">
        <w:rPr>
          <w:rFonts w:ascii="Arial" w:hAnsi="Arial" w:cs="Arial"/>
          <w:sz w:val="22"/>
          <w:szCs w:val="22"/>
        </w:rPr>
        <w:t xml:space="preserve"> es un ajuste de </w:t>
      </w:r>
      <w:r w:rsidRPr="00711BAD">
        <w:rPr>
          <w:rFonts w:ascii="Arial" w:hAnsi="Arial" w:cs="Arial"/>
          <w:sz w:val="22"/>
          <w:szCs w:val="22"/>
        </w:rPr>
        <w:lastRenderedPageBreak/>
        <w:t xml:space="preserve">despliegue institucional. Por lo tanto, en la fase de validación LODO, la evaluación del Modelo 2 se realiza sobre los valores predichos por la función logística </w:t>
      </w:r>
      <w:r w:rsidRPr="00711BAD">
        <w:rPr>
          <w:rFonts w:ascii="Arial" w:hAnsi="Arial" w:cs="Arial"/>
          <w:i/>
          <w:iCs/>
          <w:sz w:val="22"/>
          <w:szCs w:val="22"/>
        </w:rPr>
        <w:t>antes</w:t>
      </w:r>
      <w:r w:rsidRPr="00711BAD">
        <w:rPr>
          <w:rFonts w:ascii="Arial" w:hAnsi="Arial" w:cs="Arial"/>
          <w:sz w:val="22"/>
          <w:szCs w:val="22"/>
        </w:rPr>
        <w:t xml:space="preserve"> de aplicar el factor de escala departamental, evitando así la contaminación de información proveniente del departamento excluido.</w:t>
      </w:r>
    </w:p>
    <w:p w14:paraId="3839F7C5" w14:textId="77777777" w:rsidR="009F2247" w:rsidRPr="00711BAD" w:rsidRDefault="009F2247" w:rsidP="009F2247">
      <w:pPr>
        <w:spacing w:after="0"/>
        <w:rPr>
          <w:rFonts w:ascii="Arial" w:hAnsi="Arial" w:cs="Arial"/>
          <w:b/>
          <w:bCs/>
          <w:sz w:val="22"/>
          <w:szCs w:val="22"/>
        </w:rPr>
      </w:pPr>
      <w:r w:rsidRPr="00711BAD">
        <w:rPr>
          <w:rFonts w:ascii="Arial" w:hAnsi="Arial" w:cs="Arial"/>
          <w:b/>
          <w:bCs/>
          <w:sz w:val="22"/>
          <w:szCs w:val="22"/>
        </w:rPr>
        <w:t>(2.4) Rigurosidad en el Seguimiento Metodológico y Reproducibilidad [10%]</w:t>
      </w:r>
    </w:p>
    <w:p w14:paraId="22E3123E" w14:textId="77777777" w:rsidR="009F2247" w:rsidRPr="00711BAD" w:rsidRDefault="009F2247" w:rsidP="009F2247">
      <w:pPr>
        <w:rPr>
          <w:rFonts w:ascii="Arial" w:hAnsi="Arial" w:cs="Arial"/>
          <w:sz w:val="22"/>
          <w:szCs w:val="22"/>
        </w:rPr>
      </w:pPr>
      <w:r w:rsidRPr="00711BAD">
        <w:rPr>
          <w:rFonts w:ascii="Arial" w:hAnsi="Arial" w:cs="Arial"/>
          <w:i/>
          <w:iCs/>
          <w:sz w:val="22"/>
          <w:szCs w:val="22"/>
        </w:rPr>
        <w:t>(Trazabilidad del código, pipelines de ejecución y control de paquetes)</w:t>
      </w:r>
    </w:p>
    <w:p w14:paraId="5283DFA0" w14:textId="77777777" w:rsidR="00074CF6" w:rsidRPr="00711BAD" w:rsidRDefault="00074CF6" w:rsidP="00074CF6">
      <w:pPr>
        <w:rPr>
          <w:rFonts w:ascii="Arial" w:hAnsi="Arial" w:cs="Arial"/>
          <w:sz w:val="22"/>
          <w:szCs w:val="22"/>
        </w:rPr>
      </w:pPr>
      <w:r w:rsidRPr="00711BAD">
        <w:rPr>
          <w:rFonts w:ascii="Arial" w:hAnsi="Arial" w:cs="Arial"/>
          <w:sz w:val="22"/>
          <w:szCs w:val="22"/>
        </w:rPr>
        <w:t xml:space="preserve">Garantizar la trazabilidad y la réplica exacta de los resultados entre las tres metodologías abordadas constituye un pilar central del proyecto. El procesamiento, diagnóstico y modelado se estructuraron mediante un pipeline automatizado en R: </w:t>
      </w:r>
    </w:p>
    <w:p w14:paraId="2826EF9E" w14:textId="5FB731A9" w:rsidR="00074CF6" w:rsidRPr="00711BAD" w:rsidRDefault="00074CF6" w:rsidP="00074CF6">
      <w:pPr>
        <w:numPr>
          <w:ilvl w:val="0"/>
          <w:numId w:val="16"/>
        </w:numPr>
        <w:rPr>
          <w:rFonts w:ascii="Arial" w:hAnsi="Arial" w:cs="Arial"/>
          <w:sz w:val="22"/>
          <w:szCs w:val="22"/>
        </w:rPr>
      </w:pPr>
      <w:r w:rsidRPr="00711BAD">
        <w:rPr>
          <w:rFonts w:ascii="Arial" w:hAnsi="Arial" w:cs="Arial"/>
          <w:b/>
          <w:bCs/>
          <w:sz w:val="22"/>
          <w:szCs w:val="22"/>
        </w:rPr>
        <w:t>Estructura Modular del Código:</w:t>
      </w:r>
      <w:r w:rsidRPr="00711BAD">
        <w:rPr>
          <w:rFonts w:ascii="Arial" w:hAnsi="Arial" w:cs="Arial"/>
          <w:sz w:val="22"/>
          <w:szCs w:val="22"/>
        </w:rPr>
        <w:t xml:space="preserve"> La canalización de datos se dividió en scripts independientes para (i) depuración e imputación </w:t>
      </w:r>
      <m:oMath>
        <m:r>
          <w:rPr>
            <w:rFonts w:ascii="Cambria Math" w:hAnsi="Cambria Math" w:cs="Arial"/>
            <w:sz w:val="22"/>
            <w:szCs w:val="22"/>
          </w:rPr>
          <m:t>k</m:t>
        </m:r>
      </m:oMath>
      <w:r w:rsidRPr="00711BAD">
        <w:rPr>
          <w:rFonts w:ascii="Arial" w:hAnsi="Arial" w:cs="Arial"/>
          <w:sz w:val="22"/>
          <w:szCs w:val="22"/>
        </w:rPr>
        <w:t xml:space="preserve">-NN, (ii) estimación de los modelos SAE (Fay-Herriot y Subárea), (iii) construcción de la matriz </w:t>
      </w:r>
      <m:oMath>
        <m:r>
          <w:rPr>
            <w:rFonts w:ascii="Cambria Math" w:hAnsi="Cambria Math" w:cs="Arial"/>
            <w:sz w:val="22"/>
            <w:szCs w:val="22"/>
          </w:rPr>
          <m:t>W</m:t>
        </m:r>
      </m:oMath>
      <w:r w:rsidRPr="00711BAD">
        <w:rPr>
          <w:rFonts w:ascii="Arial" w:hAnsi="Arial" w:cs="Arial"/>
          <w:sz w:val="22"/>
          <w:szCs w:val="22"/>
        </w:rPr>
        <w:t xml:space="preserve"> y estimación ML del modelo SAR, y (iv) ejecución del bucle LODO.</w:t>
      </w:r>
    </w:p>
    <w:p w14:paraId="78C348DA" w14:textId="77777777" w:rsidR="00074CF6" w:rsidRPr="00711BAD" w:rsidRDefault="00074CF6" w:rsidP="00074CF6">
      <w:pPr>
        <w:numPr>
          <w:ilvl w:val="0"/>
          <w:numId w:val="16"/>
        </w:numPr>
        <w:rPr>
          <w:rFonts w:ascii="Arial" w:hAnsi="Arial" w:cs="Arial"/>
          <w:sz w:val="22"/>
          <w:szCs w:val="22"/>
        </w:rPr>
      </w:pPr>
      <w:r w:rsidRPr="00711BAD">
        <w:rPr>
          <w:rFonts w:ascii="Arial" w:hAnsi="Arial" w:cs="Arial"/>
          <w:b/>
          <w:bCs/>
          <w:sz w:val="22"/>
          <w:szCs w:val="22"/>
        </w:rPr>
        <w:t>Librerías Especializadas:</w:t>
      </w:r>
      <w:r w:rsidRPr="00711BAD">
        <w:rPr>
          <w:rFonts w:ascii="Arial" w:hAnsi="Arial" w:cs="Arial"/>
          <w:sz w:val="22"/>
          <w:szCs w:val="22"/>
        </w:rPr>
        <w:t xml:space="preserve"> Se emplearon los paquetes sf y spdep para la manipulación de objetos espaciales y cálculo del Índice de Moran; sae y emdi para la formulación de los modelos SAE previamente descritos; y spatialreg para la optimización de la verosimilitud del modelo SAR.</w:t>
      </w:r>
    </w:p>
    <w:p w14:paraId="76CEC5D5" w14:textId="77777777" w:rsidR="00074CF6" w:rsidRPr="00711BAD" w:rsidRDefault="00074CF6" w:rsidP="00074CF6">
      <w:pPr>
        <w:numPr>
          <w:ilvl w:val="0"/>
          <w:numId w:val="16"/>
        </w:numPr>
        <w:rPr>
          <w:rFonts w:ascii="Arial" w:hAnsi="Arial" w:cs="Arial"/>
          <w:sz w:val="22"/>
          <w:szCs w:val="22"/>
        </w:rPr>
      </w:pPr>
      <w:r w:rsidRPr="00711BAD">
        <w:rPr>
          <w:rFonts w:ascii="Arial" w:hAnsi="Arial" w:cs="Arial"/>
          <w:b/>
          <w:bCs/>
          <w:sz w:val="22"/>
          <w:szCs w:val="22"/>
        </w:rPr>
        <w:t>Garantía de Reproducibilidad:</w:t>
      </w:r>
      <w:r w:rsidRPr="00711BAD">
        <w:rPr>
          <w:rFonts w:ascii="Arial" w:hAnsi="Arial" w:cs="Arial"/>
          <w:sz w:val="22"/>
          <w:szCs w:val="22"/>
        </w:rPr>
        <w:t xml:space="preserve"> Se fijó una semilla de aleatoriedad global (set.seed(2024)) al inicio de los procedimientos que involucran imputación o particiones, permitiendo la regeneración exacta de las tablas de métricas y mapas de error.</w:t>
      </w:r>
    </w:p>
    <w:p w14:paraId="78254A7B" w14:textId="77777777" w:rsidR="009F2247" w:rsidRPr="00711BAD" w:rsidRDefault="009F2247" w:rsidP="009F2247">
      <w:pPr>
        <w:spacing w:after="0"/>
        <w:rPr>
          <w:rFonts w:ascii="Arial" w:hAnsi="Arial" w:cs="Arial"/>
          <w:b/>
          <w:bCs/>
          <w:sz w:val="22"/>
          <w:szCs w:val="22"/>
        </w:rPr>
      </w:pPr>
      <w:r w:rsidRPr="00711BAD">
        <w:rPr>
          <w:rFonts w:ascii="Arial" w:hAnsi="Arial" w:cs="Arial"/>
          <w:b/>
          <w:bCs/>
          <w:sz w:val="22"/>
          <w:szCs w:val="22"/>
        </w:rPr>
        <w:t>(2.5) Validez de los Resultados y Conclusiones [10%]</w:t>
      </w:r>
    </w:p>
    <w:p w14:paraId="49A74B91" w14:textId="77777777" w:rsidR="009F2247" w:rsidRPr="00711BAD" w:rsidRDefault="009F2247" w:rsidP="009F2247">
      <w:pPr>
        <w:rPr>
          <w:rFonts w:ascii="Arial" w:hAnsi="Arial" w:cs="Arial"/>
          <w:sz w:val="22"/>
          <w:szCs w:val="22"/>
        </w:rPr>
      </w:pPr>
      <w:r w:rsidRPr="00711BAD">
        <w:rPr>
          <w:rFonts w:ascii="Arial" w:hAnsi="Arial" w:cs="Arial"/>
          <w:i/>
          <w:iCs/>
          <w:sz w:val="22"/>
          <w:szCs w:val="22"/>
        </w:rPr>
        <w:t>(Criterios de consistencia teórica, límites de soporte y coherencia territorial)</w:t>
      </w:r>
    </w:p>
    <w:p w14:paraId="320ACF52" w14:textId="77777777" w:rsidR="009F2247" w:rsidRPr="00711BAD" w:rsidRDefault="009F2247" w:rsidP="009F2247">
      <w:pPr>
        <w:rPr>
          <w:rFonts w:ascii="Arial" w:hAnsi="Arial" w:cs="Arial"/>
          <w:sz w:val="22"/>
          <w:szCs w:val="22"/>
        </w:rPr>
      </w:pPr>
      <w:r w:rsidRPr="00711BAD">
        <w:rPr>
          <w:rFonts w:ascii="Arial" w:hAnsi="Arial" w:cs="Arial"/>
          <w:sz w:val="22"/>
          <w:szCs w:val="22"/>
        </w:rPr>
        <w:t>La validez de las estimaciones obtenidas por los tres modelos se evalúa bajo tres criterios de consistencia:</w:t>
      </w:r>
    </w:p>
    <w:p w14:paraId="63C047DE" w14:textId="757525BC" w:rsidR="009F2247" w:rsidRPr="00711BAD" w:rsidRDefault="009F2247" w:rsidP="009F2247">
      <w:pPr>
        <w:numPr>
          <w:ilvl w:val="0"/>
          <w:numId w:val="9"/>
        </w:numPr>
        <w:rPr>
          <w:rFonts w:ascii="Arial" w:hAnsi="Arial" w:cs="Arial"/>
          <w:sz w:val="22"/>
          <w:szCs w:val="22"/>
        </w:rPr>
      </w:pPr>
      <w:r w:rsidRPr="00711BAD">
        <w:rPr>
          <w:rFonts w:ascii="Arial" w:hAnsi="Arial" w:cs="Arial"/>
          <w:b/>
          <w:bCs/>
          <w:sz w:val="22"/>
          <w:szCs w:val="22"/>
        </w:rPr>
        <w:t>Validez de Soporte:</w:t>
      </w:r>
      <w:r w:rsidRPr="00711BAD">
        <w:rPr>
          <w:rFonts w:ascii="Arial" w:hAnsi="Arial" w:cs="Arial"/>
          <w:sz w:val="22"/>
          <w:szCs w:val="22"/>
        </w:rPr>
        <w:t xml:space="preserve"> Verificar que ningún modelo genere tasas de IPM fuera del intervalo físicamente posible </w:t>
      </w:r>
      <m:oMath>
        <m:d>
          <m:dPr>
            <m:begChr m:val="["/>
            <m:endChr m:val="]"/>
            <m:ctrlPr>
              <w:rPr>
                <w:rFonts w:ascii="Cambria Math" w:hAnsi="Cambria Math" w:cs="Arial"/>
                <w:sz w:val="22"/>
                <w:szCs w:val="22"/>
              </w:rPr>
            </m:ctrlPr>
          </m:dPr>
          <m:e>
            <m:r>
              <w:rPr>
                <w:rFonts w:ascii="Cambria Math" w:hAnsi="Cambria Math" w:cs="Arial"/>
                <w:sz w:val="22"/>
                <w:szCs w:val="22"/>
              </w:rPr>
              <m:t>0,100%</m:t>
            </m:r>
          </m:e>
        </m:d>
      </m:oMath>
      <w:r w:rsidRPr="00711BAD">
        <w:rPr>
          <w:rFonts w:ascii="Arial" w:hAnsi="Arial" w:cs="Arial"/>
          <w:sz w:val="22"/>
          <w:szCs w:val="22"/>
        </w:rPr>
        <w:t xml:space="preserve"> (superando la limitación del modelo Fay-Herriot original).</w:t>
      </w:r>
    </w:p>
    <w:p w14:paraId="6291E9A3" w14:textId="77777777" w:rsidR="009F2247" w:rsidRPr="00711BAD" w:rsidRDefault="009F2247" w:rsidP="009F2247">
      <w:pPr>
        <w:numPr>
          <w:ilvl w:val="0"/>
          <w:numId w:val="9"/>
        </w:numPr>
        <w:rPr>
          <w:rFonts w:ascii="Arial" w:hAnsi="Arial" w:cs="Arial"/>
          <w:sz w:val="22"/>
          <w:szCs w:val="22"/>
        </w:rPr>
      </w:pPr>
      <w:r w:rsidRPr="00711BAD">
        <w:rPr>
          <w:rFonts w:ascii="Arial" w:hAnsi="Arial" w:cs="Arial"/>
          <w:b/>
          <w:bCs/>
          <w:sz w:val="22"/>
          <w:szCs w:val="22"/>
        </w:rPr>
        <w:t>Consistencia Agregada:</w:t>
      </w:r>
      <w:r w:rsidRPr="00711BAD">
        <w:rPr>
          <w:rFonts w:ascii="Arial" w:hAnsi="Arial" w:cs="Arial"/>
          <w:sz w:val="22"/>
          <w:szCs w:val="22"/>
        </w:rPr>
        <w:t xml:space="preserve"> Evaluar qué tan cerca se mantienen los agregados municipales ponderados frente a las cifras oficiales departamentales publicadas por el DANE.</w:t>
      </w:r>
    </w:p>
    <w:p w14:paraId="77224136" w14:textId="35BEC533" w:rsidR="00F12C7E" w:rsidRPr="00711BAD" w:rsidRDefault="009F2247" w:rsidP="00F12C7E">
      <w:pPr>
        <w:numPr>
          <w:ilvl w:val="0"/>
          <w:numId w:val="9"/>
        </w:numPr>
        <w:rPr>
          <w:rFonts w:ascii="Arial" w:hAnsi="Arial" w:cs="Arial"/>
          <w:sz w:val="22"/>
          <w:szCs w:val="22"/>
        </w:rPr>
      </w:pPr>
      <w:r w:rsidRPr="00711BAD">
        <w:rPr>
          <w:rFonts w:ascii="Arial" w:hAnsi="Arial" w:cs="Arial"/>
          <w:b/>
          <w:bCs/>
          <w:sz w:val="22"/>
          <w:szCs w:val="22"/>
        </w:rPr>
        <w:t>Poder de Explicación Espacial:</w:t>
      </w:r>
      <w:r w:rsidRPr="00711BAD">
        <w:rPr>
          <w:rFonts w:ascii="Arial" w:hAnsi="Arial" w:cs="Arial"/>
          <w:sz w:val="22"/>
          <w:szCs w:val="22"/>
        </w:rPr>
        <w:t xml:space="preserve"> Validar mediante la prueba de Moran posterior si el modelo SAR logra absorber de manera efectiva la autocorrelación residual, entregando residuos </w:t>
      </w:r>
      <m:oMath>
        <m:r>
          <w:rPr>
            <w:rFonts w:ascii="Cambria Math" w:hAnsi="Cambria Math" w:cs="Arial"/>
            <w:sz w:val="22"/>
            <w:szCs w:val="22"/>
          </w:rPr>
          <m:t>ε∼N</m:t>
        </m:r>
        <m:d>
          <m:dPr>
            <m:ctrlPr>
              <w:rPr>
                <w:rFonts w:ascii="Cambria Math" w:hAnsi="Cambria Math" w:cs="Arial"/>
                <w:sz w:val="22"/>
                <w:szCs w:val="22"/>
              </w:rPr>
            </m:ctrlPr>
          </m:dPr>
          <m:e>
            <m:r>
              <w:rPr>
                <w:rFonts w:ascii="Cambria Math" w:hAnsi="Cambria Math" w:cs="Arial"/>
                <w:sz w:val="22"/>
                <w:szCs w:val="22"/>
              </w:rPr>
              <m:t>0,</m:t>
            </m:r>
            <m:sSup>
              <m:sSupPr>
                <m:ctrlPr>
                  <w:rPr>
                    <w:rFonts w:ascii="Cambria Math" w:hAnsi="Cambria Math" w:cs="Arial"/>
                    <w:sz w:val="22"/>
                    <w:szCs w:val="22"/>
                  </w:rPr>
                </m:ctrlPr>
              </m:sSupPr>
              <m:e>
                <m:r>
                  <w:rPr>
                    <w:rFonts w:ascii="Cambria Math" w:hAnsi="Cambria Math" w:cs="Arial"/>
                    <w:sz w:val="22"/>
                    <w:szCs w:val="22"/>
                  </w:rPr>
                  <m:t>σ</m:t>
                </m:r>
              </m:e>
              <m:sup>
                <m:r>
                  <w:rPr>
                    <w:rFonts w:ascii="Cambria Math" w:hAnsi="Cambria Math" w:cs="Arial"/>
                    <w:sz w:val="22"/>
                    <w:szCs w:val="22"/>
                  </w:rPr>
                  <m:t>2</m:t>
                </m:r>
              </m:sup>
            </m:sSup>
            <m:r>
              <w:rPr>
                <w:rFonts w:ascii="Cambria Math" w:hAnsi="Cambria Math" w:cs="Arial"/>
                <w:sz w:val="22"/>
                <w:szCs w:val="22"/>
              </w:rPr>
              <m:t>I</m:t>
            </m:r>
          </m:e>
        </m:d>
      </m:oMath>
      <w:r w:rsidRPr="00711BAD">
        <w:rPr>
          <w:rFonts w:ascii="Arial" w:hAnsi="Arial" w:cs="Arial"/>
          <w:sz w:val="22"/>
          <w:szCs w:val="22"/>
        </w:rPr>
        <w:t xml:space="preserve"> espacialmente independientes y blancos.</w:t>
      </w:r>
    </w:p>
    <w:p w14:paraId="72A00699" w14:textId="77777777" w:rsidR="00F12C7E" w:rsidRPr="00711BAD" w:rsidRDefault="00F12C7E">
      <w:pPr>
        <w:rPr>
          <w:rFonts w:ascii="Arial" w:hAnsi="Arial" w:cs="Arial"/>
          <w:sz w:val="22"/>
          <w:szCs w:val="22"/>
        </w:rPr>
      </w:pPr>
      <w:r w:rsidRPr="00711BAD">
        <w:rPr>
          <w:rFonts w:ascii="Arial" w:hAnsi="Arial" w:cs="Arial"/>
          <w:sz w:val="22"/>
          <w:szCs w:val="22"/>
        </w:rPr>
        <w:br w:type="page"/>
      </w:r>
    </w:p>
    <w:p w14:paraId="1F7D3B2D" w14:textId="77777777" w:rsidR="00F12C7E" w:rsidRPr="00711BAD" w:rsidRDefault="00F12C7E" w:rsidP="00F12C7E">
      <w:pPr>
        <w:spacing w:after="100" w:afterAutospacing="1" w:line="240" w:lineRule="auto"/>
        <w:outlineLvl w:val="2"/>
        <w:rPr>
          <w:rFonts w:ascii="Arial" w:eastAsia="Times New Roman" w:hAnsi="Arial" w:cs="Arial"/>
          <w:b/>
          <w:bCs/>
          <w:kern w:val="0"/>
          <w:sz w:val="22"/>
          <w:szCs w:val="22"/>
          <w:lang w:eastAsia="es-CO"/>
          <w14:ligatures w14:val="none"/>
        </w:rPr>
      </w:pPr>
      <w:r w:rsidRPr="00711BAD">
        <w:rPr>
          <w:rFonts w:ascii="Arial" w:eastAsia="Times New Roman" w:hAnsi="Arial" w:cs="Arial"/>
          <w:b/>
          <w:bCs/>
          <w:kern w:val="0"/>
          <w:sz w:val="22"/>
          <w:szCs w:val="22"/>
          <w:lang w:eastAsia="es-CO"/>
          <w14:ligatures w14:val="none"/>
        </w:rPr>
        <w:lastRenderedPageBreak/>
        <w:t>Selección y Comparación de Especificaciones (Modelo 1 vs. Modelo 2)</w:t>
      </w:r>
    </w:p>
    <w:p w14:paraId="2253E7F2" w14:textId="77777777" w:rsidR="00F12C7E" w:rsidRPr="00650218" w:rsidRDefault="00F12C7E" w:rsidP="00F12C7E">
      <w:pPr>
        <w:spacing w:after="100" w:afterAutospacing="1" w:line="240" w:lineRule="auto"/>
        <w:rPr>
          <w:rFonts w:ascii="Arial" w:eastAsia="Times New Roman" w:hAnsi="Arial" w:cs="Arial"/>
          <w:kern w:val="0"/>
          <w:sz w:val="22"/>
          <w:szCs w:val="22"/>
          <w:highlight w:val="yellow"/>
          <w:lang w:eastAsia="es-CO"/>
          <w14:ligatures w14:val="none"/>
        </w:rPr>
      </w:pPr>
      <w:r w:rsidRPr="00650218">
        <w:rPr>
          <w:rFonts w:ascii="Arial" w:eastAsia="Times New Roman" w:hAnsi="Arial" w:cs="Arial"/>
          <w:kern w:val="0"/>
          <w:sz w:val="22"/>
          <w:szCs w:val="22"/>
          <w:highlight w:val="yellow"/>
          <w:lang w:eastAsia="es-CO"/>
          <w14:ligatures w14:val="none"/>
        </w:rPr>
        <w:t xml:space="preserve">La evaluación del modelo ancla 2018 inició con la especificación de un </w:t>
      </w:r>
      <w:r w:rsidRPr="00650218">
        <w:rPr>
          <w:rFonts w:ascii="Arial" w:eastAsia="Times New Roman" w:hAnsi="Arial" w:cs="Arial"/>
          <w:b/>
          <w:bCs/>
          <w:kern w:val="0"/>
          <w:sz w:val="22"/>
          <w:szCs w:val="22"/>
          <w:highlight w:val="yellow"/>
          <w:lang w:eastAsia="es-CO"/>
          <w14:ligatures w14:val="none"/>
        </w:rPr>
        <w:t>Modelo 1 (Saturado)</w:t>
      </w:r>
      <w:r w:rsidRPr="00650218">
        <w:rPr>
          <w:rFonts w:ascii="Arial" w:eastAsia="Times New Roman" w:hAnsi="Arial" w:cs="Arial"/>
          <w:kern w:val="0"/>
          <w:sz w:val="22"/>
          <w:szCs w:val="22"/>
          <w:highlight w:val="yellow"/>
          <w:lang w:eastAsia="es-CO"/>
          <w14:ligatures w14:val="none"/>
        </w:rPr>
        <w:t xml:space="preserve"> de rezago espacial (SAR), estimado mediante Máxima Verosimilitud (ML) e incluyendo la totalidad de las covariables socioeconómicas e institucionales preseleccionadas. Los resultados de este modelo inicial revelaron que, con excepción de la variable de recaudo del Impuesto de Industria y Comercio per cápita (Rec_ICA_PC, </w:t>
      </w:r>
      <m:oMath>
        <m:r>
          <w:rPr>
            <w:rFonts w:ascii="Cambria Math" w:eastAsia="Times New Roman" w:hAnsi="Cambria Math" w:cs="Arial"/>
            <w:kern w:val="0"/>
            <w:sz w:val="22"/>
            <w:szCs w:val="22"/>
            <w:highlight w:val="yellow"/>
            <w:lang w:eastAsia="es-CO"/>
            <w14:ligatures w14:val="none"/>
          </w:rPr>
          <m:t>p=0.171</m:t>
        </m:r>
      </m:oMath>
      <w:r w:rsidRPr="00650218">
        <w:rPr>
          <w:rFonts w:ascii="Arial" w:eastAsia="Times New Roman" w:hAnsi="Arial" w:cs="Arial"/>
          <w:kern w:val="0"/>
          <w:sz w:val="22"/>
          <w:szCs w:val="22"/>
          <w:highlight w:val="yellow"/>
          <w:lang w:eastAsia="es-CO"/>
          <w14:ligatures w14:val="none"/>
        </w:rPr>
        <w:t xml:space="preserve">) y la tasa de deserción escolar (desercion, </w:t>
      </w:r>
      <m:oMath>
        <m:r>
          <w:rPr>
            <w:rFonts w:ascii="Cambria Math" w:eastAsia="Times New Roman" w:hAnsi="Cambria Math" w:cs="Arial"/>
            <w:kern w:val="0"/>
            <w:sz w:val="22"/>
            <w:szCs w:val="22"/>
            <w:highlight w:val="yellow"/>
            <w:lang w:eastAsia="es-CO"/>
            <w14:ligatures w14:val="none"/>
          </w:rPr>
          <m:t>p=0.153</m:t>
        </m:r>
      </m:oMath>
      <w:r w:rsidRPr="00650218">
        <w:rPr>
          <w:rFonts w:ascii="Arial" w:eastAsia="Times New Roman" w:hAnsi="Arial" w:cs="Arial"/>
          <w:kern w:val="0"/>
          <w:sz w:val="22"/>
          <w:szCs w:val="22"/>
          <w:highlight w:val="yellow"/>
          <w:lang w:eastAsia="es-CO"/>
          <w14:ligatures w14:val="none"/>
        </w:rPr>
        <w:t>), la mayoría de los predictores presentaron un efecto altamente significativo (</w:t>
      </w:r>
      <m:oMath>
        <m:r>
          <w:rPr>
            <w:rFonts w:ascii="Cambria Math" w:eastAsia="Times New Roman" w:hAnsi="Cambria Math" w:cs="Arial"/>
            <w:kern w:val="0"/>
            <w:sz w:val="22"/>
            <w:szCs w:val="22"/>
            <w:highlight w:val="yellow"/>
            <w:lang w:eastAsia="es-CO"/>
            <w14:ligatures w14:val="none"/>
          </w:rPr>
          <m:t>p&lt;0.01</m:t>
        </m:r>
      </m:oMath>
      <w:r w:rsidRPr="00650218">
        <w:rPr>
          <w:rFonts w:ascii="Arial" w:eastAsia="Times New Roman" w:hAnsi="Arial" w:cs="Arial"/>
          <w:kern w:val="0"/>
          <w:sz w:val="22"/>
          <w:szCs w:val="22"/>
          <w:highlight w:val="yellow"/>
          <w:lang w:eastAsia="es-CO"/>
          <w14:ligatures w14:val="none"/>
        </w:rPr>
        <w:t>) sobre la transformada logit del IPM municipal.</w:t>
      </w:r>
    </w:p>
    <w:p w14:paraId="07F5E40B" w14:textId="77777777" w:rsidR="00F12C7E" w:rsidRPr="00650218" w:rsidRDefault="00F12C7E" w:rsidP="00F12C7E">
      <w:pPr>
        <w:spacing w:after="100" w:afterAutospacing="1" w:line="240" w:lineRule="auto"/>
        <w:rPr>
          <w:rFonts w:ascii="Arial" w:eastAsia="Times New Roman" w:hAnsi="Arial" w:cs="Arial"/>
          <w:kern w:val="0"/>
          <w:sz w:val="22"/>
          <w:szCs w:val="22"/>
          <w:highlight w:val="yellow"/>
          <w:lang w:eastAsia="es-CO"/>
          <w14:ligatures w14:val="none"/>
        </w:rPr>
      </w:pPr>
      <w:r w:rsidRPr="00650218">
        <w:rPr>
          <w:rFonts w:ascii="Arial" w:eastAsia="Times New Roman" w:hAnsi="Arial" w:cs="Arial"/>
          <w:kern w:val="0"/>
          <w:sz w:val="22"/>
          <w:szCs w:val="22"/>
          <w:highlight w:val="yellow"/>
          <w:lang w:eastAsia="es-CO"/>
          <w14:ligatures w14:val="none"/>
        </w:rPr>
        <w:t xml:space="preserve">Con el objetivo de lograr una especificación más parsimoniosa y corregir problemas de redundancia explicativa, se procedió a la construcción del </w:t>
      </w:r>
      <w:r w:rsidRPr="00650218">
        <w:rPr>
          <w:rFonts w:ascii="Arial" w:eastAsia="Times New Roman" w:hAnsi="Arial" w:cs="Arial"/>
          <w:b/>
          <w:bCs/>
          <w:kern w:val="0"/>
          <w:sz w:val="22"/>
          <w:szCs w:val="22"/>
          <w:highlight w:val="yellow"/>
          <w:lang w:eastAsia="es-CO"/>
          <w14:ligatures w14:val="none"/>
        </w:rPr>
        <w:t>Modelo 2 (Depurado)</w:t>
      </w:r>
      <w:r w:rsidRPr="00650218">
        <w:rPr>
          <w:rFonts w:ascii="Arial" w:eastAsia="Times New Roman" w:hAnsi="Arial" w:cs="Arial"/>
          <w:kern w:val="0"/>
          <w:sz w:val="22"/>
          <w:szCs w:val="22"/>
          <w:highlight w:val="yellow"/>
          <w:lang w:eastAsia="es-CO"/>
          <w14:ligatures w14:val="none"/>
        </w:rPr>
        <w:t xml:space="preserve"> mediante la eliminación de la variable no significativa Rec_ICA_PC. Tras esta simplificación, se observó un ajuste estructural clave: la variable desercion fue omitida por su baja contribución marginal, permitiendo que variables clave del entorno territorial y de salud pública —como la cobertura de educación en zonas rurales (ICEE_rural) y la razón de mortalidad materna (rmm42)— conservaran su significancia al 99% (</w:t>
      </w:r>
      <m:oMath>
        <m:r>
          <w:rPr>
            <w:rFonts w:ascii="Cambria Math" w:eastAsia="Times New Roman" w:hAnsi="Cambria Math" w:cs="Arial"/>
            <w:kern w:val="0"/>
            <w:sz w:val="22"/>
            <w:szCs w:val="22"/>
            <w:highlight w:val="yellow"/>
            <w:lang w:eastAsia="es-CO"/>
            <w14:ligatures w14:val="none"/>
          </w:rPr>
          <m:t>p&lt;0.01</m:t>
        </m:r>
      </m:oMath>
      <w:r w:rsidRPr="00650218">
        <w:rPr>
          <w:rFonts w:ascii="Arial" w:eastAsia="Times New Roman" w:hAnsi="Arial" w:cs="Arial"/>
          <w:kern w:val="0"/>
          <w:sz w:val="22"/>
          <w:szCs w:val="22"/>
          <w:highlight w:val="yellow"/>
          <w:lang w:eastAsia="es-CO"/>
          <w14:ligatures w14:val="none"/>
        </w:rPr>
        <w:t>).</w:t>
      </w:r>
    </w:p>
    <w:tbl>
      <w:tblPr>
        <w:tblStyle w:val="Tablanormal5"/>
        <w:tblW w:w="0" w:type="auto"/>
        <w:jc w:val="center"/>
        <w:tblLook w:val="04A0" w:firstRow="1" w:lastRow="0" w:firstColumn="1" w:lastColumn="0" w:noHBand="0" w:noVBand="1"/>
      </w:tblPr>
      <w:tblGrid>
        <w:gridCol w:w="4360"/>
        <w:gridCol w:w="2202"/>
        <w:gridCol w:w="2276"/>
      </w:tblGrid>
      <w:tr w:rsidR="00F12C7E" w:rsidRPr="00650218" w14:paraId="62ACF0B9" w14:textId="77777777" w:rsidTr="00711BA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053E73B5" w14:textId="77777777" w:rsidR="00F12C7E" w:rsidRPr="00650218" w:rsidRDefault="00F12C7E" w:rsidP="00F12C7E">
            <w:pPr>
              <w:spacing w:after="100" w:afterAutospacing="1"/>
              <w:rPr>
                <w:rFonts w:ascii="Arial" w:eastAsia="Times New Roman" w:hAnsi="Arial" w:cs="Arial"/>
                <w:kern w:val="0"/>
                <w:sz w:val="22"/>
                <w:szCs w:val="22"/>
                <w:highlight w:val="yellow"/>
                <w:lang w:eastAsia="es-CO"/>
                <w14:ligatures w14:val="none"/>
              </w:rPr>
            </w:pPr>
            <w:r w:rsidRPr="00650218">
              <w:rPr>
                <w:rFonts w:ascii="Arial" w:eastAsia="Times New Roman" w:hAnsi="Arial" w:cs="Arial"/>
                <w:b/>
                <w:bCs/>
                <w:kern w:val="0"/>
                <w:sz w:val="22"/>
                <w:szCs w:val="22"/>
                <w:highlight w:val="yellow"/>
                <w:lang w:eastAsia="es-CO"/>
                <w14:ligatures w14:val="none"/>
              </w:rPr>
              <w:t>Criterio de Evaluación</w:t>
            </w:r>
          </w:p>
        </w:tc>
        <w:tc>
          <w:tcPr>
            <w:tcW w:w="0" w:type="auto"/>
            <w:vAlign w:val="center"/>
            <w:hideMark/>
          </w:tcPr>
          <w:p w14:paraId="47E99463" w14:textId="77777777" w:rsidR="00F12C7E" w:rsidRPr="00650218" w:rsidRDefault="00F12C7E" w:rsidP="00F12C7E">
            <w:pPr>
              <w:spacing w:after="100" w:afterAutospacing="1"/>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2"/>
                <w:szCs w:val="22"/>
                <w:highlight w:val="yellow"/>
                <w:lang w:eastAsia="es-CO"/>
                <w14:ligatures w14:val="none"/>
              </w:rPr>
            </w:pPr>
            <w:r w:rsidRPr="00650218">
              <w:rPr>
                <w:rFonts w:ascii="Arial" w:eastAsia="Times New Roman" w:hAnsi="Arial" w:cs="Arial"/>
                <w:b/>
                <w:bCs/>
                <w:kern w:val="0"/>
                <w:sz w:val="22"/>
                <w:szCs w:val="22"/>
                <w:highlight w:val="yellow"/>
                <w:lang w:eastAsia="es-CO"/>
                <w14:ligatures w14:val="none"/>
              </w:rPr>
              <w:t>Modelo 1 (Saturado)</w:t>
            </w:r>
          </w:p>
        </w:tc>
        <w:tc>
          <w:tcPr>
            <w:tcW w:w="0" w:type="auto"/>
            <w:vAlign w:val="center"/>
            <w:hideMark/>
          </w:tcPr>
          <w:p w14:paraId="66EE6531" w14:textId="77777777" w:rsidR="00F12C7E" w:rsidRPr="00650218" w:rsidRDefault="00F12C7E" w:rsidP="00F12C7E">
            <w:pPr>
              <w:spacing w:after="100" w:afterAutospacing="1"/>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2"/>
                <w:szCs w:val="22"/>
                <w:highlight w:val="yellow"/>
                <w:lang w:eastAsia="es-CO"/>
                <w14:ligatures w14:val="none"/>
              </w:rPr>
            </w:pPr>
            <w:r w:rsidRPr="00650218">
              <w:rPr>
                <w:rFonts w:ascii="Arial" w:eastAsia="Times New Roman" w:hAnsi="Arial" w:cs="Arial"/>
                <w:b/>
                <w:bCs/>
                <w:kern w:val="0"/>
                <w:sz w:val="22"/>
                <w:szCs w:val="22"/>
                <w:highlight w:val="yellow"/>
                <w:lang w:eastAsia="es-CO"/>
                <w14:ligatures w14:val="none"/>
              </w:rPr>
              <w:t>Modelo 2 (Depurado)</w:t>
            </w:r>
          </w:p>
        </w:tc>
      </w:tr>
      <w:tr w:rsidR="00F12C7E" w:rsidRPr="00650218" w14:paraId="23477BF6" w14:textId="77777777" w:rsidTr="00711B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9BE6F0" w14:textId="77777777" w:rsidR="00F12C7E" w:rsidRPr="00650218" w:rsidRDefault="00F12C7E" w:rsidP="00F12C7E">
            <w:pPr>
              <w:spacing w:after="100" w:afterAutospacing="1"/>
              <w:rPr>
                <w:rFonts w:ascii="Arial" w:eastAsia="Times New Roman" w:hAnsi="Arial" w:cs="Arial"/>
                <w:kern w:val="0"/>
                <w:sz w:val="22"/>
                <w:szCs w:val="22"/>
                <w:highlight w:val="yellow"/>
                <w:lang w:eastAsia="es-CO"/>
                <w14:ligatures w14:val="none"/>
              </w:rPr>
            </w:pPr>
            <w:r w:rsidRPr="00650218">
              <w:rPr>
                <w:rFonts w:ascii="Arial" w:eastAsia="Times New Roman" w:hAnsi="Arial" w:cs="Arial"/>
                <w:b/>
                <w:bCs/>
                <w:kern w:val="0"/>
                <w:sz w:val="22"/>
                <w:szCs w:val="22"/>
                <w:highlight w:val="yellow"/>
                <w:lang w:eastAsia="es-CO"/>
                <w14:ligatures w14:val="none"/>
              </w:rPr>
              <w:t>Log Likelihood</w:t>
            </w:r>
          </w:p>
        </w:tc>
        <w:tc>
          <w:tcPr>
            <w:tcW w:w="0" w:type="auto"/>
            <w:vAlign w:val="center"/>
            <w:hideMark/>
          </w:tcPr>
          <w:p w14:paraId="3AF75716" w14:textId="535A6F5E" w:rsidR="00F12C7E" w:rsidRPr="00650218" w:rsidRDefault="00F12C7E" w:rsidP="00F12C7E">
            <w:pPr>
              <w:spacing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2"/>
                <w:szCs w:val="22"/>
                <w:highlight w:val="yellow"/>
                <w:lang w:eastAsia="es-CO"/>
                <w14:ligatures w14:val="none"/>
              </w:rPr>
            </w:pPr>
            <m:oMathPara>
              <m:oMath>
                <m:r>
                  <w:rPr>
                    <w:rFonts w:ascii="Cambria Math" w:eastAsia="Times New Roman" w:hAnsi="Cambria Math" w:cs="Arial"/>
                    <w:kern w:val="0"/>
                    <w:sz w:val="22"/>
                    <w:szCs w:val="22"/>
                    <w:highlight w:val="yellow"/>
                    <w:lang w:eastAsia="es-CO"/>
                    <w14:ligatures w14:val="none"/>
                  </w:rPr>
                  <m:t>-657.414</m:t>
                </m:r>
              </m:oMath>
            </m:oMathPara>
          </w:p>
        </w:tc>
        <w:tc>
          <w:tcPr>
            <w:tcW w:w="0" w:type="auto"/>
            <w:vAlign w:val="center"/>
            <w:hideMark/>
          </w:tcPr>
          <w:p w14:paraId="3DD4AEEC" w14:textId="7D38553F" w:rsidR="00F12C7E" w:rsidRPr="00650218" w:rsidRDefault="00F12C7E" w:rsidP="00F12C7E">
            <w:pPr>
              <w:spacing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2"/>
                <w:szCs w:val="22"/>
                <w:highlight w:val="yellow"/>
                <w:lang w:eastAsia="es-CO"/>
                <w14:ligatures w14:val="none"/>
              </w:rPr>
            </w:pPr>
            <m:oMathPara>
              <m:oMath>
                <m:r>
                  <w:rPr>
                    <w:rFonts w:ascii="Cambria Math" w:eastAsia="Times New Roman" w:hAnsi="Cambria Math" w:cs="Arial"/>
                    <w:kern w:val="0"/>
                    <w:sz w:val="22"/>
                    <w:szCs w:val="22"/>
                    <w:highlight w:val="yellow"/>
                    <w:lang w:eastAsia="es-CO"/>
                    <w14:ligatures w14:val="none"/>
                  </w:rPr>
                  <m:t>-659.419</m:t>
                </m:r>
              </m:oMath>
            </m:oMathPara>
          </w:p>
        </w:tc>
      </w:tr>
      <w:tr w:rsidR="00F12C7E" w:rsidRPr="00650218" w14:paraId="673C6F8E" w14:textId="77777777" w:rsidTr="00711BA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6B593F" w14:textId="77777777" w:rsidR="00F12C7E" w:rsidRPr="00650218" w:rsidRDefault="00F12C7E" w:rsidP="00F12C7E">
            <w:pPr>
              <w:spacing w:after="100" w:afterAutospacing="1"/>
              <w:rPr>
                <w:rFonts w:ascii="Arial" w:eastAsia="Times New Roman" w:hAnsi="Arial" w:cs="Arial"/>
                <w:kern w:val="0"/>
                <w:sz w:val="22"/>
                <w:szCs w:val="22"/>
                <w:highlight w:val="yellow"/>
                <w:lang w:eastAsia="es-CO"/>
                <w14:ligatures w14:val="none"/>
              </w:rPr>
            </w:pPr>
            <w:r w:rsidRPr="00650218">
              <w:rPr>
                <w:rFonts w:ascii="Arial" w:eastAsia="Times New Roman" w:hAnsi="Arial" w:cs="Arial"/>
                <w:b/>
                <w:bCs/>
                <w:kern w:val="0"/>
                <w:sz w:val="22"/>
                <w:szCs w:val="22"/>
                <w:highlight w:val="yellow"/>
                <w:lang w:eastAsia="es-CO"/>
                <w14:ligatures w14:val="none"/>
              </w:rPr>
              <w:t>Criterio de Información de Akaike (AIC)</w:t>
            </w:r>
          </w:p>
        </w:tc>
        <w:tc>
          <w:tcPr>
            <w:tcW w:w="0" w:type="auto"/>
            <w:vAlign w:val="center"/>
            <w:hideMark/>
          </w:tcPr>
          <w:p w14:paraId="194B874D" w14:textId="1ABC8550" w:rsidR="00F12C7E" w:rsidRPr="00650218" w:rsidRDefault="00F12C7E" w:rsidP="00F12C7E">
            <w:pPr>
              <w:spacing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highlight w:val="yellow"/>
                <w:lang w:eastAsia="es-CO"/>
                <w14:ligatures w14:val="none"/>
              </w:rPr>
            </w:pPr>
            <m:oMathPara>
              <m:oMath>
                <m:r>
                  <w:rPr>
                    <w:rFonts w:ascii="Cambria Math" w:eastAsia="Times New Roman" w:hAnsi="Cambria Math" w:cs="Arial"/>
                    <w:kern w:val="0"/>
                    <w:sz w:val="22"/>
                    <w:szCs w:val="22"/>
                    <w:highlight w:val="yellow"/>
                    <w:lang w:eastAsia="es-CO"/>
                    <w14:ligatures w14:val="none"/>
                  </w:rPr>
                  <m:t>1,338.828</m:t>
                </m:r>
              </m:oMath>
            </m:oMathPara>
          </w:p>
        </w:tc>
        <w:tc>
          <w:tcPr>
            <w:tcW w:w="0" w:type="auto"/>
            <w:vAlign w:val="center"/>
            <w:hideMark/>
          </w:tcPr>
          <w:p w14:paraId="01925E68" w14:textId="03AB659A" w:rsidR="00F12C7E" w:rsidRPr="00650218" w:rsidRDefault="00F12C7E" w:rsidP="00F12C7E">
            <w:pPr>
              <w:spacing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highlight w:val="yellow"/>
                <w:lang w:eastAsia="es-CO"/>
                <w14:ligatures w14:val="none"/>
              </w:rPr>
            </w:pPr>
            <m:oMathPara>
              <m:oMath>
                <m:r>
                  <w:rPr>
                    <w:rFonts w:ascii="Cambria Math" w:eastAsia="Times New Roman" w:hAnsi="Cambria Math" w:cs="Arial"/>
                    <w:kern w:val="0"/>
                    <w:sz w:val="22"/>
                    <w:szCs w:val="22"/>
                    <w:highlight w:val="yellow"/>
                    <w:lang w:eastAsia="es-CO"/>
                    <w14:ligatures w14:val="none"/>
                  </w:rPr>
                  <m:t>1,338.838</m:t>
                </m:r>
              </m:oMath>
            </m:oMathPara>
          </w:p>
        </w:tc>
      </w:tr>
      <w:tr w:rsidR="00F12C7E" w:rsidRPr="00650218" w14:paraId="75475853" w14:textId="77777777" w:rsidTr="00711B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908823" w14:textId="42F7F420" w:rsidR="00F12C7E" w:rsidRPr="00650218" w:rsidRDefault="00F12C7E" w:rsidP="00F12C7E">
            <w:pPr>
              <w:spacing w:after="100" w:afterAutospacing="1"/>
              <w:rPr>
                <w:rFonts w:ascii="Arial" w:eastAsia="Times New Roman" w:hAnsi="Arial" w:cs="Arial"/>
                <w:kern w:val="0"/>
                <w:sz w:val="22"/>
                <w:szCs w:val="22"/>
                <w:highlight w:val="yellow"/>
                <w:lang w:eastAsia="es-CO"/>
                <w14:ligatures w14:val="none"/>
              </w:rPr>
            </w:pPr>
            <w:r w:rsidRPr="00650218">
              <w:rPr>
                <w:rFonts w:ascii="Arial" w:eastAsia="Times New Roman" w:hAnsi="Arial" w:cs="Arial"/>
                <w:b/>
                <w:bCs/>
                <w:kern w:val="0"/>
                <w:sz w:val="22"/>
                <w:szCs w:val="22"/>
                <w:highlight w:val="yellow"/>
                <w:lang w:eastAsia="es-CO"/>
                <w14:ligatures w14:val="none"/>
              </w:rPr>
              <w:t>Varianza Residual (</w:t>
            </w:r>
            <m:oMath>
              <m:sSup>
                <m:sSupPr>
                  <m:ctrlPr>
                    <w:rPr>
                      <w:rFonts w:ascii="Cambria Math" w:eastAsia="Times New Roman" w:hAnsi="Cambria Math" w:cs="Arial"/>
                      <w:kern w:val="0"/>
                      <w:sz w:val="22"/>
                      <w:szCs w:val="22"/>
                      <w:highlight w:val="yellow"/>
                      <w:lang w:eastAsia="es-CO"/>
                      <w14:ligatures w14:val="none"/>
                    </w:rPr>
                  </m:ctrlPr>
                </m:sSupPr>
                <m:e>
                  <m:r>
                    <w:rPr>
                      <w:rFonts w:ascii="Cambria Math" w:eastAsia="Times New Roman" w:hAnsi="Cambria Math" w:cs="Arial"/>
                      <w:kern w:val="0"/>
                      <w:sz w:val="22"/>
                      <w:szCs w:val="22"/>
                      <w:highlight w:val="yellow"/>
                      <w:lang w:eastAsia="es-CO"/>
                      <w14:ligatures w14:val="none"/>
                    </w:rPr>
                    <m:t>σ</m:t>
                  </m:r>
                </m:e>
                <m:sup>
                  <m:r>
                    <w:rPr>
                      <w:rFonts w:ascii="Cambria Math" w:eastAsia="Times New Roman" w:hAnsi="Cambria Math" w:cs="Arial"/>
                      <w:kern w:val="0"/>
                      <w:sz w:val="22"/>
                      <w:szCs w:val="22"/>
                      <w:highlight w:val="yellow"/>
                      <w:lang w:eastAsia="es-CO"/>
                      <w14:ligatures w14:val="none"/>
                    </w:rPr>
                    <m:t>2</m:t>
                  </m:r>
                </m:sup>
              </m:sSup>
            </m:oMath>
            <w:r w:rsidRPr="00650218">
              <w:rPr>
                <w:rFonts w:ascii="Arial" w:eastAsia="Times New Roman" w:hAnsi="Arial" w:cs="Arial"/>
                <w:b/>
                <w:bCs/>
                <w:kern w:val="0"/>
                <w:sz w:val="22"/>
                <w:szCs w:val="22"/>
                <w:highlight w:val="yellow"/>
                <w:lang w:eastAsia="es-CO"/>
                <w14:ligatures w14:val="none"/>
              </w:rPr>
              <w:t>)</w:t>
            </w:r>
          </w:p>
        </w:tc>
        <w:tc>
          <w:tcPr>
            <w:tcW w:w="0" w:type="auto"/>
            <w:vAlign w:val="center"/>
            <w:hideMark/>
          </w:tcPr>
          <w:p w14:paraId="07C354B9" w14:textId="3E0EF4F5" w:rsidR="00F12C7E" w:rsidRPr="00650218" w:rsidRDefault="00F12C7E" w:rsidP="00F12C7E">
            <w:pPr>
              <w:spacing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2"/>
                <w:szCs w:val="22"/>
                <w:highlight w:val="yellow"/>
                <w:lang w:eastAsia="es-CO"/>
                <w14:ligatures w14:val="none"/>
              </w:rPr>
            </w:pPr>
            <m:oMathPara>
              <m:oMath>
                <m:r>
                  <w:rPr>
                    <w:rFonts w:ascii="Cambria Math" w:eastAsia="Times New Roman" w:hAnsi="Cambria Math" w:cs="Arial"/>
                    <w:kern w:val="0"/>
                    <w:sz w:val="22"/>
                    <w:szCs w:val="22"/>
                    <w:highlight w:val="yellow"/>
                    <w:lang w:eastAsia="es-CO"/>
                    <w14:ligatures w14:val="none"/>
                  </w:rPr>
                  <m:t>0.175</m:t>
                </m:r>
              </m:oMath>
            </m:oMathPara>
          </w:p>
        </w:tc>
        <w:tc>
          <w:tcPr>
            <w:tcW w:w="0" w:type="auto"/>
            <w:vAlign w:val="center"/>
            <w:hideMark/>
          </w:tcPr>
          <w:p w14:paraId="6B9604E9" w14:textId="249BB4BC" w:rsidR="00F12C7E" w:rsidRPr="00650218" w:rsidRDefault="00F12C7E" w:rsidP="00F12C7E">
            <w:pPr>
              <w:spacing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2"/>
                <w:szCs w:val="22"/>
                <w:highlight w:val="yellow"/>
                <w:lang w:eastAsia="es-CO"/>
                <w14:ligatures w14:val="none"/>
              </w:rPr>
            </w:pPr>
            <m:oMathPara>
              <m:oMath>
                <m:r>
                  <w:rPr>
                    <w:rFonts w:ascii="Cambria Math" w:eastAsia="Times New Roman" w:hAnsi="Cambria Math" w:cs="Arial"/>
                    <w:kern w:val="0"/>
                    <w:sz w:val="22"/>
                    <w:szCs w:val="22"/>
                    <w:highlight w:val="yellow"/>
                    <w:lang w:eastAsia="es-CO"/>
                    <w14:ligatures w14:val="none"/>
                  </w:rPr>
                  <m:t>0.176</m:t>
                </m:r>
              </m:oMath>
            </m:oMathPara>
          </w:p>
        </w:tc>
      </w:tr>
      <w:tr w:rsidR="00F12C7E" w:rsidRPr="00650218" w14:paraId="63FF45A5" w14:textId="77777777" w:rsidTr="00711BA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1467C1" w14:textId="089810BA" w:rsidR="00F12C7E" w:rsidRPr="00650218" w:rsidRDefault="00F12C7E" w:rsidP="00F12C7E">
            <w:pPr>
              <w:spacing w:after="100" w:afterAutospacing="1"/>
              <w:rPr>
                <w:rFonts w:ascii="Arial" w:eastAsia="Times New Roman" w:hAnsi="Arial" w:cs="Arial"/>
                <w:kern w:val="0"/>
                <w:sz w:val="22"/>
                <w:szCs w:val="22"/>
                <w:highlight w:val="yellow"/>
                <w:lang w:eastAsia="es-CO"/>
                <w14:ligatures w14:val="none"/>
              </w:rPr>
            </w:pPr>
            <w:r w:rsidRPr="00650218">
              <w:rPr>
                <w:rFonts w:ascii="Arial" w:eastAsia="Times New Roman" w:hAnsi="Arial" w:cs="Arial"/>
                <w:b/>
                <w:bCs/>
                <w:kern w:val="0"/>
                <w:sz w:val="22"/>
                <w:szCs w:val="22"/>
                <w:highlight w:val="yellow"/>
                <w:lang w:eastAsia="es-CO"/>
                <w14:ligatures w14:val="none"/>
              </w:rPr>
              <w:t>Parámetro Espacial (</w:t>
            </w:r>
            <m:oMath>
              <m:r>
                <w:rPr>
                  <w:rFonts w:ascii="Cambria Math" w:eastAsia="Times New Roman" w:hAnsi="Cambria Math" w:cs="Arial"/>
                  <w:kern w:val="0"/>
                  <w:sz w:val="22"/>
                  <w:szCs w:val="22"/>
                  <w:highlight w:val="yellow"/>
                  <w:lang w:eastAsia="es-CO"/>
                  <w14:ligatures w14:val="none"/>
                </w:rPr>
                <m:t>ρ</m:t>
              </m:r>
            </m:oMath>
            <w:r w:rsidRPr="00650218">
              <w:rPr>
                <w:rFonts w:ascii="Arial" w:eastAsia="Times New Roman" w:hAnsi="Arial" w:cs="Arial"/>
                <w:b/>
                <w:bCs/>
                <w:kern w:val="0"/>
                <w:sz w:val="22"/>
                <w:szCs w:val="22"/>
                <w:highlight w:val="yellow"/>
                <w:lang w:eastAsia="es-CO"/>
                <w14:ligatures w14:val="none"/>
              </w:rPr>
              <w:t>)</w:t>
            </w:r>
          </w:p>
        </w:tc>
        <w:tc>
          <w:tcPr>
            <w:tcW w:w="0" w:type="auto"/>
            <w:vAlign w:val="center"/>
            <w:hideMark/>
          </w:tcPr>
          <w:p w14:paraId="22DD3DD8" w14:textId="7A8CF293" w:rsidR="00F12C7E" w:rsidRPr="00650218" w:rsidRDefault="00000000" w:rsidP="00F12C7E">
            <w:pPr>
              <w:spacing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highlight w:val="yellow"/>
                <w:lang w:eastAsia="es-CO"/>
                <w14:ligatures w14:val="none"/>
              </w:rPr>
            </w:pPr>
            <m:oMathPara>
              <m:oMath>
                <m:sSup>
                  <m:sSupPr>
                    <m:ctrlPr>
                      <w:rPr>
                        <w:rFonts w:ascii="Cambria Math" w:eastAsia="Times New Roman" w:hAnsi="Cambria Math" w:cs="Arial"/>
                        <w:kern w:val="0"/>
                        <w:sz w:val="22"/>
                        <w:szCs w:val="22"/>
                        <w:highlight w:val="yellow"/>
                        <w:lang w:eastAsia="es-CO"/>
                        <w14:ligatures w14:val="none"/>
                      </w:rPr>
                    </m:ctrlPr>
                  </m:sSupPr>
                  <m:e>
                    <m:r>
                      <w:rPr>
                        <w:rFonts w:ascii="Cambria Math" w:eastAsia="Times New Roman" w:hAnsi="Cambria Math" w:cs="Arial"/>
                        <w:kern w:val="0"/>
                        <w:sz w:val="22"/>
                        <w:szCs w:val="22"/>
                        <w:highlight w:val="yellow"/>
                        <w:lang w:eastAsia="es-CO"/>
                        <w14:ligatures w14:val="none"/>
                      </w:rPr>
                      <m:t>0.6219</m:t>
                    </m:r>
                  </m:e>
                  <m:sup>
                    <m:r>
                      <w:rPr>
                        <w:rFonts w:ascii="Cambria Math" w:eastAsia="Times New Roman" w:hAnsi="Cambria Math" w:cs="Arial"/>
                        <w:kern w:val="0"/>
                        <w:sz w:val="22"/>
                        <w:szCs w:val="22"/>
                        <w:highlight w:val="yellow"/>
                        <w:lang w:eastAsia="es-CO"/>
                        <w14:ligatures w14:val="none"/>
                      </w:rPr>
                      <m:t>***</m:t>
                    </m:r>
                  </m:sup>
                </m:sSup>
              </m:oMath>
            </m:oMathPara>
          </w:p>
        </w:tc>
        <w:tc>
          <w:tcPr>
            <w:tcW w:w="0" w:type="auto"/>
            <w:vAlign w:val="center"/>
            <w:hideMark/>
          </w:tcPr>
          <w:p w14:paraId="1C9A3C12" w14:textId="280ECA23" w:rsidR="00F12C7E" w:rsidRPr="00650218" w:rsidRDefault="00000000" w:rsidP="00F12C7E">
            <w:pPr>
              <w:spacing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highlight w:val="yellow"/>
                <w:lang w:eastAsia="es-CO"/>
                <w14:ligatures w14:val="none"/>
              </w:rPr>
            </w:pPr>
            <m:oMathPara>
              <m:oMath>
                <m:sSup>
                  <m:sSupPr>
                    <m:ctrlPr>
                      <w:rPr>
                        <w:rFonts w:ascii="Cambria Math" w:eastAsia="Times New Roman" w:hAnsi="Cambria Math" w:cs="Arial"/>
                        <w:kern w:val="0"/>
                        <w:sz w:val="22"/>
                        <w:szCs w:val="22"/>
                        <w:highlight w:val="yellow"/>
                        <w:lang w:eastAsia="es-CO"/>
                        <w14:ligatures w14:val="none"/>
                      </w:rPr>
                    </m:ctrlPr>
                  </m:sSupPr>
                  <m:e>
                    <m:r>
                      <w:rPr>
                        <w:rFonts w:ascii="Cambria Math" w:eastAsia="Times New Roman" w:hAnsi="Cambria Math" w:cs="Arial"/>
                        <w:kern w:val="0"/>
                        <w:sz w:val="22"/>
                        <w:szCs w:val="22"/>
                        <w:highlight w:val="yellow"/>
                        <w:lang w:eastAsia="es-CO"/>
                        <w14:ligatures w14:val="none"/>
                      </w:rPr>
                      <m:t>0.6181</m:t>
                    </m:r>
                  </m:e>
                  <m:sup>
                    <m:r>
                      <w:rPr>
                        <w:rFonts w:ascii="Cambria Math" w:eastAsia="Times New Roman" w:hAnsi="Cambria Math" w:cs="Arial"/>
                        <w:kern w:val="0"/>
                        <w:sz w:val="22"/>
                        <w:szCs w:val="22"/>
                        <w:highlight w:val="yellow"/>
                        <w:lang w:eastAsia="es-CO"/>
                        <w14:ligatures w14:val="none"/>
                      </w:rPr>
                      <m:t>***</m:t>
                    </m:r>
                  </m:sup>
                </m:sSup>
              </m:oMath>
            </m:oMathPara>
          </w:p>
        </w:tc>
      </w:tr>
      <w:tr w:rsidR="00F12C7E" w:rsidRPr="00650218" w14:paraId="5BE82AA4" w14:textId="77777777" w:rsidTr="00711B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1FB33E" w14:textId="2F6ABE8D" w:rsidR="00F12C7E" w:rsidRPr="00650218" w:rsidRDefault="00F12C7E" w:rsidP="00F12C7E">
            <w:pPr>
              <w:spacing w:after="100" w:afterAutospacing="1"/>
              <w:rPr>
                <w:rFonts w:ascii="Arial" w:eastAsia="Times New Roman" w:hAnsi="Arial" w:cs="Arial"/>
                <w:kern w:val="0"/>
                <w:sz w:val="22"/>
                <w:szCs w:val="22"/>
                <w:highlight w:val="yellow"/>
                <w:lang w:eastAsia="es-CO"/>
                <w14:ligatures w14:val="none"/>
              </w:rPr>
            </w:pPr>
            <w:r w:rsidRPr="00650218">
              <w:rPr>
                <w:rFonts w:ascii="Arial" w:eastAsia="Times New Roman" w:hAnsi="Arial" w:cs="Arial"/>
                <w:b/>
                <w:bCs/>
                <w:kern w:val="0"/>
                <w:sz w:val="22"/>
                <w:szCs w:val="22"/>
                <w:highlight w:val="yellow"/>
                <w:lang w:eastAsia="es-CO"/>
                <w14:ligatures w14:val="none"/>
              </w:rPr>
              <w:t>Prueba LR de Dependencia Espacial (</w:t>
            </w:r>
            <m:oMath>
              <m:r>
                <w:rPr>
                  <w:rFonts w:ascii="Cambria Math" w:eastAsia="Times New Roman" w:hAnsi="Cambria Math" w:cs="Arial"/>
                  <w:kern w:val="0"/>
                  <w:sz w:val="22"/>
                  <w:szCs w:val="22"/>
                  <w:highlight w:val="yellow"/>
                  <w:lang w:eastAsia="es-CO"/>
                  <w14:ligatures w14:val="none"/>
                </w:rPr>
                <m:t>ρ=0</m:t>
              </m:r>
            </m:oMath>
            <w:r w:rsidRPr="00650218">
              <w:rPr>
                <w:rFonts w:ascii="Arial" w:eastAsia="Times New Roman" w:hAnsi="Arial" w:cs="Arial"/>
                <w:b/>
                <w:bCs/>
                <w:kern w:val="0"/>
                <w:sz w:val="22"/>
                <w:szCs w:val="22"/>
                <w:highlight w:val="yellow"/>
                <w:lang w:eastAsia="es-CO"/>
                <w14:ligatures w14:val="none"/>
              </w:rPr>
              <w:t>)</w:t>
            </w:r>
          </w:p>
        </w:tc>
        <w:tc>
          <w:tcPr>
            <w:tcW w:w="0" w:type="auto"/>
            <w:vAlign w:val="center"/>
            <w:hideMark/>
          </w:tcPr>
          <w:p w14:paraId="022C255F" w14:textId="727C48F2" w:rsidR="00F12C7E" w:rsidRPr="00650218" w:rsidRDefault="00000000" w:rsidP="00F12C7E">
            <w:pPr>
              <w:spacing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2"/>
                <w:szCs w:val="22"/>
                <w:highlight w:val="yellow"/>
                <w:lang w:eastAsia="es-CO"/>
                <w14:ligatures w14:val="none"/>
              </w:rPr>
            </w:pPr>
            <m:oMathPara>
              <m:oMath>
                <m:sSup>
                  <m:sSupPr>
                    <m:ctrlPr>
                      <w:rPr>
                        <w:rFonts w:ascii="Cambria Math" w:eastAsia="Times New Roman" w:hAnsi="Cambria Math" w:cs="Arial"/>
                        <w:kern w:val="0"/>
                        <w:sz w:val="22"/>
                        <w:szCs w:val="22"/>
                        <w:highlight w:val="yellow"/>
                        <w:lang w:eastAsia="es-CO"/>
                        <w14:ligatures w14:val="none"/>
                      </w:rPr>
                    </m:ctrlPr>
                  </m:sSupPr>
                  <m:e>
                    <m:r>
                      <w:rPr>
                        <w:rFonts w:ascii="Cambria Math" w:eastAsia="Times New Roman" w:hAnsi="Cambria Math" w:cs="Arial"/>
                        <w:kern w:val="0"/>
                        <w:sz w:val="22"/>
                        <w:szCs w:val="22"/>
                        <w:highlight w:val="yellow"/>
                        <w:lang w:eastAsia="es-CO"/>
                        <w14:ligatures w14:val="none"/>
                      </w:rPr>
                      <m:t>556.329</m:t>
                    </m:r>
                  </m:e>
                  <m:sup>
                    <m:r>
                      <w:rPr>
                        <w:rFonts w:ascii="Cambria Math" w:eastAsia="Times New Roman" w:hAnsi="Cambria Math" w:cs="Arial"/>
                        <w:kern w:val="0"/>
                        <w:sz w:val="22"/>
                        <w:szCs w:val="22"/>
                        <w:highlight w:val="yellow"/>
                        <w:lang w:eastAsia="es-CO"/>
                        <w14:ligatures w14:val="none"/>
                      </w:rPr>
                      <m:t>***</m:t>
                    </m:r>
                  </m:sup>
                </m:sSup>
              </m:oMath>
            </m:oMathPara>
          </w:p>
        </w:tc>
        <w:tc>
          <w:tcPr>
            <w:tcW w:w="0" w:type="auto"/>
            <w:vAlign w:val="center"/>
            <w:hideMark/>
          </w:tcPr>
          <w:p w14:paraId="72A26ACD" w14:textId="1A052ED6" w:rsidR="00F12C7E" w:rsidRPr="00650218" w:rsidRDefault="00000000" w:rsidP="00F12C7E">
            <w:pPr>
              <w:spacing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2"/>
                <w:szCs w:val="22"/>
                <w:highlight w:val="yellow"/>
                <w:lang w:eastAsia="es-CO"/>
                <w14:ligatures w14:val="none"/>
              </w:rPr>
            </w:pPr>
            <m:oMathPara>
              <m:oMath>
                <m:sSup>
                  <m:sSupPr>
                    <m:ctrlPr>
                      <w:rPr>
                        <w:rFonts w:ascii="Cambria Math" w:eastAsia="Times New Roman" w:hAnsi="Cambria Math" w:cs="Arial"/>
                        <w:kern w:val="0"/>
                        <w:sz w:val="22"/>
                        <w:szCs w:val="22"/>
                        <w:highlight w:val="yellow"/>
                        <w:lang w:eastAsia="es-CO"/>
                        <w14:ligatures w14:val="none"/>
                      </w:rPr>
                    </m:ctrlPr>
                  </m:sSupPr>
                  <m:e>
                    <m:r>
                      <w:rPr>
                        <w:rFonts w:ascii="Cambria Math" w:eastAsia="Times New Roman" w:hAnsi="Cambria Math" w:cs="Arial"/>
                        <w:kern w:val="0"/>
                        <w:sz w:val="22"/>
                        <w:szCs w:val="22"/>
                        <w:highlight w:val="yellow"/>
                        <w:lang w:eastAsia="es-CO"/>
                        <w14:ligatures w14:val="none"/>
                      </w:rPr>
                      <m:t>554.070</m:t>
                    </m:r>
                  </m:e>
                  <m:sup>
                    <m:r>
                      <w:rPr>
                        <w:rFonts w:ascii="Cambria Math" w:eastAsia="Times New Roman" w:hAnsi="Cambria Math" w:cs="Arial"/>
                        <w:kern w:val="0"/>
                        <w:sz w:val="22"/>
                        <w:szCs w:val="22"/>
                        <w:highlight w:val="yellow"/>
                        <w:lang w:eastAsia="es-CO"/>
                        <w14:ligatures w14:val="none"/>
                      </w:rPr>
                      <m:t>***</m:t>
                    </m:r>
                  </m:sup>
                </m:sSup>
              </m:oMath>
            </m:oMathPara>
          </w:p>
        </w:tc>
      </w:tr>
    </w:tbl>
    <w:p w14:paraId="18CD508C" w14:textId="77777777" w:rsidR="00F12C7E" w:rsidRPr="00650218" w:rsidRDefault="00F12C7E" w:rsidP="00F12C7E">
      <w:pPr>
        <w:spacing w:after="100" w:afterAutospacing="1" w:line="240" w:lineRule="auto"/>
        <w:rPr>
          <w:rFonts w:ascii="Arial" w:eastAsia="Times New Roman" w:hAnsi="Arial" w:cs="Arial"/>
          <w:kern w:val="0"/>
          <w:sz w:val="22"/>
          <w:szCs w:val="22"/>
          <w:highlight w:val="yellow"/>
          <w:lang w:eastAsia="es-CO"/>
          <w14:ligatures w14:val="none"/>
        </w:rPr>
      </w:pPr>
    </w:p>
    <w:p w14:paraId="4F37EDE3" w14:textId="77777777" w:rsidR="00F12C7E" w:rsidRPr="00650218" w:rsidRDefault="00F12C7E" w:rsidP="00F12C7E">
      <w:pPr>
        <w:spacing w:after="100" w:afterAutospacing="1" w:line="240" w:lineRule="auto"/>
        <w:rPr>
          <w:rFonts w:ascii="Arial" w:eastAsia="Times New Roman" w:hAnsi="Arial" w:cs="Arial"/>
          <w:kern w:val="0"/>
          <w:sz w:val="22"/>
          <w:szCs w:val="22"/>
          <w:highlight w:val="yellow"/>
          <w:lang w:eastAsia="es-CO"/>
          <w14:ligatures w14:val="none"/>
        </w:rPr>
      </w:pPr>
      <w:r w:rsidRPr="00650218">
        <w:rPr>
          <w:rFonts w:ascii="Arial" w:eastAsia="Times New Roman" w:hAnsi="Arial" w:cs="Arial"/>
          <w:kern w:val="0"/>
          <w:sz w:val="22"/>
          <w:szCs w:val="22"/>
          <w:highlight w:val="yellow"/>
          <w:lang w:eastAsia="es-CO"/>
          <w14:ligatures w14:val="none"/>
        </w:rPr>
        <w:t xml:space="preserve">Como se aprecia en la tabla comparativa, la transición del Modelo 1 al Modelo 2 mantiene la efectividad teórica y estadística del modelo: la pérdida de verosimilitud es estadísticamente insignificante y la diferencia en el criterio AIC es menor a </w:t>
      </w:r>
      <m:oMath>
        <m:r>
          <w:rPr>
            <w:rFonts w:ascii="Cambria Math" w:eastAsia="Times New Roman" w:hAnsi="Cambria Math" w:cs="Arial"/>
            <w:kern w:val="0"/>
            <w:sz w:val="22"/>
            <w:szCs w:val="22"/>
            <w:highlight w:val="yellow"/>
            <w:lang w:eastAsia="es-CO"/>
            <w14:ligatures w14:val="none"/>
          </w:rPr>
          <m:t>0.01</m:t>
        </m:r>
      </m:oMath>
      <w:r w:rsidRPr="00650218">
        <w:rPr>
          <w:rFonts w:ascii="Arial" w:eastAsia="Times New Roman" w:hAnsi="Arial" w:cs="Arial"/>
          <w:kern w:val="0"/>
          <w:sz w:val="22"/>
          <w:szCs w:val="22"/>
          <w:highlight w:val="yellow"/>
          <w:lang w:eastAsia="es-CO"/>
          <w14:ligatures w14:val="none"/>
        </w:rPr>
        <w:t xml:space="preserve"> puntos (</w:t>
      </w:r>
      <m:oMath>
        <m:r>
          <w:rPr>
            <w:rFonts w:ascii="Cambria Math" w:eastAsia="Times New Roman" w:hAnsi="Cambria Math" w:cs="Arial"/>
            <w:kern w:val="0"/>
            <w:sz w:val="22"/>
            <w:szCs w:val="22"/>
            <w:highlight w:val="yellow"/>
            <w:lang w:eastAsia="es-CO"/>
            <w14:ligatures w14:val="none"/>
          </w:rPr>
          <m:t>1,338.828</m:t>
        </m:r>
      </m:oMath>
      <w:r w:rsidRPr="00650218">
        <w:rPr>
          <w:rFonts w:ascii="Arial" w:eastAsia="Times New Roman" w:hAnsi="Arial" w:cs="Arial"/>
          <w:kern w:val="0"/>
          <w:sz w:val="22"/>
          <w:szCs w:val="22"/>
          <w:highlight w:val="yellow"/>
          <w:lang w:eastAsia="es-CO"/>
          <w14:ligatures w14:val="none"/>
        </w:rPr>
        <w:t xml:space="preserve"> vs. </w:t>
      </w:r>
      <m:oMath>
        <m:r>
          <w:rPr>
            <w:rFonts w:ascii="Cambria Math" w:eastAsia="Times New Roman" w:hAnsi="Cambria Math" w:cs="Arial"/>
            <w:kern w:val="0"/>
            <w:sz w:val="22"/>
            <w:szCs w:val="22"/>
            <w:highlight w:val="yellow"/>
            <w:lang w:eastAsia="es-CO"/>
            <w14:ligatures w14:val="none"/>
          </w:rPr>
          <m:t>1,338.838</m:t>
        </m:r>
      </m:oMath>
      <w:r w:rsidRPr="00650218">
        <w:rPr>
          <w:rFonts w:ascii="Arial" w:eastAsia="Times New Roman" w:hAnsi="Arial" w:cs="Arial"/>
          <w:kern w:val="0"/>
          <w:sz w:val="22"/>
          <w:szCs w:val="22"/>
          <w:highlight w:val="yellow"/>
          <w:lang w:eastAsia="es-CO"/>
          <w14:ligatures w14:val="none"/>
        </w:rPr>
        <w:t>). Asimismo, el parámetro autorregresivo espacial se mantiene sólido y estable (</w:t>
      </w:r>
      <m:oMath>
        <m:r>
          <w:rPr>
            <w:rFonts w:ascii="Cambria Math" w:eastAsia="Times New Roman" w:hAnsi="Cambria Math" w:cs="Arial"/>
            <w:kern w:val="0"/>
            <w:sz w:val="22"/>
            <w:szCs w:val="22"/>
            <w:highlight w:val="yellow"/>
            <w:lang w:eastAsia="es-CO"/>
            <w14:ligatures w14:val="none"/>
          </w:rPr>
          <m:t>ρ=0.6181</m:t>
        </m:r>
      </m:oMath>
      <w:r w:rsidRPr="00650218">
        <w:rPr>
          <w:rFonts w:ascii="Arial" w:eastAsia="Times New Roman" w:hAnsi="Arial" w:cs="Arial"/>
          <w:kern w:val="0"/>
          <w:sz w:val="22"/>
          <w:szCs w:val="22"/>
          <w:highlight w:val="yellow"/>
          <w:lang w:eastAsia="es-CO"/>
          <w14:ligatures w14:val="none"/>
        </w:rPr>
        <w:t>), confirmando que más del 61% del valor del logit del IPM en un municipio está condicionado por los niveles de pobreza de sus vecinos geográficos.</w:t>
      </w:r>
    </w:p>
    <w:p w14:paraId="3341BDA5" w14:textId="331000E3" w:rsidR="00F12C7E" w:rsidRPr="00711BAD" w:rsidRDefault="00F12C7E" w:rsidP="00F12C7E">
      <w:pPr>
        <w:spacing w:after="100" w:afterAutospacing="1" w:line="240" w:lineRule="auto"/>
        <w:rPr>
          <w:rFonts w:ascii="Arial" w:eastAsia="Times New Roman" w:hAnsi="Arial" w:cs="Arial"/>
          <w:kern w:val="0"/>
          <w:sz w:val="22"/>
          <w:szCs w:val="22"/>
          <w:lang w:eastAsia="es-CO"/>
          <w14:ligatures w14:val="none"/>
        </w:rPr>
      </w:pPr>
      <w:r w:rsidRPr="00650218">
        <w:rPr>
          <w:rFonts w:ascii="Arial" w:eastAsia="Times New Roman" w:hAnsi="Arial" w:cs="Arial"/>
          <w:kern w:val="0"/>
          <w:sz w:val="22"/>
          <w:szCs w:val="22"/>
          <w:highlight w:val="yellow"/>
          <w:lang w:eastAsia="es-CO"/>
          <w14:ligatures w14:val="none"/>
        </w:rPr>
        <w:t xml:space="preserve">Por estas razones, el </w:t>
      </w:r>
      <w:r w:rsidRPr="00650218">
        <w:rPr>
          <w:rFonts w:ascii="Arial" w:eastAsia="Times New Roman" w:hAnsi="Arial" w:cs="Arial"/>
          <w:b/>
          <w:bCs/>
          <w:kern w:val="0"/>
          <w:sz w:val="22"/>
          <w:szCs w:val="22"/>
          <w:highlight w:val="yellow"/>
          <w:lang w:eastAsia="es-CO"/>
          <w14:ligatures w14:val="none"/>
        </w:rPr>
        <w:t>Modelo 2</w:t>
      </w:r>
      <w:r w:rsidRPr="00650218">
        <w:rPr>
          <w:rFonts w:ascii="Arial" w:eastAsia="Times New Roman" w:hAnsi="Arial" w:cs="Arial"/>
          <w:kern w:val="0"/>
          <w:sz w:val="22"/>
          <w:szCs w:val="22"/>
          <w:highlight w:val="yellow"/>
          <w:lang w:eastAsia="es-CO"/>
          <w14:ligatures w14:val="none"/>
        </w:rPr>
        <w:t xml:space="preserve"> se consolida como una especificación estructural óptima para representar la dinámica del IPM en 2018.</w:t>
      </w:r>
    </w:p>
    <w:p w14:paraId="7466DE5B" w14:textId="77777777" w:rsidR="009929E3" w:rsidRDefault="009929E3" w:rsidP="00711BAD">
      <w:pPr>
        <w:rPr>
          <w:rFonts w:ascii="Arial" w:eastAsia="Times New Roman" w:hAnsi="Arial" w:cs="Arial"/>
          <w:b/>
          <w:bCs/>
          <w:kern w:val="0"/>
          <w:sz w:val="22"/>
          <w:szCs w:val="22"/>
          <w:lang w:eastAsia="es-CO"/>
          <w14:ligatures w14:val="none"/>
        </w:rPr>
      </w:pPr>
    </w:p>
    <w:p w14:paraId="5FE8695D" w14:textId="77777777" w:rsidR="009929E3" w:rsidRDefault="009929E3" w:rsidP="00711BAD">
      <w:pPr>
        <w:rPr>
          <w:rFonts w:ascii="Arial" w:eastAsia="Times New Roman" w:hAnsi="Arial" w:cs="Arial"/>
          <w:b/>
          <w:bCs/>
          <w:kern w:val="0"/>
          <w:sz w:val="22"/>
          <w:szCs w:val="22"/>
          <w:lang w:eastAsia="es-CO"/>
          <w14:ligatures w14:val="none"/>
        </w:rPr>
      </w:pPr>
    </w:p>
    <w:p w14:paraId="27F75ED3" w14:textId="77777777" w:rsidR="009929E3" w:rsidRDefault="009929E3" w:rsidP="00711BAD">
      <w:pPr>
        <w:rPr>
          <w:rFonts w:ascii="Arial" w:eastAsia="Times New Roman" w:hAnsi="Arial" w:cs="Arial"/>
          <w:b/>
          <w:bCs/>
          <w:kern w:val="0"/>
          <w:sz w:val="22"/>
          <w:szCs w:val="22"/>
          <w:lang w:eastAsia="es-CO"/>
          <w14:ligatures w14:val="none"/>
        </w:rPr>
      </w:pPr>
    </w:p>
    <w:p w14:paraId="29EAEE66" w14:textId="77777777" w:rsidR="00650218" w:rsidRDefault="00650218" w:rsidP="00711BAD">
      <w:pPr>
        <w:rPr>
          <w:rFonts w:ascii="Arial" w:eastAsia="Times New Roman" w:hAnsi="Arial" w:cs="Arial"/>
          <w:b/>
          <w:bCs/>
          <w:kern w:val="0"/>
          <w:sz w:val="22"/>
          <w:szCs w:val="22"/>
          <w:lang w:eastAsia="es-CO"/>
          <w14:ligatures w14:val="none"/>
        </w:rPr>
      </w:pPr>
    </w:p>
    <w:p w14:paraId="0D1735D5" w14:textId="77777777" w:rsidR="00650218" w:rsidRDefault="00650218" w:rsidP="00711BAD">
      <w:pPr>
        <w:rPr>
          <w:rFonts w:ascii="Arial" w:eastAsia="Times New Roman" w:hAnsi="Arial" w:cs="Arial"/>
          <w:b/>
          <w:bCs/>
          <w:kern w:val="0"/>
          <w:sz w:val="22"/>
          <w:szCs w:val="22"/>
          <w:lang w:eastAsia="es-CO"/>
          <w14:ligatures w14:val="none"/>
        </w:rPr>
      </w:pPr>
    </w:p>
    <w:p w14:paraId="0F3BFA35" w14:textId="77777777" w:rsidR="00650218" w:rsidRDefault="00650218" w:rsidP="00711BAD">
      <w:pPr>
        <w:rPr>
          <w:rFonts w:ascii="Arial" w:eastAsia="Times New Roman" w:hAnsi="Arial" w:cs="Arial"/>
          <w:b/>
          <w:bCs/>
          <w:kern w:val="0"/>
          <w:sz w:val="22"/>
          <w:szCs w:val="22"/>
          <w:lang w:eastAsia="es-CO"/>
          <w14:ligatures w14:val="none"/>
        </w:rPr>
      </w:pPr>
    </w:p>
    <w:p w14:paraId="79F7664F" w14:textId="77777777" w:rsidR="00650218" w:rsidRPr="00650218" w:rsidRDefault="00650218" w:rsidP="00650218">
      <w:pPr>
        <w:spacing w:after="100" w:afterAutospacing="1" w:line="240" w:lineRule="auto"/>
        <w:rPr>
          <w:rFonts w:ascii="Arial" w:eastAsia="Times New Roman" w:hAnsi="Arial" w:cs="Arial"/>
          <w:kern w:val="0"/>
          <w:lang w:eastAsia="es-CO"/>
          <w14:ligatures w14:val="none"/>
        </w:rPr>
      </w:pPr>
      <w:r w:rsidRPr="00650218">
        <w:rPr>
          <w:rFonts w:ascii="Arial" w:eastAsia="Times New Roman" w:hAnsi="Arial" w:cs="Arial"/>
          <w:kern w:val="0"/>
          <w:lang w:eastAsia="es-CO"/>
          <w14:ligatures w14:val="none"/>
        </w:rPr>
        <w:lastRenderedPageBreak/>
        <w:t>La validez econométrica del Modelo 3 (SAR) se evaluó mediante la verificación sistemática de los supuestos sobre los errores, la multicolinealidad y la estructura espacial residual:</w:t>
      </w:r>
    </w:p>
    <w:p w14:paraId="43938CAF" w14:textId="59CE8BF1" w:rsidR="00650218" w:rsidRDefault="00650218" w:rsidP="00650218">
      <w:pPr>
        <w:numPr>
          <w:ilvl w:val="0"/>
          <w:numId w:val="34"/>
        </w:numPr>
        <w:spacing w:after="100" w:afterAutospacing="1" w:line="240" w:lineRule="auto"/>
        <w:rPr>
          <w:rFonts w:ascii="Arial" w:eastAsia="Times New Roman" w:hAnsi="Arial" w:cs="Arial"/>
          <w:kern w:val="0"/>
          <w:lang w:eastAsia="es-CO"/>
          <w14:ligatures w14:val="none"/>
        </w:rPr>
      </w:pPr>
      <w:r w:rsidRPr="00650218">
        <w:rPr>
          <w:rFonts w:ascii="Arial" w:eastAsia="Times New Roman" w:hAnsi="Arial" w:cs="Arial"/>
          <w:b/>
          <w:bCs/>
          <w:kern w:val="0"/>
          <w:lang w:eastAsia="es-CO"/>
          <w14:ligatures w14:val="none"/>
        </w:rPr>
        <w:t>Ausencia de Multicolinealidad:</w:t>
      </w:r>
      <w:r w:rsidRPr="00650218">
        <w:rPr>
          <w:rFonts w:ascii="Arial" w:eastAsia="Times New Roman" w:hAnsi="Arial" w:cs="Arial"/>
          <w:kern w:val="0"/>
          <w:lang w:eastAsia="es-CO"/>
          <w14:ligatures w14:val="none"/>
        </w:rPr>
        <w:t xml:space="preserve"> La evaluación de los Factores de Inflación de la Varianza (VIF) confirma la ausencia de multicolinealidad severa entre las covariables seleccionadas. Todos los valores VIF se ubican en un rango entre </w:t>
      </w:r>
      <w:r w:rsidRPr="00650218">
        <w:rPr>
          <w:rFonts w:ascii="Arial" w:eastAsia="Times New Roman" w:hAnsi="Arial" w:cs="Arial"/>
          <w:b/>
          <w:bCs/>
          <w:kern w:val="0"/>
          <w:lang w:eastAsia="es-CO"/>
          <w14:ligatures w14:val="none"/>
        </w:rPr>
        <w:t>1.01 y 1.80</w:t>
      </w:r>
      <w:r w:rsidRPr="00650218">
        <w:rPr>
          <w:rFonts w:ascii="Arial" w:eastAsia="Times New Roman" w:hAnsi="Arial" w:cs="Arial"/>
          <w:kern w:val="0"/>
          <w:lang w:eastAsia="es-CO"/>
          <w14:ligatures w14:val="none"/>
        </w:rPr>
        <w:t xml:space="preserve"> (significativamente por debajo del umbral crítico tradicional de 5 o 10). La variable con mayor VIF corresponde a </w:t>
      </w:r>
      <w:r w:rsidRPr="00650218">
        <w:rPr>
          <w:rFonts w:ascii="Arial" w:eastAsia="Times New Roman" w:hAnsi="Arial" w:cs="Arial"/>
          <w:kern w:val="0"/>
          <w:sz w:val="20"/>
          <w:szCs w:val="20"/>
          <w:lang w:eastAsia="es-CO"/>
          <w14:ligatures w14:val="none"/>
        </w:rPr>
        <w:t>pct_subsidiado</w:t>
      </w:r>
      <w:r w:rsidRPr="00650218">
        <w:rPr>
          <w:rFonts w:ascii="Arial" w:eastAsia="Times New Roman" w:hAnsi="Arial" w:cs="Arial"/>
          <w:kern w:val="0"/>
          <w:lang w:eastAsia="es-CO"/>
          <w14:ligatures w14:val="none"/>
        </w:rPr>
        <w:t xml:space="preserve"> (1.80), lo que demuestra estabilidad en los coeficientes estimados y baja correlación lineal entre los regresores.</w:t>
      </w:r>
    </w:p>
    <w:p w14:paraId="6F01E492" w14:textId="77777777" w:rsidR="00376BBE" w:rsidRDefault="00376BBE" w:rsidP="00376BBE">
      <w:pPr>
        <w:pStyle w:val="HTMLconformatoprevio"/>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tasa_matriculacion_5_16  infraestructura_basica   mortalidad_infantil_1               log_viirs </w:t>
      </w:r>
    </w:p>
    <w:p w14:paraId="36AAA67B" w14:textId="54C6E3CE" w:rsidR="00376BBE" w:rsidRPr="00376BBE" w:rsidRDefault="00376BBE" w:rsidP="00376BBE">
      <w:pPr>
        <w:pStyle w:val="HTMLconformatoprevio"/>
        <w:shd w:val="clear" w:color="auto" w:fill="FFFFFF"/>
        <w:wordWrap w:val="0"/>
        <w:spacing w:line="240" w:lineRule="atLeast"/>
        <w:rPr>
          <w:rStyle w:val="gnj4oy0ck5b"/>
          <w:rFonts w:ascii="Lucida Console" w:hAnsi="Lucida Console"/>
          <w:color w:val="000000"/>
          <w:bdr w:val="none" w:sz="0" w:space="0" w:color="auto" w:frame="1"/>
          <w:lang w:val="en-US"/>
        </w:rPr>
      </w:pPr>
      <w:r>
        <w:rPr>
          <w:rStyle w:val="gnj4oy0ck5b"/>
          <w:rFonts w:ascii="Lucida Console" w:hAnsi="Lucida Console"/>
          <w:color w:val="000000"/>
          <w:bdr w:val="none" w:sz="0" w:space="0" w:color="auto" w:frame="1"/>
        </w:rPr>
        <w:t xml:space="preserve">       </w:t>
      </w:r>
      <w:r w:rsidRPr="00376BBE">
        <w:rPr>
          <w:rStyle w:val="gnj4oy0ck5b"/>
          <w:rFonts w:ascii="Lucida Console" w:hAnsi="Lucida Console"/>
          <w:color w:val="000000"/>
          <w:bdr w:val="none" w:sz="0" w:space="0" w:color="auto" w:frame="1"/>
          <w:lang w:val="en-US"/>
        </w:rPr>
        <w:t xml:space="preserve">1.130815                1.250434                1.041539                1.755930 </w:t>
      </w:r>
    </w:p>
    <w:p w14:paraId="4BC196D2" w14:textId="77777777" w:rsidR="00376BBE" w:rsidRPr="00376BBE" w:rsidRDefault="00376BBE" w:rsidP="00376BBE">
      <w:pPr>
        <w:pStyle w:val="HTMLconformatoprevio"/>
        <w:shd w:val="clear" w:color="auto" w:fill="FFFFFF"/>
        <w:wordWrap w:val="0"/>
        <w:spacing w:line="240" w:lineRule="atLeast"/>
        <w:rPr>
          <w:rStyle w:val="gnj4oy0ck5b"/>
          <w:rFonts w:ascii="Lucida Console" w:hAnsi="Lucida Console"/>
          <w:color w:val="000000"/>
          <w:bdr w:val="none" w:sz="0" w:space="0" w:color="auto" w:frame="1"/>
          <w:lang w:val="en-US"/>
        </w:rPr>
      </w:pPr>
      <w:r w:rsidRPr="00376BBE">
        <w:rPr>
          <w:rStyle w:val="gnj4oy0ck5b"/>
          <w:rFonts w:ascii="Lucida Console" w:hAnsi="Lucida Console"/>
          <w:color w:val="000000"/>
          <w:bdr w:val="none" w:sz="0" w:space="0" w:color="auto" w:frame="1"/>
          <w:lang w:val="en-US"/>
        </w:rPr>
        <w:t xml:space="preserve">         pct_subsidiado              ICEE_rural                   rmm42 </w:t>
      </w:r>
    </w:p>
    <w:p w14:paraId="5CC3E3D5" w14:textId="77777777" w:rsidR="00376BBE" w:rsidRPr="00376BBE" w:rsidRDefault="00376BBE" w:rsidP="00376BBE">
      <w:pPr>
        <w:pStyle w:val="HTMLconformatoprevio"/>
        <w:shd w:val="clear" w:color="auto" w:fill="FFFFFF"/>
        <w:wordWrap w:val="0"/>
        <w:spacing w:line="240" w:lineRule="atLeast"/>
        <w:rPr>
          <w:rFonts w:ascii="Lucida Console" w:hAnsi="Lucida Console"/>
          <w:color w:val="000000"/>
          <w:lang w:val="en-US"/>
        </w:rPr>
      </w:pPr>
      <w:r w:rsidRPr="00376BBE">
        <w:rPr>
          <w:rStyle w:val="gnj4oy0ck5b"/>
          <w:rFonts w:ascii="Lucida Console" w:hAnsi="Lucida Console"/>
          <w:color w:val="000000"/>
          <w:bdr w:val="none" w:sz="0" w:space="0" w:color="auto" w:frame="1"/>
          <w:lang w:val="en-US"/>
        </w:rPr>
        <w:t xml:space="preserve">               1.802474                1.184417                1.012768 </w:t>
      </w:r>
    </w:p>
    <w:p w14:paraId="75D8264F" w14:textId="77777777" w:rsidR="00650218" w:rsidRPr="00376BBE" w:rsidRDefault="00650218" w:rsidP="00376BBE">
      <w:pPr>
        <w:spacing w:after="100" w:afterAutospacing="1" w:line="240" w:lineRule="auto"/>
        <w:ind w:left="720"/>
        <w:jc w:val="center"/>
        <w:rPr>
          <w:rFonts w:ascii="Arial" w:eastAsia="Times New Roman" w:hAnsi="Arial" w:cs="Arial"/>
          <w:kern w:val="0"/>
          <w:lang w:val="en-US" w:eastAsia="es-CO"/>
          <w14:ligatures w14:val="none"/>
        </w:rPr>
      </w:pPr>
    </w:p>
    <w:p w14:paraId="231F4AC7" w14:textId="77777777" w:rsidR="00650218" w:rsidRPr="00650218" w:rsidRDefault="00650218" w:rsidP="00650218">
      <w:pPr>
        <w:numPr>
          <w:ilvl w:val="0"/>
          <w:numId w:val="34"/>
        </w:numPr>
        <w:spacing w:after="100" w:afterAutospacing="1" w:line="240" w:lineRule="auto"/>
        <w:rPr>
          <w:rFonts w:ascii="Arial" w:eastAsia="Times New Roman" w:hAnsi="Arial" w:cs="Arial"/>
          <w:kern w:val="0"/>
          <w:lang w:eastAsia="es-CO"/>
          <w14:ligatures w14:val="none"/>
        </w:rPr>
      </w:pPr>
      <w:r w:rsidRPr="00650218">
        <w:rPr>
          <w:rFonts w:ascii="Arial" w:eastAsia="Times New Roman" w:hAnsi="Arial" w:cs="Arial"/>
          <w:b/>
          <w:bCs/>
          <w:kern w:val="0"/>
          <w:lang w:eastAsia="es-CO"/>
          <w14:ligatures w14:val="none"/>
        </w:rPr>
        <w:t>Independencia Espacial Residual (Prueba de Moran):</w:t>
      </w:r>
      <w:r w:rsidRPr="00650218">
        <w:rPr>
          <w:rFonts w:ascii="Arial" w:eastAsia="Times New Roman" w:hAnsi="Arial" w:cs="Arial"/>
          <w:kern w:val="0"/>
          <w:lang w:eastAsia="es-CO"/>
          <w14:ligatures w14:val="none"/>
        </w:rPr>
        <w:t xml:space="preserve"> La aplicación de la prueba de Monte Carlo para el Índice de Moran sobre los residuos del modelo arrojó un estadístico </w:t>
      </w:r>
      <m:oMath>
        <m:r>
          <w:rPr>
            <w:rFonts w:ascii="Cambria Math" w:eastAsia="Times New Roman" w:hAnsi="Cambria Math" w:cs="Arial"/>
            <w:kern w:val="0"/>
            <w:lang w:eastAsia="es-CO"/>
            <w14:ligatures w14:val="none"/>
          </w:rPr>
          <m:t>I=0.0275</m:t>
        </m:r>
      </m:oMath>
      <w:r w:rsidRPr="00650218">
        <w:rPr>
          <w:rFonts w:ascii="Arial" w:eastAsia="Times New Roman" w:hAnsi="Arial" w:cs="Arial"/>
          <w:kern w:val="0"/>
          <w:lang w:eastAsia="es-CO"/>
          <w14:ligatures w14:val="none"/>
        </w:rPr>
        <w:t xml:space="preserve"> con un valor </w:t>
      </w:r>
      <m:oMath>
        <m:r>
          <w:rPr>
            <w:rFonts w:ascii="Cambria Math" w:eastAsia="Times New Roman" w:hAnsi="Cambria Math" w:cs="Arial"/>
            <w:kern w:val="0"/>
            <w:lang w:eastAsia="es-CO"/>
            <w14:ligatures w14:val="none"/>
          </w:rPr>
          <m:t>p=0.052</m:t>
        </m:r>
      </m:oMath>
      <w:r w:rsidRPr="00650218">
        <w:rPr>
          <w:rFonts w:ascii="Arial" w:eastAsia="Times New Roman" w:hAnsi="Arial" w:cs="Arial"/>
          <w:kern w:val="0"/>
          <w:lang w:eastAsia="es-CO"/>
          <w14:ligatures w14:val="none"/>
        </w:rPr>
        <w:t xml:space="preserve">. Al ser el valor </w:t>
      </w:r>
      <m:oMath>
        <m:r>
          <w:rPr>
            <w:rFonts w:ascii="Cambria Math" w:eastAsia="Times New Roman" w:hAnsi="Cambria Math" w:cs="Arial"/>
            <w:kern w:val="0"/>
            <w:lang w:eastAsia="es-CO"/>
            <w14:ligatures w14:val="none"/>
          </w:rPr>
          <m:t>p</m:t>
        </m:r>
      </m:oMath>
      <w:r w:rsidRPr="00650218">
        <w:rPr>
          <w:rFonts w:ascii="Arial" w:eastAsia="Times New Roman" w:hAnsi="Arial" w:cs="Arial"/>
          <w:kern w:val="0"/>
          <w:lang w:eastAsia="es-CO"/>
          <w14:ligatures w14:val="none"/>
        </w:rPr>
        <w:t xml:space="preserve"> superior al nivel de significancia del 5% (</w:t>
      </w:r>
      <m:oMath>
        <m:r>
          <w:rPr>
            <w:rFonts w:ascii="Cambria Math" w:eastAsia="Times New Roman" w:hAnsi="Cambria Math" w:cs="Arial"/>
            <w:kern w:val="0"/>
            <w:lang w:eastAsia="es-CO"/>
            <w14:ligatures w14:val="none"/>
          </w:rPr>
          <m:t>α=0.05</m:t>
        </m:r>
      </m:oMath>
      <w:r w:rsidRPr="00650218">
        <w:rPr>
          <w:rFonts w:ascii="Arial" w:eastAsia="Times New Roman" w:hAnsi="Arial" w:cs="Arial"/>
          <w:kern w:val="0"/>
          <w:lang w:eastAsia="es-CO"/>
          <w14:ligatures w14:val="none"/>
        </w:rPr>
        <w:t>), no se rechaza la hipótesis nula (</w:t>
      </w:r>
      <m:oMath>
        <m:sSub>
          <m:sSubPr>
            <m:ctrlPr>
              <w:rPr>
                <w:rFonts w:ascii="Cambria Math" w:eastAsia="Times New Roman" w:hAnsi="Cambria Math" w:cs="Arial"/>
                <w:kern w:val="0"/>
                <w:lang w:eastAsia="es-CO"/>
                <w14:ligatures w14:val="none"/>
              </w:rPr>
            </m:ctrlPr>
          </m:sSubPr>
          <m:e>
            <m:r>
              <w:rPr>
                <w:rFonts w:ascii="Cambria Math" w:eastAsia="Times New Roman" w:hAnsi="Cambria Math" w:cs="Arial"/>
                <w:kern w:val="0"/>
                <w:lang w:eastAsia="es-CO"/>
                <w14:ligatures w14:val="none"/>
              </w:rPr>
              <m:t>H</m:t>
            </m:r>
          </m:e>
          <m:sub>
            <m:r>
              <w:rPr>
                <w:rFonts w:ascii="Cambria Math" w:eastAsia="Times New Roman" w:hAnsi="Cambria Math" w:cs="Arial"/>
                <w:kern w:val="0"/>
                <w:lang w:eastAsia="es-CO"/>
                <w14:ligatures w14:val="none"/>
              </w:rPr>
              <m:t>0</m:t>
            </m:r>
          </m:sub>
        </m:sSub>
      </m:oMath>
      <w:r w:rsidRPr="00650218">
        <w:rPr>
          <w:rFonts w:ascii="Arial" w:eastAsia="Times New Roman" w:hAnsi="Arial" w:cs="Arial"/>
          <w:kern w:val="0"/>
          <w:lang w:eastAsia="es-CO"/>
          <w14:ligatures w14:val="none"/>
        </w:rPr>
        <w:t>) de independencia espacial. Esto demuestra que la inclusión del rezago espacial de la variable dependiente (</w:t>
      </w:r>
      <m:oMath>
        <m:r>
          <w:rPr>
            <w:rFonts w:ascii="Cambria Math" w:eastAsia="Times New Roman" w:hAnsi="Cambria Math" w:cs="Arial"/>
            <w:kern w:val="0"/>
            <w:lang w:eastAsia="es-CO"/>
            <w14:ligatures w14:val="none"/>
          </w:rPr>
          <m:t>ρWy</m:t>
        </m:r>
      </m:oMath>
      <w:r w:rsidRPr="00650218">
        <w:rPr>
          <w:rFonts w:ascii="Arial" w:eastAsia="Times New Roman" w:hAnsi="Arial" w:cs="Arial"/>
          <w:kern w:val="0"/>
          <w:lang w:eastAsia="es-CO"/>
          <w14:ligatures w14:val="none"/>
        </w:rPr>
        <w:t>) absorbió exitosamente la estructura de dependencia geográfica subyacente.</w:t>
      </w:r>
    </w:p>
    <w:p w14:paraId="131737AE" w14:textId="77777777" w:rsidR="003E4BA3" w:rsidRPr="009B6E89" w:rsidRDefault="003E4BA3" w:rsidP="003E4B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center"/>
        <w:rPr>
          <w:rFonts w:ascii="Lucida Console" w:eastAsia="Times New Roman" w:hAnsi="Lucida Console" w:cs="Courier New"/>
          <w:color w:val="000000"/>
          <w:kern w:val="0"/>
          <w:sz w:val="20"/>
          <w:szCs w:val="20"/>
          <w:bdr w:val="none" w:sz="0" w:space="0" w:color="auto" w:frame="1"/>
          <w:lang w:val="en-US" w:eastAsia="es-CO"/>
          <w14:ligatures w14:val="none"/>
        </w:rPr>
      </w:pPr>
      <w:r w:rsidRPr="009B6E89">
        <w:rPr>
          <w:rFonts w:ascii="Lucida Console" w:eastAsia="Times New Roman" w:hAnsi="Lucida Console" w:cs="Courier New"/>
          <w:color w:val="000000"/>
          <w:kern w:val="0"/>
          <w:sz w:val="20"/>
          <w:szCs w:val="20"/>
          <w:bdr w:val="none" w:sz="0" w:space="0" w:color="auto" w:frame="1"/>
          <w:lang w:val="en-US" w:eastAsia="es-CO"/>
          <w14:ligatures w14:val="none"/>
        </w:rPr>
        <w:t>Shapiro-Wilk normality test</w:t>
      </w:r>
    </w:p>
    <w:p w14:paraId="7CBFC6A1" w14:textId="77777777" w:rsidR="003E4BA3" w:rsidRPr="009B6E89" w:rsidRDefault="003E4BA3" w:rsidP="003E4B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center"/>
        <w:rPr>
          <w:rFonts w:ascii="Lucida Console" w:eastAsia="Times New Roman" w:hAnsi="Lucida Console" w:cs="Courier New"/>
          <w:color w:val="000000"/>
          <w:kern w:val="0"/>
          <w:sz w:val="20"/>
          <w:szCs w:val="20"/>
          <w:bdr w:val="none" w:sz="0" w:space="0" w:color="auto" w:frame="1"/>
          <w:lang w:val="en-US" w:eastAsia="es-CO"/>
          <w14:ligatures w14:val="none"/>
        </w:rPr>
      </w:pPr>
    </w:p>
    <w:p w14:paraId="64340612" w14:textId="77777777" w:rsidR="003E4BA3" w:rsidRPr="009B6E89" w:rsidRDefault="003E4BA3" w:rsidP="003E4B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center"/>
        <w:rPr>
          <w:rFonts w:ascii="Lucida Console" w:eastAsia="Times New Roman" w:hAnsi="Lucida Console" w:cs="Courier New"/>
          <w:color w:val="000000"/>
          <w:kern w:val="0"/>
          <w:sz w:val="20"/>
          <w:szCs w:val="20"/>
          <w:bdr w:val="none" w:sz="0" w:space="0" w:color="auto" w:frame="1"/>
          <w:lang w:val="en-US" w:eastAsia="es-CO"/>
          <w14:ligatures w14:val="none"/>
        </w:rPr>
      </w:pPr>
      <w:r w:rsidRPr="009B6E89">
        <w:rPr>
          <w:rFonts w:ascii="Lucida Console" w:eastAsia="Times New Roman" w:hAnsi="Lucida Console" w:cs="Courier New"/>
          <w:color w:val="000000"/>
          <w:kern w:val="0"/>
          <w:sz w:val="20"/>
          <w:szCs w:val="20"/>
          <w:bdr w:val="none" w:sz="0" w:space="0" w:color="auto" w:frame="1"/>
          <w:lang w:val="en-US" w:eastAsia="es-CO"/>
          <w14:ligatures w14:val="none"/>
        </w:rPr>
        <w:t>data:  residuos_sar3</w:t>
      </w:r>
    </w:p>
    <w:p w14:paraId="3AD9DCD9" w14:textId="77777777" w:rsidR="003E4BA3" w:rsidRPr="009B6E89" w:rsidRDefault="003E4BA3" w:rsidP="003E4B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center"/>
        <w:rPr>
          <w:rFonts w:ascii="Lucida Console" w:eastAsia="Times New Roman" w:hAnsi="Lucida Console" w:cs="Courier New"/>
          <w:color w:val="000000"/>
          <w:kern w:val="0"/>
          <w:sz w:val="20"/>
          <w:szCs w:val="20"/>
          <w:bdr w:val="none" w:sz="0" w:space="0" w:color="auto" w:frame="1"/>
          <w:lang w:eastAsia="es-CO"/>
          <w14:ligatures w14:val="none"/>
        </w:rPr>
      </w:pPr>
      <w:r w:rsidRPr="009B6E89">
        <w:rPr>
          <w:rFonts w:ascii="Lucida Console" w:eastAsia="Times New Roman" w:hAnsi="Lucida Console" w:cs="Courier New"/>
          <w:color w:val="000000"/>
          <w:kern w:val="0"/>
          <w:sz w:val="20"/>
          <w:szCs w:val="20"/>
          <w:bdr w:val="none" w:sz="0" w:space="0" w:color="auto" w:frame="1"/>
          <w:lang w:eastAsia="es-CO"/>
          <w14:ligatures w14:val="none"/>
        </w:rPr>
        <w:t>W = 0.96015, p-value &lt; 2.2e-16</w:t>
      </w:r>
    </w:p>
    <w:p w14:paraId="6963633B" w14:textId="77777777" w:rsidR="003E4BA3" w:rsidRPr="003E4BA3" w:rsidRDefault="003E4BA3" w:rsidP="003E4BA3">
      <w:pPr>
        <w:spacing w:after="100" w:afterAutospacing="1" w:line="240" w:lineRule="auto"/>
        <w:ind w:left="720"/>
        <w:rPr>
          <w:rFonts w:ascii="Arial" w:eastAsia="Times New Roman" w:hAnsi="Arial" w:cs="Arial"/>
          <w:kern w:val="0"/>
          <w:lang w:eastAsia="es-CO"/>
          <w14:ligatures w14:val="none"/>
        </w:rPr>
      </w:pPr>
    </w:p>
    <w:p w14:paraId="02847C61" w14:textId="47C84748" w:rsidR="00650218" w:rsidRDefault="00650218" w:rsidP="00650218">
      <w:pPr>
        <w:numPr>
          <w:ilvl w:val="0"/>
          <w:numId w:val="34"/>
        </w:numPr>
        <w:spacing w:after="100" w:afterAutospacing="1" w:line="240" w:lineRule="auto"/>
        <w:rPr>
          <w:rFonts w:ascii="Arial" w:eastAsia="Times New Roman" w:hAnsi="Arial" w:cs="Arial"/>
          <w:kern w:val="0"/>
          <w:lang w:eastAsia="es-CO"/>
          <w14:ligatures w14:val="none"/>
        </w:rPr>
      </w:pPr>
      <w:r w:rsidRPr="00650218">
        <w:rPr>
          <w:rFonts w:ascii="Arial" w:eastAsia="Times New Roman" w:hAnsi="Arial" w:cs="Arial"/>
          <w:b/>
          <w:bCs/>
          <w:kern w:val="0"/>
          <w:lang w:eastAsia="es-CO"/>
          <w14:ligatures w14:val="none"/>
        </w:rPr>
        <w:t>Normalidad de los Residuales:</w:t>
      </w:r>
      <w:r w:rsidRPr="00650218">
        <w:rPr>
          <w:rFonts w:ascii="Arial" w:eastAsia="Times New Roman" w:hAnsi="Arial" w:cs="Arial"/>
          <w:kern w:val="0"/>
          <w:lang w:eastAsia="es-CO"/>
          <w14:ligatures w14:val="none"/>
        </w:rPr>
        <w:t xml:space="preserve"> La prueba de Shapiro-Wilk sobre los residuos del modelo arrojó un estadístico </w:t>
      </w:r>
      <m:oMath>
        <m:r>
          <w:rPr>
            <w:rFonts w:ascii="Cambria Math" w:eastAsia="Times New Roman" w:hAnsi="Cambria Math" w:cs="Arial"/>
            <w:kern w:val="0"/>
            <w:lang w:eastAsia="es-CO"/>
            <w14:ligatures w14:val="none"/>
          </w:rPr>
          <m:t>W=0.96015</m:t>
        </m:r>
      </m:oMath>
      <w:r w:rsidRPr="00650218">
        <w:rPr>
          <w:rFonts w:ascii="Arial" w:eastAsia="Times New Roman" w:hAnsi="Arial" w:cs="Arial"/>
          <w:kern w:val="0"/>
          <w:lang w:eastAsia="es-CO"/>
          <w14:ligatures w14:val="none"/>
        </w:rPr>
        <w:t xml:space="preserve"> (</w:t>
      </w:r>
      <m:oMath>
        <m:r>
          <w:rPr>
            <w:rFonts w:ascii="Cambria Math" w:eastAsia="Times New Roman" w:hAnsi="Cambria Math" w:cs="Arial"/>
            <w:kern w:val="0"/>
            <w:lang w:eastAsia="es-CO"/>
            <w14:ligatures w14:val="none"/>
          </w:rPr>
          <m:t>p&lt;2.2×</m:t>
        </m:r>
        <m:sSup>
          <m:sSupPr>
            <m:ctrlPr>
              <w:rPr>
                <w:rFonts w:ascii="Cambria Math" w:eastAsia="Times New Roman" w:hAnsi="Cambria Math" w:cs="Arial"/>
                <w:kern w:val="0"/>
                <w:lang w:eastAsia="es-CO"/>
                <w14:ligatures w14:val="none"/>
              </w:rPr>
            </m:ctrlPr>
          </m:sSupPr>
          <m:e>
            <m:r>
              <w:rPr>
                <w:rFonts w:ascii="Cambria Math" w:eastAsia="Times New Roman" w:hAnsi="Cambria Math" w:cs="Arial"/>
                <w:kern w:val="0"/>
                <w:lang w:eastAsia="es-CO"/>
                <w14:ligatures w14:val="none"/>
              </w:rPr>
              <m:t>10</m:t>
            </m:r>
          </m:e>
          <m:sup>
            <m:r>
              <w:rPr>
                <w:rFonts w:ascii="Cambria Math" w:eastAsia="Times New Roman" w:hAnsi="Cambria Math" w:cs="Arial"/>
                <w:kern w:val="0"/>
                <w:lang w:eastAsia="es-CO"/>
                <w14:ligatures w14:val="none"/>
              </w:rPr>
              <m:t>-16</m:t>
            </m:r>
          </m:sup>
        </m:sSup>
      </m:oMath>
      <w:r w:rsidRPr="00650218">
        <w:rPr>
          <w:rFonts w:ascii="Arial" w:eastAsia="Times New Roman" w:hAnsi="Arial" w:cs="Arial"/>
          <w:kern w:val="0"/>
          <w:lang w:eastAsia="es-CO"/>
          <w14:ligatures w14:val="none"/>
        </w:rPr>
        <w:t xml:space="preserve">). Si bien el valor </w:t>
      </w:r>
      <m:oMath>
        <m:r>
          <w:rPr>
            <w:rFonts w:ascii="Cambria Math" w:eastAsia="Times New Roman" w:hAnsi="Cambria Math" w:cs="Arial"/>
            <w:kern w:val="0"/>
            <w:lang w:eastAsia="es-CO"/>
            <w14:ligatures w14:val="none"/>
          </w:rPr>
          <m:t>p</m:t>
        </m:r>
      </m:oMath>
      <w:r w:rsidRPr="00650218">
        <w:rPr>
          <w:rFonts w:ascii="Arial" w:eastAsia="Times New Roman" w:hAnsi="Arial" w:cs="Arial"/>
          <w:kern w:val="0"/>
          <w:lang w:eastAsia="es-CO"/>
          <w14:ligatures w14:val="none"/>
        </w:rPr>
        <w:t xml:space="preserve"> rechaza la hipótesis de normalidad perfecta —comportamiento habitual y esperado en muestras muestrales de gran tamaño (</w:t>
      </w:r>
      <m:oMath>
        <m:r>
          <w:rPr>
            <w:rFonts w:ascii="Cambria Math" w:eastAsia="Times New Roman" w:hAnsi="Cambria Math" w:cs="Arial"/>
            <w:kern w:val="0"/>
            <w:lang w:eastAsia="es-CO"/>
            <w14:ligatures w14:val="none"/>
          </w:rPr>
          <m:t>N=1,122</m:t>
        </m:r>
      </m:oMath>
      <w:r w:rsidRPr="00650218">
        <w:rPr>
          <w:rFonts w:ascii="Arial" w:eastAsia="Times New Roman" w:hAnsi="Arial" w:cs="Arial"/>
          <w:kern w:val="0"/>
          <w:lang w:eastAsia="es-CO"/>
          <w14:ligatures w14:val="none"/>
        </w:rPr>
        <w:t xml:space="preserve">) donde la prueba es altamente sensible a pequeñas desviaciones en las colas—, el análisis gráfico del </w:t>
      </w:r>
      <w:r w:rsidRPr="00650218">
        <w:rPr>
          <w:rFonts w:ascii="Arial" w:eastAsia="Times New Roman" w:hAnsi="Arial" w:cs="Arial"/>
          <w:i/>
          <w:iCs/>
          <w:kern w:val="0"/>
          <w:lang w:eastAsia="es-CO"/>
          <w14:ligatures w14:val="none"/>
        </w:rPr>
        <w:t>Q-Q Plot</w:t>
      </w:r>
      <w:r w:rsidRPr="00650218">
        <w:rPr>
          <w:rFonts w:ascii="Arial" w:eastAsia="Times New Roman" w:hAnsi="Arial" w:cs="Arial"/>
          <w:kern w:val="0"/>
          <w:lang w:eastAsia="es-CO"/>
          <w14:ligatures w14:val="none"/>
        </w:rPr>
        <w:t xml:space="preserve"> evidencia un ajuste lineal sobresaliente en el cuerpo central de la distribución. Siguiendo el Teorema del Límite Central, las inferencias y pruebas de hipótesis del modelo se mantienen insesgadas y asintóticamente válidas.</w:t>
      </w:r>
    </w:p>
    <w:p w14:paraId="391DBCC6" w14:textId="2A060583" w:rsidR="00315DB4" w:rsidRPr="00650218" w:rsidRDefault="003B58E4" w:rsidP="00315DB4">
      <w:pPr>
        <w:spacing w:after="100" w:afterAutospacing="1" w:line="240" w:lineRule="auto"/>
        <w:ind w:left="720"/>
        <w:rPr>
          <w:rFonts w:ascii="Arial" w:eastAsia="Times New Roman" w:hAnsi="Arial" w:cs="Arial"/>
          <w:kern w:val="0"/>
          <w:lang w:eastAsia="es-CO"/>
          <w14:ligatures w14:val="none"/>
        </w:rPr>
      </w:pPr>
      <w:r>
        <w:rPr>
          <w:rFonts w:ascii="Arial" w:eastAsia="Times New Roman" w:hAnsi="Arial" w:cs="Arial"/>
          <w:noProof/>
          <w:kern w:val="0"/>
          <w:lang w:eastAsia="es-CO"/>
          <w14:ligatures w14:val="none"/>
        </w:rPr>
        <w:lastRenderedPageBreak/>
        <w:drawing>
          <wp:inline distT="0" distB="0" distL="0" distR="0" wp14:anchorId="616A74C7" wp14:editId="440E3414">
            <wp:extent cx="4868883" cy="3185812"/>
            <wp:effectExtent l="0" t="0" r="8255" b="0"/>
            <wp:docPr id="88103628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2849" cy="3188407"/>
                    </a:xfrm>
                    <a:prstGeom prst="rect">
                      <a:avLst/>
                    </a:prstGeom>
                    <a:noFill/>
                  </pic:spPr>
                </pic:pic>
              </a:graphicData>
            </a:graphic>
          </wp:inline>
        </w:drawing>
      </w:r>
    </w:p>
    <w:p w14:paraId="2FA43EAD" w14:textId="77777777" w:rsidR="00650218" w:rsidRDefault="00650218" w:rsidP="00650218">
      <w:pPr>
        <w:numPr>
          <w:ilvl w:val="0"/>
          <w:numId w:val="34"/>
        </w:numPr>
        <w:spacing w:after="100" w:afterAutospacing="1" w:line="240" w:lineRule="auto"/>
        <w:rPr>
          <w:rFonts w:ascii="Arial" w:eastAsia="Times New Roman" w:hAnsi="Arial" w:cs="Arial"/>
          <w:kern w:val="0"/>
          <w:lang w:eastAsia="es-CO"/>
          <w14:ligatures w14:val="none"/>
        </w:rPr>
      </w:pPr>
      <w:r w:rsidRPr="00650218">
        <w:rPr>
          <w:rFonts w:ascii="Arial" w:eastAsia="Times New Roman" w:hAnsi="Arial" w:cs="Arial"/>
          <w:b/>
          <w:bCs/>
          <w:kern w:val="0"/>
          <w:lang w:eastAsia="es-CO"/>
          <w14:ligatures w14:val="none"/>
        </w:rPr>
        <w:t>Homocedasticidad y Comportamiento Residual:</w:t>
      </w:r>
      <w:r w:rsidRPr="00650218">
        <w:rPr>
          <w:rFonts w:ascii="Arial" w:eastAsia="Times New Roman" w:hAnsi="Arial" w:cs="Arial"/>
          <w:kern w:val="0"/>
          <w:lang w:eastAsia="es-CO"/>
          <w14:ligatures w14:val="none"/>
        </w:rPr>
        <w:t xml:space="preserve"> La dispersión de los residuales frente a los valores ajustados (</w:t>
      </w:r>
      <m:oMath>
        <m:sSub>
          <m:sSubPr>
            <m:ctrlPr>
              <w:rPr>
                <w:rFonts w:ascii="Cambria Math" w:eastAsia="Times New Roman" w:hAnsi="Cambria Math" w:cs="Arial"/>
                <w:kern w:val="0"/>
                <w:lang w:eastAsia="es-CO"/>
                <w14:ligatures w14:val="none"/>
              </w:rPr>
            </m:ctrlPr>
          </m:sSubPr>
          <m:e>
            <m:acc>
              <m:accPr>
                <m:chr m:val="ˆ"/>
                <m:ctrlPr>
                  <w:rPr>
                    <w:rFonts w:ascii="Cambria Math" w:eastAsia="Times New Roman" w:hAnsi="Cambria Math" w:cs="Arial"/>
                    <w:kern w:val="0"/>
                    <w:lang w:eastAsia="es-CO"/>
                    <w14:ligatures w14:val="none"/>
                  </w:rPr>
                </m:ctrlPr>
              </m:accPr>
              <m:e>
                <m:r>
                  <w:rPr>
                    <w:rFonts w:ascii="Cambria Math" w:eastAsia="Times New Roman" w:hAnsi="Cambria Math" w:cs="Arial"/>
                    <w:kern w:val="0"/>
                    <w:lang w:eastAsia="es-CO"/>
                    <w14:ligatures w14:val="none"/>
                  </w:rPr>
                  <m:t>y</m:t>
                </m:r>
              </m:e>
            </m:acc>
          </m:e>
          <m:sub>
            <m:r>
              <w:rPr>
                <w:rFonts w:ascii="Cambria Math" w:eastAsia="Times New Roman" w:hAnsi="Cambria Math" w:cs="Arial"/>
                <w:kern w:val="0"/>
                <w:lang w:eastAsia="es-CO"/>
                <w14:ligatures w14:val="none"/>
              </w:rPr>
              <m:t>logit</m:t>
            </m:r>
          </m:sub>
        </m:sSub>
      </m:oMath>
      <w:r w:rsidRPr="00650218">
        <w:rPr>
          <w:rFonts w:ascii="Arial" w:eastAsia="Times New Roman" w:hAnsi="Arial" w:cs="Arial"/>
          <w:kern w:val="0"/>
          <w:lang w:eastAsia="es-CO"/>
          <w14:ligatures w14:val="none"/>
        </w:rPr>
        <w:t>) muestra un patrón simétrico alrededor de cero, sin evidencia de heterocedasticidad marcada o deformaciones estructurales en "abanico".</w:t>
      </w:r>
    </w:p>
    <w:p w14:paraId="002956C8" w14:textId="3B6F1C78" w:rsidR="00670D27" w:rsidRDefault="00670D27" w:rsidP="00670D27">
      <w:pPr>
        <w:spacing w:after="100" w:afterAutospacing="1" w:line="240" w:lineRule="auto"/>
        <w:ind w:left="720"/>
        <w:rPr>
          <w:rFonts w:ascii="Arial" w:eastAsia="Times New Roman" w:hAnsi="Arial" w:cs="Arial"/>
          <w:kern w:val="0"/>
          <w:lang w:eastAsia="es-CO"/>
          <w14:ligatures w14:val="none"/>
        </w:rPr>
      </w:pPr>
      <w:r>
        <w:rPr>
          <w:rFonts w:ascii="Arial" w:eastAsia="Times New Roman" w:hAnsi="Arial" w:cs="Arial"/>
          <w:noProof/>
          <w:kern w:val="0"/>
          <w:lang w:eastAsia="es-CO"/>
          <w14:ligatures w14:val="none"/>
        </w:rPr>
        <w:drawing>
          <wp:inline distT="0" distB="0" distL="0" distR="0" wp14:anchorId="30A3EA22" wp14:editId="71DC3D30">
            <wp:extent cx="5058888" cy="3310137"/>
            <wp:effectExtent l="0" t="0" r="8890" b="5080"/>
            <wp:docPr id="3469331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79352" cy="3323527"/>
                    </a:xfrm>
                    <a:prstGeom prst="rect">
                      <a:avLst/>
                    </a:prstGeom>
                    <a:noFill/>
                  </pic:spPr>
                </pic:pic>
              </a:graphicData>
            </a:graphic>
          </wp:inline>
        </w:drawing>
      </w:r>
    </w:p>
    <w:p w14:paraId="1E201E2A" w14:textId="77777777" w:rsidR="00D35380" w:rsidRPr="00650218" w:rsidRDefault="00D35380" w:rsidP="00D35380">
      <w:pPr>
        <w:spacing w:after="100" w:afterAutospacing="1" w:line="240" w:lineRule="auto"/>
        <w:ind w:left="720"/>
        <w:rPr>
          <w:rFonts w:ascii="Arial" w:eastAsia="Times New Roman" w:hAnsi="Arial" w:cs="Arial"/>
          <w:kern w:val="0"/>
          <w:lang w:eastAsia="es-CO"/>
          <w14:ligatures w14:val="none"/>
        </w:rPr>
      </w:pPr>
    </w:p>
    <w:p w14:paraId="45A6D5BC" w14:textId="77777777" w:rsidR="00650218" w:rsidRDefault="00650218" w:rsidP="00711BAD">
      <w:pPr>
        <w:rPr>
          <w:rFonts w:ascii="Arial" w:eastAsia="Times New Roman" w:hAnsi="Arial" w:cs="Arial"/>
          <w:b/>
          <w:bCs/>
          <w:kern w:val="0"/>
          <w:sz w:val="22"/>
          <w:szCs w:val="22"/>
          <w:lang w:eastAsia="es-CO"/>
          <w14:ligatures w14:val="none"/>
        </w:rPr>
      </w:pPr>
    </w:p>
    <w:p w14:paraId="56A8550C" w14:textId="77777777" w:rsidR="00650218" w:rsidRDefault="00650218" w:rsidP="00711BAD">
      <w:pPr>
        <w:rPr>
          <w:rFonts w:ascii="Arial" w:eastAsia="Times New Roman" w:hAnsi="Arial" w:cs="Arial"/>
          <w:b/>
          <w:bCs/>
          <w:kern w:val="0"/>
          <w:sz w:val="22"/>
          <w:szCs w:val="22"/>
          <w:lang w:eastAsia="es-CO"/>
          <w14:ligatures w14:val="none"/>
        </w:rPr>
      </w:pPr>
    </w:p>
    <w:p w14:paraId="5F20500B" w14:textId="721EF058" w:rsidR="00711BAD" w:rsidRPr="00711BAD" w:rsidRDefault="00F12C7E" w:rsidP="00711BAD">
      <w:pPr>
        <w:rPr>
          <w:rFonts w:ascii="Arial" w:hAnsi="Arial" w:cs="Arial"/>
          <w:sz w:val="22"/>
          <w:szCs w:val="22"/>
        </w:rPr>
      </w:pPr>
      <w:r w:rsidRPr="00711BAD">
        <w:rPr>
          <w:rFonts w:ascii="Arial" w:hAnsi="Arial" w:cs="Arial"/>
          <w:sz w:val="22"/>
          <w:szCs w:val="22"/>
        </w:rPr>
        <w:t xml:space="preserve">Finalmente, reconociendo la presencia de heterocedasticidad inherente a la variabilidad municipal identificada en la prueba de Breusch-Pagan, se define el </w:t>
      </w:r>
      <w:r w:rsidRPr="00711BAD">
        <w:rPr>
          <w:rFonts w:ascii="Arial" w:hAnsi="Arial" w:cs="Arial"/>
          <w:b/>
          <w:bCs/>
          <w:sz w:val="22"/>
          <w:szCs w:val="22"/>
        </w:rPr>
        <w:t>Modelo 3 (Definitivo)</w:t>
      </w:r>
      <w:r w:rsidRPr="00711BAD">
        <w:rPr>
          <w:rFonts w:ascii="Arial" w:hAnsi="Arial" w:cs="Arial"/>
          <w:sz w:val="22"/>
          <w:szCs w:val="22"/>
        </w:rPr>
        <w:t>. Este conserva la misma matriz de covariables y la estructura espacial del Modelo 2, pero incorpora la corrección de errores estándar robustos ante heterocedasticidad. Esta especificación blindada es la que se utilizará como arquitectura final para proyectar el IPM municipal hacia el año 2024.</w:t>
      </w:r>
    </w:p>
    <w:p w14:paraId="609AE4BB" w14:textId="77777777" w:rsidR="00711BAD" w:rsidRPr="00711BAD" w:rsidRDefault="00711BAD" w:rsidP="00711BAD">
      <w:pPr>
        <w:rPr>
          <w:rFonts w:ascii="Arial" w:hAnsi="Arial" w:cs="Arial"/>
          <w:b/>
          <w:bCs/>
          <w:sz w:val="22"/>
          <w:szCs w:val="22"/>
        </w:rPr>
      </w:pPr>
    </w:p>
    <w:p w14:paraId="5A172436" w14:textId="77777777" w:rsidR="00711BAD" w:rsidRPr="00711BAD" w:rsidRDefault="00711BAD">
      <w:pPr>
        <w:rPr>
          <w:rFonts w:ascii="Arial" w:hAnsi="Arial" w:cs="Arial"/>
          <w:b/>
          <w:bCs/>
          <w:sz w:val="22"/>
          <w:szCs w:val="22"/>
        </w:rPr>
      </w:pPr>
      <w:r w:rsidRPr="00711BAD">
        <w:rPr>
          <w:rFonts w:ascii="Arial" w:hAnsi="Arial" w:cs="Arial"/>
          <w:b/>
          <w:bCs/>
          <w:sz w:val="22"/>
          <w:szCs w:val="22"/>
        </w:rPr>
        <w:br w:type="page"/>
      </w:r>
    </w:p>
    <w:p w14:paraId="159126C7" w14:textId="3145B400" w:rsidR="00711BAD" w:rsidRPr="00711BAD" w:rsidRDefault="00711BAD" w:rsidP="00711BAD">
      <w:pPr>
        <w:rPr>
          <w:rFonts w:ascii="Arial" w:hAnsi="Arial" w:cs="Arial"/>
          <w:b/>
          <w:bCs/>
          <w:sz w:val="22"/>
          <w:szCs w:val="22"/>
        </w:rPr>
      </w:pPr>
      <w:r w:rsidRPr="00711BAD">
        <w:rPr>
          <w:rFonts w:ascii="Arial" w:hAnsi="Arial" w:cs="Arial"/>
          <w:b/>
          <w:bCs/>
          <w:sz w:val="22"/>
          <w:szCs w:val="22"/>
        </w:rPr>
        <w:lastRenderedPageBreak/>
        <w:t>Interpretación de Resultados del Modelo Definitivo (Modelo 3 - Robust)</w:t>
      </w:r>
    </w:p>
    <w:p w14:paraId="3F135F13" w14:textId="77777777" w:rsidR="00711BAD" w:rsidRPr="00711BAD" w:rsidRDefault="00711BAD" w:rsidP="00711BAD">
      <w:pPr>
        <w:rPr>
          <w:rFonts w:ascii="Arial" w:hAnsi="Arial" w:cs="Arial"/>
          <w:sz w:val="22"/>
          <w:szCs w:val="22"/>
        </w:rPr>
      </w:pPr>
    </w:p>
    <w:p w14:paraId="7C896FCA" w14:textId="33917551" w:rsidR="00711BAD" w:rsidRPr="00711BAD" w:rsidRDefault="00711BAD" w:rsidP="00711BAD">
      <w:pPr>
        <w:rPr>
          <w:rFonts w:ascii="Arial" w:hAnsi="Arial" w:cs="Arial"/>
          <w:sz w:val="22"/>
          <w:szCs w:val="22"/>
        </w:rPr>
      </w:pPr>
      <w:r w:rsidRPr="00711BAD">
        <w:rPr>
          <w:rFonts w:ascii="Arial" w:hAnsi="Arial" w:cs="Arial"/>
          <w:sz w:val="22"/>
          <w:szCs w:val="22"/>
        </w:rPr>
        <w:t xml:space="preserve">El </w:t>
      </w:r>
      <w:r w:rsidRPr="00711BAD">
        <w:rPr>
          <w:rFonts w:ascii="Arial" w:hAnsi="Arial" w:cs="Arial"/>
          <w:b/>
          <w:bCs/>
          <w:sz w:val="22"/>
          <w:szCs w:val="22"/>
        </w:rPr>
        <w:t>Modelo 3</w:t>
      </w:r>
      <w:r w:rsidRPr="00711BAD">
        <w:rPr>
          <w:rFonts w:ascii="Arial" w:hAnsi="Arial" w:cs="Arial"/>
          <w:sz w:val="22"/>
          <w:szCs w:val="22"/>
        </w:rPr>
        <w:t xml:space="preserve"> (con corrección robusta de errores) constituye una especificación final óptima para la estimación del IPM municipal. Al incorporar errores estándar robustos ante heterocedasticidad, los coeficientes mantienen su magnitud y la totalidad de los predictores preserva su significancia estadística al 99% (</w:t>
      </w:r>
      <m:oMath>
        <m:r>
          <w:rPr>
            <w:rFonts w:ascii="Cambria Math" w:hAnsi="Cambria Math" w:cs="Arial"/>
            <w:sz w:val="22"/>
            <w:szCs w:val="22"/>
          </w:rPr>
          <m:t>p&lt;0.01</m:t>
        </m:r>
      </m:oMath>
      <w:r w:rsidRPr="00711BAD">
        <w:rPr>
          <w:rFonts w:ascii="Arial" w:hAnsi="Arial" w:cs="Arial"/>
          <w:sz w:val="22"/>
          <w:szCs w:val="22"/>
        </w:rPr>
        <w:t>).</w:t>
      </w:r>
    </w:p>
    <w:p w14:paraId="50F06F2C" w14:textId="12E1C227" w:rsidR="00711BAD" w:rsidRPr="00711BAD" w:rsidRDefault="00711BAD" w:rsidP="00711BAD">
      <w:pPr>
        <w:rPr>
          <w:rFonts w:ascii="Arial" w:hAnsi="Arial" w:cs="Arial"/>
          <w:sz w:val="22"/>
          <w:szCs w:val="22"/>
        </w:rPr>
      </w:pPr>
      <w:r w:rsidRPr="00711BAD">
        <w:rPr>
          <w:rFonts w:ascii="Arial" w:hAnsi="Arial" w:cs="Arial"/>
          <w:noProof/>
          <w:sz w:val="22"/>
          <w:szCs w:val="22"/>
        </w:rPr>
        <w:drawing>
          <wp:inline distT="0" distB="0" distL="0" distR="0" wp14:anchorId="79E21719" wp14:editId="719D1E7A">
            <wp:extent cx="5457143" cy="6038095"/>
            <wp:effectExtent l="0" t="0" r="0" b="1270"/>
            <wp:docPr id="1608703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03760" name=""/>
                    <pic:cNvPicPr/>
                  </pic:nvPicPr>
                  <pic:blipFill>
                    <a:blip r:embed="rId7"/>
                    <a:stretch>
                      <a:fillRect/>
                    </a:stretch>
                  </pic:blipFill>
                  <pic:spPr>
                    <a:xfrm>
                      <a:off x="0" y="0"/>
                      <a:ext cx="5457143" cy="6038095"/>
                    </a:xfrm>
                    <a:prstGeom prst="rect">
                      <a:avLst/>
                    </a:prstGeom>
                  </pic:spPr>
                </pic:pic>
              </a:graphicData>
            </a:graphic>
          </wp:inline>
        </w:drawing>
      </w:r>
    </w:p>
    <w:p w14:paraId="3F928DDF" w14:textId="6E4E67C9" w:rsidR="00711BAD" w:rsidRPr="00711BAD" w:rsidRDefault="00711BAD" w:rsidP="00711BAD">
      <w:pPr>
        <w:rPr>
          <w:rFonts w:ascii="Arial" w:hAnsi="Arial" w:cs="Arial"/>
          <w:sz w:val="22"/>
          <w:szCs w:val="22"/>
        </w:rPr>
      </w:pPr>
      <w:r w:rsidRPr="00711BAD">
        <w:rPr>
          <w:rFonts w:ascii="Arial" w:hAnsi="Arial" w:cs="Arial"/>
          <w:sz w:val="22"/>
          <w:szCs w:val="22"/>
        </w:rPr>
        <w:t xml:space="preserve">Dado que la variable dependiente corresponde a la transformación </w:t>
      </w:r>
      <m:oMath>
        <m:r>
          <m:rPr>
            <m:nor/>
          </m:rPr>
          <w:rPr>
            <w:rFonts w:ascii="Arial" w:hAnsi="Arial" w:cs="Arial"/>
            <w:sz w:val="22"/>
            <w:szCs w:val="22"/>
          </w:rPr>
          <m:t>logit</m:t>
        </m:r>
        <m:d>
          <m:dPr>
            <m:ctrlPr>
              <w:rPr>
                <w:rFonts w:ascii="Cambria Math" w:hAnsi="Cambria Math" w:cs="Arial"/>
                <w:sz w:val="22"/>
                <w:szCs w:val="22"/>
              </w:rPr>
            </m:ctrlPr>
          </m:dPr>
          <m:e>
            <m:r>
              <m:rPr>
                <m:nor/>
              </m:rPr>
              <w:rPr>
                <w:rFonts w:ascii="Arial" w:hAnsi="Arial" w:cs="Arial"/>
                <w:sz w:val="22"/>
                <w:szCs w:val="22"/>
              </w:rPr>
              <m:t>IPM</m:t>
            </m:r>
          </m:e>
        </m:d>
        <m:r>
          <w:rPr>
            <w:rFonts w:ascii="Cambria Math" w:hAnsi="Cambria Math" w:cs="Arial"/>
            <w:sz w:val="22"/>
            <w:szCs w:val="22"/>
          </w:rPr>
          <m:t>=</m:t>
        </m:r>
        <m:func>
          <m:funcPr>
            <m:ctrlPr>
              <w:rPr>
                <w:rFonts w:ascii="Cambria Math" w:hAnsi="Cambria Math" w:cs="Arial"/>
                <w:sz w:val="22"/>
                <w:szCs w:val="22"/>
              </w:rPr>
            </m:ctrlPr>
          </m:funcPr>
          <m:fName>
            <m:r>
              <m:rPr>
                <m:sty m:val="p"/>
              </m:rPr>
              <w:rPr>
                <w:rFonts w:ascii="Cambria Math" w:hAnsi="Cambria Math" w:cs="Arial"/>
                <w:sz w:val="22"/>
                <w:szCs w:val="22"/>
              </w:rPr>
              <m:t>ln</m:t>
            </m:r>
          </m:fName>
          <m:e>
            <m:d>
              <m:dPr>
                <m:ctrlPr>
                  <w:rPr>
                    <w:rFonts w:ascii="Cambria Math" w:hAnsi="Cambria Math" w:cs="Arial"/>
                    <w:sz w:val="22"/>
                    <w:szCs w:val="22"/>
                  </w:rPr>
                </m:ctrlPr>
              </m:dPr>
              <m:e>
                <m:f>
                  <m:fPr>
                    <m:ctrlPr>
                      <w:rPr>
                        <w:rFonts w:ascii="Cambria Math" w:hAnsi="Cambria Math" w:cs="Arial"/>
                        <w:sz w:val="22"/>
                        <w:szCs w:val="22"/>
                      </w:rPr>
                    </m:ctrlPr>
                  </m:fPr>
                  <m:num>
                    <m:r>
                      <m:rPr>
                        <m:nor/>
                      </m:rPr>
                      <w:rPr>
                        <w:rFonts w:ascii="Arial" w:hAnsi="Arial" w:cs="Arial"/>
                        <w:sz w:val="22"/>
                        <w:szCs w:val="22"/>
                      </w:rPr>
                      <m:t>IPM</m:t>
                    </m:r>
                  </m:num>
                  <m:den>
                    <m:r>
                      <w:rPr>
                        <w:rFonts w:ascii="Cambria Math" w:hAnsi="Cambria Math" w:cs="Arial"/>
                        <w:sz w:val="22"/>
                        <w:szCs w:val="22"/>
                      </w:rPr>
                      <m:t>1-</m:t>
                    </m:r>
                    <m:r>
                      <m:rPr>
                        <m:nor/>
                      </m:rPr>
                      <w:rPr>
                        <w:rFonts w:ascii="Arial" w:hAnsi="Arial" w:cs="Arial"/>
                        <w:sz w:val="22"/>
                        <w:szCs w:val="22"/>
                      </w:rPr>
                      <m:t>IPM</m:t>
                    </m:r>
                  </m:den>
                </m:f>
              </m:e>
            </m:d>
          </m:e>
        </m:func>
      </m:oMath>
      <w:r w:rsidRPr="00711BAD">
        <w:rPr>
          <w:rFonts w:ascii="Arial" w:hAnsi="Arial" w:cs="Arial"/>
          <w:sz w:val="22"/>
          <w:szCs w:val="22"/>
        </w:rPr>
        <w:t>, los coeficientes se interpretan como el efecto marginal sobre la razón de posibilidades (</w:t>
      </w:r>
      <w:r w:rsidRPr="00711BAD">
        <w:rPr>
          <w:rFonts w:ascii="Arial" w:hAnsi="Arial" w:cs="Arial"/>
          <w:i/>
          <w:iCs/>
          <w:sz w:val="22"/>
          <w:szCs w:val="22"/>
        </w:rPr>
        <w:t>log-odds</w:t>
      </w:r>
      <w:r w:rsidRPr="00711BAD">
        <w:rPr>
          <w:rFonts w:ascii="Arial" w:hAnsi="Arial" w:cs="Arial"/>
          <w:sz w:val="22"/>
          <w:szCs w:val="22"/>
        </w:rPr>
        <w:t>) de la pobreza multidimensional municipal.</w:t>
      </w:r>
    </w:p>
    <w:p w14:paraId="745976A8" w14:textId="429980B3" w:rsidR="00711BAD" w:rsidRPr="00711BAD" w:rsidRDefault="00711BAD" w:rsidP="00711BAD">
      <w:pPr>
        <w:rPr>
          <w:rFonts w:ascii="Arial" w:hAnsi="Arial" w:cs="Arial"/>
          <w:sz w:val="22"/>
          <w:szCs w:val="22"/>
        </w:rPr>
      </w:pPr>
      <w:r w:rsidRPr="00711BAD">
        <w:rPr>
          <w:rFonts w:ascii="Arial" w:hAnsi="Arial" w:cs="Arial"/>
          <w:b/>
          <w:bCs/>
          <w:sz w:val="22"/>
          <w:szCs w:val="22"/>
        </w:rPr>
        <w:lastRenderedPageBreak/>
        <w:t>1. Efecto de Dependencia Espacial (</w:t>
      </w:r>
      <m:oMath>
        <m:r>
          <w:rPr>
            <w:rFonts w:ascii="Cambria Math" w:hAnsi="Cambria Math" w:cs="Arial"/>
            <w:sz w:val="22"/>
            <w:szCs w:val="22"/>
          </w:rPr>
          <m:t>ρ</m:t>
        </m:r>
      </m:oMath>
      <w:r w:rsidRPr="00711BAD">
        <w:rPr>
          <w:rFonts w:ascii="Arial" w:hAnsi="Arial" w:cs="Arial"/>
          <w:b/>
          <w:bCs/>
          <w:sz w:val="22"/>
          <w:szCs w:val="22"/>
        </w:rPr>
        <w:t>)</w:t>
      </w:r>
    </w:p>
    <w:p w14:paraId="2729F249" w14:textId="4564AD92" w:rsidR="00711BAD" w:rsidRPr="00711BAD" w:rsidRDefault="00711BAD" w:rsidP="00711BAD">
      <w:pPr>
        <w:numPr>
          <w:ilvl w:val="0"/>
          <w:numId w:val="25"/>
        </w:numPr>
        <w:rPr>
          <w:rFonts w:ascii="Arial" w:hAnsi="Arial" w:cs="Arial"/>
          <w:sz w:val="22"/>
          <w:szCs w:val="22"/>
        </w:rPr>
      </w:pPr>
      <w:r w:rsidRPr="00711BAD">
        <w:rPr>
          <w:rFonts w:ascii="Arial" w:hAnsi="Arial" w:cs="Arial"/>
          <w:b/>
          <w:bCs/>
          <w:sz w:val="22"/>
          <w:szCs w:val="22"/>
        </w:rPr>
        <w:t>Parámetro Autorregresivo (</w:t>
      </w:r>
      <m:oMath>
        <m:r>
          <w:rPr>
            <w:rFonts w:ascii="Cambria Math" w:hAnsi="Cambria Math" w:cs="Arial"/>
            <w:sz w:val="22"/>
            <w:szCs w:val="22"/>
          </w:rPr>
          <m:t>ρ=0.6181</m:t>
        </m:r>
      </m:oMath>
      <w:r w:rsidRPr="00711BAD">
        <w:rPr>
          <w:rFonts w:ascii="Arial" w:hAnsi="Arial" w:cs="Arial"/>
          <w:b/>
          <w:bCs/>
          <w:sz w:val="22"/>
          <w:szCs w:val="22"/>
        </w:rPr>
        <w:t xml:space="preserve">, </w:t>
      </w:r>
      <m:oMath>
        <m:r>
          <w:rPr>
            <w:rFonts w:ascii="Cambria Math" w:hAnsi="Cambria Math" w:cs="Arial"/>
            <w:sz w:val="22"/>
            <w:szCs w:val="22"/>
          </w:rPr>
          <m:t>p&lt;0.01</m:t>
        </m:r>
      </m:oMath>
      <w:r w:rsidRPr="00711BAD">
        <w:rPr>
          <w:rFonts w:ascii="Arial" w:hAnsi="Arial" w:cs="Arial"/>
          <w:b/>
          <w:bCs/>
          <w:sz w:val="22"/>
          <w:szCs w:val="22"/>
        </w:rPr>
        <w:t>):</w:t>
      </w:r>
      <w:r w:rsidRPr="00711BAD">
        <w:rPr>
          <w:rFonts w:ascii="Arial" w:hAnsi="Arial" w:cs="Arial"/>
          <w:sz w:val="22"/>
          <w:szCs w:val="22"/>
        </w:rPr>
        <w:t xml:space="preserve"> Confirma una fuerte autocorrelación espacial positiva. Un incremento en la prevalencia de pobreza de los municipios colindantes genera un contagio directo sobre la prevalencia local. Más del 61% de la variación en la brecha de pobreza municipal parece estar condicionada por la dinámica territorial de su vecindario geográfico.</w:t>
      </w:r>
    </w:p>
    <w:p w14:paraId="0F4099B0" w14:textId="77777777" w:rsidR="00711BAD" w:rsidRPr="00711BAD" w:rsidRDefault="00711BAD" w:rsidP="00711BAD">
      <w:pPr>
        <w:rPr>
          <w:rFonts w:ascii="Arial" w:hAnsi="Arial" w:cs="Arial"/>
          <w:sz w:val="22"/>
          <w:szCs w:val="22"/>
        </w:rPr>
      </w:pPr>
      <w:r w:rsidRPr="00711BAD">
        <w:rPr>
          <w:rFonts w:ascii="Arial" w:hAnsi="Arial" w:cs="Arial"/>
          <w:b/>
          <w:bCs/>
          <w:sz w:val="22"/>
          <w:szCs w:val="22"/>
        </w:rPr>
        <w:t>2. Cobertura Educativa y Capital Humano</w:t>
      </w:r>
    </w:p>
    <w:p w14:paraId="3C54AD22" w14:textId="019B6275" w:rsidR="00711BAD" w:rsidRPr="00711BAD" w:rsidRDefault="00711BAD" w:rsidP="00711BAD">
      <w:pPr>
        <w:numPr>
          <w:ilvl w:val="0"/>
          <w:numId w:val="26"/>
        </w:numPr>
        <w:rPr>
          <w:rFonts w:ascii="Arial" w:hAnsi="Arial" w:cs="Arial"/>
          <w:sz w:val="22"/>
          <w:szCs w:val="22"/>
        </w:rPr>
      </w:pPr>
      <w:r w:rsidRPr="00711BAD">
        <w:rPr>
          <w:rFonts w:ascii="Arial" w:hAnsi="Arial" w:cs="Arial"/>
          <w:b/>
          <w:bCs/>
          <w:sz w:val="22"/>
          <w:szCs w:val="22"/>
        </w:rPr>
        <w:t>Tasa de Matriculación (5 a 16 años) (</w:t>
      </w:r>
      <m:oMath>
        <m:r>
          <w:rPr>
            <w:rFonts w:ascii="Cambria Math" w:hAnsi="Cambria Math" w:cs="Arial"/>
            <w:sz w:val="22"/>
            <w:szCs w:val="22"/>
          </w:rPr>
          <m:t>β=-0.703</m:t>
        </m:r>
      </m:oMath>
      <w:r w:rsidRPr="00711BAD">
        <w:rPr>
          <w:rFonts w:ascii="Arial" w:hAnsi="Arial" w:cs="Arial"/>
          <w:b/>
          <w:bCs/>
          <w:sz w:val="22"/>
          <w:szCs w:val="22"/>
        </w:rPr>
        <w:t xml:space="preserve">, </w:t>
      </w:r>
      <m:oMath>
        <m:r>
          <w:rPr>
            <w:rFonts w:ascii="Cambria Math" w:hAnsi="Cambria Math" w:cs="Arial"/>
            <w:sz w:val="22"/>
            <w:szCs w:val="22"/>
          </w:rPr>
          <m:t>p&lt;0.01</m:t>
        </m:r>
      </m:oMath>
      <w:r w:rsidRPr="00711BAD">
        <w:rPr>
          <w:rFonts w:ascii="Arial" w:hAnsi="Arial" w:cs="Arial"/>
          <w:b/>
          <w:bCs/>
          <w:sz w:val="22"/>
          <w:szCs w:val="22"/>
        </w:rPr>
        <w:t>):</w:t>
      </w:r>
      <w:r w:rsidRPr="00711BAD">
        <w:rPr>
          <w:rFonts w:ascii="Arial" w:hAnsi="Arial" w:cs="Arial"/>
          <w:sz w:val="22"/>
          <w:szCs w:val="22"/>
        </w:rPr>
        <w:t xml:space="preserve"> Es el predictor con mayor impacto relativo reductor de pobreza. Aumentos en la cobertura escolar disminuyen significativamente el </w:t>
      </w:r>
      <w:r w:rsidRPr="00711BAD">
        <w:rPr>
          <w:rFonts w:ascii="Arial" w:hAnsi="Arial" w:cs="Arial"/>
          <w:i/>
          <w:iCs/>
          <w:sz w:val="22"/>
          <w:szCs w:val="22"/>
        </w:rPr>
        <w:t>log-odds</w:t>
      </w:r>
      <w:r w:rsidRPr="00711BAD">
        <w:rPr>
          <w:rFonts w:ascii="Arial" w:hAnsi="Arial" w:cs="Arial"/>
          <w:sz w:val="22"/>
          <w:szCs w:val="22"/>
        </w:rPr>
        <w:t xml:space="preserve"> de pobreza multidimensional.</w:t>
      </w:r>
    </w:p>
    <w:p w14:paraId="1782D409" w14:textId="69671872" w:rsidR="00711BAD" w:rsidRPr="00711BAD" w:rsidRDefault="00711BAD" w:rsidP="00711BAD">
      <w:pPr>
        <w:numPr>
          <w:ilvl w:val="0"/>
          <w:numId w:val="26"/>
        </w:numPr>
        <w:rPr>
          <w:rFonts w:ascii="Arial" w:hAnsi="Arial" w:cs="Arial"/>
          <w:sz w:val="22"/>
          <w:szCs w:val="22"/>
        </w:rPr>
      </w:pPr>
      <w:r w:rsidRPr="00711BAD">
        <w:rPr>
          <w:rFonts w:ascii="Arial" w:hAnsi="Arial" w:cs="Arial"/>
          <w:b/>
          <w:bCs/>
          <w:sz w:val="22"/>
          <w:szCs w:val="22"/>
        </w:rPr>
        <w:t xml:space="preserve">Índice de Cobertura de Educación Rural (ICEE_rural, </w:t>
      </w:r>
      <m:oMath>
        <m:r>
          <w:rPr>
            <w:rFonts w:ascii="Cambria Math" w:hAnsi="Cambria Math" w:cs="Arial"/>
            <w:sz w:val="22"/>
            <w:szCs w:val="22"/>
          </w:rPr>
          <m:t>β=-0.005</m:t>
        </m:r>
      </m:oMath>
      <w:r w:rsidRPr="00711BAD">
        <w:rPr>
          <w:rFonts w:ascii="Arial" w:hAnsi="Arial" w:cs="Arial"/>
          <w:b/>
          <w:bCs/>
          <w:sz w:val="22"/>
          <w:szCs w:val="22"/>
        </w:rPr>
        <w:t xml:space="preserve">, </w:t>
      </w:r>
      <m:oMath>
        <m:r>
          <w:rPr>
            <w:rFonts w:ascii="Cambria Math" w:hAnsi="Cambria Math" w:cs="Arial"/>
            <w:sz w:val="22"/>
            <w:szCs w:val="22"/>
          </w:rPr>
          <m:t>p&lt;0.01</m:t>
        </m:r>
      </m:oMath>
      <w:r w:rsidRPr="00711BAD">
        <w:rPr>
          <w:rFonts w:ascii="Arial" w:hAnsi="Arial" w:cs="Arial"/>
          <w:b/>
          <w:bCs/>
          <w:sz w:val="22"/>
          <w:szCs w:val="22"/>
        </w:rPr>
        <w:t>):</w:t>
      </w:r>
      <w:r w:rsidRPr="00711BAD">
        <w:rPr>
          <w:rFonts w:ascii="Arial" w:hAnsi="Arial" w:cs="Arial"/>
          <w:sz w:val="22"/>
          <w:szCs w:val="22"/>
        </w:rPr>
        <w:t xml:space="preserve"> Muestra una relación inversa y altamente significativa, confirmando que el fortalecimiento de la infraestructura educativa en las zonas rurales periféricas reduce la vulnerabilidad multidimensional.</w:t>
      </w:r>
    </w:p>
    <w:p w14:paraId="110D1937" w14:textId="77777777" w:rsidR="00711BAD" w:rsidRPr="00711BAD" w:rsidRDefault="00711BAD" w:rsidP="00711BAD">
      <w:pPr>
        <w:rPr>
          <w:rFonts w:ascii="Arial" w:hAnsi="Arial" w:cs="Arial"/>
          <w:sz w:val="22"/>
          <w:szCs w:val="22"/>
        </w:rPr>
      </w:pPr>
      <w:r w:rsidRPr="00711BAD">
        <w:rPr>
          <w:rFonts w:ascii="Arial" w:hAnsi="Arial" w:cs="Arial"/>
          <w:b/>
          <w:bCs/>
          <w:sz w:val="22"/>
          <w:szCs w:val="22"/>
        </w:rPr>
        <w:t>3. Infraestructura y Dinámica Económica Territorial</w:t>
      </w:r>
    </w:p>
    <w:p w14:paraId="3E8D1272" w14:textId="7D2C618A" w:rsidR="00711BAD" w:rsidRPr="00711BAD" w:rsidRDefault="00711BAD" w:rsidP="00711BAD">
      <w:pPr>
        <w:numPr>
          <w:ilvl w:val="0"/>
          <w:numId w:val="27"/>
        </w:numPr>
        <w:rPr>
          <w:rFonts w:ascii="Arial" w:hAnsi="Arial" w:cs="Arial"/>
          <w:sz w:val="22"/>
          <w:szCs w:val="22"/>
        </w:rPr>
      </w:pPr>
      <w:r w:rsidRPr="00711BAD">
        <w:rPr>
          <w:rFonts w:ascii="Arial" w:hAnsi="Arial" w:cs="Arial"/>
          <w:b/>
          <w:bCs/>
          <w:sz w:val="22"/>
          <w:szCs w:val="22"/>
        </w:rPr>
        <w:t xml:space="preserve">Luces Nocturnas (log_viirs, </w:t>
      </w:r>
      <m:oMath>
        <m:r>
          <w:rPr>
            <w:rFonts w:ascii="Cambria Math" w:hAnsi="Cambria Math" w:cs="Arial"/>
            <w:sz w:val="22"/>
            <w:szCs w:val="22"/>
          </w:rPr>
          <m:t>β=-0.263</m:t>
        </m:r>
      </m:oMath>
      <w:r w:rsidRPr="00711BAD">
        <w:rPr>
          <w:rFonts w:ascii="Arial" w:hAnsi="Arial" w:cs="Arial"/>
          <w:b/>
          <w:bCs/>
          <w:sz w:val="22"/>
          <w:szCs w:val="22"/>
        </w:rPr>
        <w:t xml:space="preserve">, </w:t>
      </w:r>
      <m:oMath>
        <m:r>
          <w:rPr>
            <w:rFonts w:ascii="Cambria Math" w:hAnsi="Cambria Math" w:cs="Arial"/>
            <w:sz w:val="22"/>
            <w:szCs w:val="22"/>
          </w:rPr>
          <m:t>p&lt;0.01</m:t>
        </m:r>
      </m:oMath>
      <w:r w:rsidRPr="00711BAD">
        <w:rPr>
          <w:rFonts w:ascii="Arial" w:hAnsi="Arial" w:cs="Arial"/>
          <w:b/>
          <w:bCs/>
          <w:sz w:val="22"/>
          <w:szCs w:val="22"/>
        </w:rPr>
        <w:t>):</w:t>
      </w:r>
      <w:r w:rsidRPr="00711BAD">
        <w:rPr>
          <w:rFonts w:ascii="Arial" w:hAnsi="Arial" w:cs="Arial"/>
          <w:sz w:val="22"/>
          <w:szCs w:val="22"/>
        </w:rPr>
        <w:t xml:space="preserve"> Funciona como un indicador sustituto (</w:t>
      </w:r>
      <w:r w:rsidRPr="00711BAD">
        <w:rPr>
          <w:rFonts w:ascii="Arial" w:hAnsi="Arial" w:cs="Arial"/>
          <w:i/>
          <w:iCs/>
          <w:sz w:val="22"/>
          <w:szCs w:val="22"/>
        </w:rPr>
        <w:t>proxy</w:t>
      </w:r>
      <w:r w:rsidRPr="00711BAD">
        <w:rPr>
          <w:rFonts w:ascii="Arial" w:hAnsi="Arial" w:cs="Arial"/>
          <w:sz w:val="22"/>
          <w:szCs w:val="22"/>
        </w:rPr>
        <w:t>) de la densidad de actividad económica e infraestructura urbana. Incrementos en el brillo nocturno satelital se traducen en reducciones sustanciales en los niveles de pobreza municipal.</w:t>
      </w:r>
    </w:p>
    <w:p w14:paraId="4509737C" w14:textId="07CB6D33" w:rsidR="00711BAD" w:rsidRPr="00711BAD" w:rsidRDefault="00711BAD" w:rsidP="00711BAD">
      <w:pPr>
        <w:numPr>
          <w:ilvl w:val="0"/>
          <w:numId w:val="27"/>
        </w:numPr>
        <w:rPr>
          <w:rFonts w:ascii="Arial" w:hAnsi="Arial" w:cs="Arial"/>
          <w:sz w:val="22"/>
          <w:szCs w:val="22"/>
        </w:rPr>
      </w:pPr>
      <w:r w:rsidRPr="00711BAD">
        <w:rPr>
          <w:rFonts w:ascii="Arial" w:hAnsi="Arial" w:cs="Arial"/>
          <w:b/>
          <w:bCs/>
          <w:sz w:val="22"/>
          <w:szCs w:val="22"/>
        </w:rPr>
        <w:t>Infraestructura Básica (</w:t>
      </w:r>
      <m:oMath>
        <m:r>
          <w:rPr>
            <w:rFonts w:ascii="Cambria Math" w:hAnsi="Cambria Math" w:cs="Arial"/>
            <w:sz w:val="22"/>
            <w:szCs w:val="22"/>
          </w:rPr>
          <m:t>β=-0.002</m:t>
        </m:r>
      </m:oMath>
      <w:r w:rsidRPr="00711BAD">
        <w:rPr>
          <w:rFonts w:ascii="Arial" w:hAnsi="Arial" w:cs="Arial"/>
          <w:b/>
          <w:bCs/>
          <w:sz w:val="22"/>
          <w:szCs w:val="22"/>
        </w:rPr>
        <w:t xml:space="preserve">, </w:t>
      </w:r>
      <m:oMath>
        <m:r>
          <w:rPr>
            <w:rFonts w:ascii="Cambria Math" w:hAnsi="Cambria Math" w:cs="Arial"/>
            <w:sz w:val="22"/>
            <w:szCs w:val="22"/>
          </w:rPr>
          <m:t>p&lt;0.01</m:t>
        </m:r>
      </m:oMath>
      <w:r w:rsidRPr="00711BAD">
        <w:rPr>
          <w:rFonts w:ascii="Arial" w:hAnsi="Arial" w:cs="Arial"/>
          <w:b/>
          <w:bCs/>
          <w:sz w:val="22"/>
          <w:szCs w:val="22"/>
        </w:rPr>
        <w:t>):</w:t>
      </w:r>
      <w:r w:rsidRPr="00711BAD">
        <w:rPr>
          <w:rFonts w:ascii="Arial" w:hAnsi="Arial" w:cs="Arial"/>
          <w:sz w:val="22"/>
          <w:szCs w:val="22"/>
        </w:rPr>
        <w:t xml:space="preserve"> El acceso a servicios públicos e infraestructura física mitiga de forma consistente las privaciones del IPM.</w:t>
      </w:r>
    </w:p>
    <w:p w14:paraId="16A02E3F" w14:textId="77777777" w:rsidR="00711BAD" w:rsidRPr="00711BAD" w:rsidRDefault="00711BAD" w:rsidP="00711BAD">
      <w:pPr>
        <w:rPr>
          <w:rFonts w:ascii="Arial" w:hAnsi="Arial" w:cs="Arial"/>
          <w:sz w:val="22"/>
          <w:szCs w:val="22"/>
        </w:rPr>
      </w:pPr>
      <w:r w:rsidRPr="00711BAD">
        <w:rPr>
          <w:rFonts w:ascii="Arial" w:hAnsi="Arial" w:cs="Arial"/>
          <w:b/>
          <w:bCs/>
          <w:sz w:val="22"/>
          <w:szCs w:val="22"/>
        </w:rPr>
        <w:t>4. Salud Pública y Vulnerabilidad Social</w:t>
      </w:r>
    </w:p>
    <w:p w14:paraId="1A1AE455" w14:textId="6E043C9C" w:rsidR="00711BAD" w:rsidRPr="00711BAD" w:rsidRDefault="00711BAD" w:rsidP="00711BAD">
      <w:pPr>
        <w:numPr>
          <w:ilvl w:val="0"/>
          <w:numId w:val="28"/>
        </w:numPr>
        <w:rPr>
          <w:rFonts w:ascii="Arial" w:hAnsi="Arial" w:cs="Arial"/>
          <w:sz w:val="22"/>
          <w:szCs w:val="22"/>
        </w:rPr>
      </w:pPr>
      <w:r w:rsidRPr="00711BAD">
        <w:rPr>
          <w:rFonts w:ascii="Arial" w:hAnsi="Arial" w:cs="Arial"/>
          <w:b/>
          <w:bCs/>
          <w:sz w:val="22"/>
          <w:szCs w:val="22"/>
        </w:rPr>
        <w:t xml:space="preserve">Porcentaje en Régimen Subsidiado (pct_subsidiado, </w:t>
      </w:r>
      <m:oMath>
        <m:r>
          <w:rPr>
            <w:rFonts w:ascii="Cambria Math" w:hAnsi="Cambria Math" w:cs="Arial"/>
            <w:sz w:val="22"/>
            <w:szCs w:val="22"/>
          </w:rPr>
          <m:t>β=0.872</m:t>
        </m:r>
      </m:oMath>
      <w:r w:rsidRPr="00711BAD">
        <w:rPr>
          <w:rFonts w:ascii="Arial" w:hAnsi="Arial" w:cs="Arial"/>
          <w:b/>
          <w:bCs/>
          <w:sz w:val="22"/>
          <w:szCs w:val="22"/>
        </w:rPr>
        <w:t xml:space="preserve">, </w:t>
      </w:r>
      <m:oMath>
        <m:r>
          <w:rPr>
            <w:rFonts w:ascii="Cambria Math" w:hAnsi="Cambria Math" w:cs="Arial"/>
            <w:sz w:val="22"/>
            <w:szCs w:val="22"/>
          </w:rPr>
          <m:t>p&lt;0.01</m:t>
        </m:r>
      </m:oMath>
      <w:r w:rsidRPr="00711BAD">
        <w:rPr>
          <w:rFonts w:ascii="Arial" w:hAnsi="Arial" w:cs="Arial"/>
          <w:b/>
          <w:bCs/>
          <w:sz w:val="22"/>
          <w:szCs w:val="22"/>
        </w:rPr>
        <w:t>):</w:t>
      </w:r>
      <w:r w:rsidRPr="00711BAD">
        <w:rPr>
          <w:rFonts w:ascii="Arial" w:hAnsi="Arial" w:cs="Arial"/>
          <w:sz w:val="22"/>
          <w:szCs w:val="22"/>
        </w:rPr>
        <w:t xml:space="preserve"> Refleja la concentración de población vulnerable dependiente del aseguramiento estatal en salud, asociándose positivamente con mayores tasas de IPM.</w:t>
      </w:r>
    </w:p>
    <w:p w14:paraId="2F18AC5A" w14:textId="5D9D8A8E" w:rsidR="00711BAD" w:rsidRPr="00711BAD" w:rsidRDefault="00711BAD" w:rsidP="00711BAD">
      <w:pPr>
        <w:numPr>
          <w:ilvl w:val="0"/>
          <w:numId w:val="28"/>
        </w:numPr>
        <w:rPr>
          <w:rFonts w:ascii="Arial" w:hAnsi="Arial" w:cs="Arial"/>
          <w:sz w:val="22"/>
          <w:szCs w:val="22"/>
        </w:rPr>
      </w:pPr>
      <w:r w:rsidRPr="00711BAD">
        <w:rPr>
          <w:rFonts w:ascii="Arial" w:hAnsi="Arial" w:cs="Arial"/>
          <w:b/>
          <w:bCs/>
          <w:sz w:val="22"/>
          <w:szCs w:val="22"/>
        </w:rPr>
        <w:t>Mortalidad Infantil (</w:t>
      </w:r>
      <m:oMath>
        <m:r>
          <w:rPr>
            <w:rFonts w:ascii="Cambria Math" w:hAnsi="Cambria Math" w:cs="Arial"/>
            <w:sz w:val="22"/>
            <w:szCs w:val="22"/>
          </w:rPr>
          <m:t>β=0.003</m:t>
        </m:r>
      </m:oMath>
      <w:r w:rsidRPr="00711BAD">
        <w:rPr>
          <w:rFonts w:ascii="Arial" w:hAnsi="Arial" w:cs="Arial"/>
          <w:b/>
          <w:bCs/>
          <w:sz w:val="22"/>
          <w:szCs w:val="22"/>
        </w:rPr>
        <w:t xml:space="preserve">, </w:t>
      </w:r>
      <m:oMath>
        <m:r>
          <w:rPr>
            <w:rFonts w:ascii="Cambria Math" w:hAnsi="Cambria Math" w:cs="Arial"/>
            <w:sz w:val="22"/>
            <w:szCs w:val="22"/>
          </w:rPr>
          <m:t>p&lt;0.01</m:t>
        </m:r>
      </m:oMath>
      <w:r w:rsidRPr="00711BAD">
        <w:rPr>
          <w:rFonts w:ascii="Arial" w:hAnsi="Arial" w:cs="Arial"/>
          <w:b/>
          <w:bCs/>
          <w:sz w:val="22"/>
          <w:szCs w:val="22"/>
        </w:rPr>
        <w:t xml:space="preserve">) y Razón de Mortalidad Materna (rmm42, </w:t>
      </w:r>
      <m:oMath>
        <m:r>
          <w:rPr>
            <w:rFonts w:ascii="Cambria Math" w:hAnsi="Cambria Math" w:cs="Arial"/>
            <w:sz w:val="22"/>
            <w:szCs w:val="22"/>
          </w:rPr>
          <m:t>β=0.0001</m:t>
        </m:r>
      </m:oMath>
      <w:r w:rsidRPr="00711BAD">
        <w:rPr>
          <w:rFonts w:ascii="Arial" w:hAnsi="Arial" w:cs="Arial"/>
          <w:b/>
          <w:bCs/>
          <w:sz w:val="22"/>
          <w:szCs w:val="22"/>
        </w:rPr>
        <w:t xml:space="preserve">, </w:t>
      </w:r>
      <m:oMath>
        <m:r>
          <w:rPr>
            <w:rFonts w:ascii="Cambria Math" w:hAnsi="Cambria Math" w:cs="Arial"/>
            <w:sz w:val="22"/>
            <w:szCs w:val="22"/>
          </w:rPr>
          <m:t>p&lt;0.01</m:t>
        </m:r>
      </m:oMath>
      <w:r w:rsidRPr="00711BAD">
        <w:rPr>
          <w:rFonts w:ascii="Arial" w:hAnsi="Arial" w:cs="Arial"/>
          <w:b/>
          <w:bCs/>
          <w:sz w:val="22"/>
          <w:szCs w:val="22"/>
        </w:rPr>
        <w:t>):</w:t>
      </w:r>
      <w:r w:rsidRPr="00711BAD">
        <w:rPr>
          <w:rFonts w:ascii="Arial" w:hAnsi="Arial" w:cs="Arial"/>
          <w:sz w:val="22"/>
          <w:szCs w:val="22"/>
        </w:rPr>
        <w:t xml:space="preserve"> Ambos indicadores capturan deficiencias estructurales en las redes primarias de atención en salud, estando directamente vinculados a mayores niveles de pobreza multidimensional.</w:t>
      </w:r>
    </w:p>
    <w:p w14:paraId="6098D262" w14:textId="3C2E1C49" w:rsidR="00711BAD" w:rsidRPr="00711BAD" w:rsidRDefault="00711BAD" w:rsidP="00711BAD">
      <w:pPr>
        <w:rPr>
          <w:rFonts w:ascii="Arial" w:hAnsi="Arial" w:cs="Arial"/>
          <w:sz w:val="22"/>
          <w:szCs w:val="22"/>
        </w:rPr>
      </w:pPr>
      <w:r w:rsidRPr="00711BAD">
        <w:rPr>
          <w:rFonts w:ascii="Arial" w:hAnsi="Arial" w:cs="Arial"/>
          <w:sz w:val="22"/>
          <w:szCs w:val="22"/>
        </w:rPr>
        <w:t>El modelo</w:t>
      </w:r>
      <w:r w:rsidRPr="00711BAD">
        <w:rPr>
          <w:rFonts w:ascii="Arial" w:hAnsi="Arial" w:cs="Arial"/>
          <w:b/>
          <w:bCs/>
          <w:sz w:val="22"/>
          <w:szCs w:val="22"/>
        </w:rPr>
        <w:t xml:space="preserve"> </w:t>
      </w:r>
      <w:r w:rsidRPr="00711BAD">
        <w:rPr>
          <w:rFonts w:ascii="Arial" w:hAnsi="Arial" w:cs="Arial"/>
          <w:sz w:val="22"/>
          <w:szCs w:val="22"/>
        </w:rPr>
        <w:t>consolida una arquitectura robusta y teóricamente coherente para la proyección indirecta del IPM 2024. La combinación de covariables socioeconómicas explicativas junto con la estructura de interacción espacial (</w:t>
      </w:r>
      <m:oMath>
        <m:r>
          <w:rPr>
            <w:rFonts w:ascii="Cambria Math" w:hAnsi="Cambria Math" w:cs="Arial"/>
            <w:sz w:val="22"/>
            <w:szCs w:val="22"/>
          </w:rPr>
          <m:t>ρ=0.6181</m:t>
        </m:r>
      </m:oMath>
      <w:r w:rsidRPr="00711BAD">
        <w:rPr>
          <w:rFonts w:ascii="Arial" w:hAnsi="Arial" w:cs="Arial"/>
          <w:sz w:val="22"/>
          <w:szCs w:val="22"/>
        </w:rPr>
        <w:t>) garantiza la captura simultánea de las heterogeneidades locales y las inercias territoriales del país, contando con la validación de errores estándar corregidos por heterocedasticidad."</w:t>
      </w:r>
    </w:p>
    <w:p w14:paraId="6CE00D0C" w14:textId="77777777" w:rsidR="00711BAD" w:rsidRPr="00711BAD" w:rsidRDefault="00711BAD" w:rsidP="00711BAD">
      <w:pPr>
        <w:rPr>
          <w:rFonts w:ascii="Arial" w:hAnsi="Arial" w:cs="Arial"/>
          <w:b/>
          <w:bCs/>
          <w:sz w:val="22"/>
          <w:szCs w:val="22"/>
        </w:rPr>
      </w:pPr>
      <w:r w:rsidRPr="00711BAD">
        <w:rPr>
          <w:rFonts w:ascii="Arial" w:hAnsi="Arial" w:cs="Arial"/>
          <w:b/>
          <w:bCs/>
          <w:sz w:val="22"/>
          <w:szCs w:val="22"/>
        </w:rPr>
        <w:t>Proyección y Validación del IPM Municipal 2024</w:t>
      </w:r>
    </w:p>
    <w:p w14:paraId="6A61668A" w14:textId="77777777" w:rsidR="00711BAD" w:rsidRPr="00711BAD" w:rsidRDefault="00711BAD" w:rsidP="00711BAD">
      <w:pPr>
        <w:rPr>
          <w:rFonts w:ascii="Arial" w:hAnsi="Arial" w:cs="Arial"/>
          <w:sz w:val="22"/>
          <w:szCs w:val="22"/>
        </w:rPr>
      </w:pPr>
      <w:r w:rsidRPr="00711BAD">
        <w:rPr>
          <w:rFonts w:ascii="Arial" w:hAnsi="Arial" w:cs="Arial"/>
          <w:b/>
          <w:bCs/>
          <w:sz w:val="22"/>
          <w:szCs w:val="22"/>
        </w:rPr>
        <w:t>1. Incorporación de Componentes Espaciales en Modelos SAE</w:t>
      </w:r>
    </w:p>
    <w:p w14:paraId="35A7AC9A" w14:textId="77777777" w:rsidR="00711BAD" w:rsidRPr="00711BAD" w:rsidRDefault="00711BAD" w:rsidP="00711BAD">
      <w:pPr>
        <w:rPr>
          <w:rFonts w:ascii="Arial" w:hAnsi="Arial" w:cs="Arial"/>
          <w:sz w:val="22"/>
          <w:szCs w:val="22"/>
        </w:rPr>
      </w:pPr>
      <w:r w:rsidRPr="00711BAD">
        <w:rPr>
          <w:rFonts w:ascii="Arial" w:hAnsi="Arial" w:cs="Arial"/>
          <w:i/>
          <w:iCs/>
          <w:sz w:val="22"/>
          <w:szCs w:val="22"/>
        </w:rPr>
        <w:lastRenderedPageBreak/>
        <w:t>(Respuesta al Objetivo 1)</w:t>
      </w:r>
    </w:p>
    <w:p w14:paraId="7C955C12" w14:textId="77777777" w:rsidR="00711BAD" w:rsidRPr="00711BAD" w:rsidRDefault="00711BAD" w:rsidP="00711BAD">
      <w:pPr>
        <w:rPr>
          <w:rFonts w:ascii="Arial" w:hAnsi="Arial" w:cs="Arial"/>
          <w:sz w:val="22"/>
          <w:szCs w:val="22"/>
        </w:rPr>
      </w:pPr>
      <w:r w:rsidRPr="00711BAD">
        <w:rPr>
          <w:rFonts w:ascii="Arial" w:hAnsi="Arial" w:cs="Arial"/>
          <w:sz w:val="22"/>
          <w:szCs w:val="22"/>
        </w:rPr>
        <w:t>La estimación en áreas pequeñas (SAE) de la pobreza multidimensional municipal se fortalece al integrar la dimensión territorial mediante una arquitectura autorregresiva espacial (SAR). Esta aproximación resuelve la estructura del sistema simultáneo mediante la inversión matricial de Leontief:</w:t>
      </w:r>
    </w:p>
    <w:p w14:paraId="08FA0D5D" w14:textId="76C06071" w:rsidR="00711BAD" w:rsidRPr="00711BAD" w:rsidRDefault="00711BAD" w:rsidP="00711BAD">
      <w:pPr>
        <w:rPr>
          <w:rFonts w:ascii="Arial" w:hAnsi="Arial" w:cs="Arial"/>
          <w:sz w:val="22"/>
          <w:szCs w:val="22"/>
        </w:rPr>
      </w:pPr>
      <m:oMathPara>
        <m:oMath>
          <m:r>
            <m:rPr>
              <m:nor/>
            </m:rPr>
            <w:rPr>
              <w:rFonts w:ascii="Arial" w:hAnsi="Arial" w:cs="Arial"/>
              <w:sz w:val="22"/>
              <w:szCs w:val="22"/>
            </w:rPr>
            <m:t>logit</m:t>
          </m:r>
          <m:d>
            <m:dPr>
              <m:ctrlPr>
                <w:rPr>
                  <w:rFonts w:ascii="Cambria Math" w:hAnsi="Cambria Math" w:cs="Arial"/>
                  <w:sz w:val="22"/>
                  <w:szCs w:val="22"/>
                </w:rPr>
              </m:ctrlPr>
            </m:dPr>
            <m:e>
              <m:sSub>
                <m:sSubPr>
                  <m:ctrlPr>
                    <w:rPr>
                      <w:rFonts w:ascii="Cambria Math" w:hAnsi="Cambria Math" w:cs="Arial"/>
                      <w:sz w:val="22"/>
                      <w:szCs w:val="22"/>
                    </w:rPr>
                  </m:ctrlPr>
                </m:sSubPr>
                <m:e>
                  <m:acc>
                    <m:accPr>
                      <m:ctrlPr>
                        <w:rPr>
                          <w:rFonts w:ascii="Cambria Math" w:hAnsi="Cambria Math" w:cs="Arial"/>
                          <w:sz w:val="22"/>
                          <w:szCs w:val="22"/>
                        </w:rPr>
                      </m:ctrlPr>
                    </m:accPr>
                    <m:e>
                      <m:r>
                        <m:rPr>
                          <m:nor/>
                        </m:rPr>
                        <w:rPr>
                          <w:rFonts w:ascii="Arial" w:hAnsi="Arial" w:cs="Arial"/>
                          <w:sz w:val="22"/>
                          <w:szCs w:val="22"/>
                        </w:rPr>
                        <m:t>IPM</m:t>
                      </m:r>
                    </m:e>
                  </m:acc>
                </m:e>
                <m:sub>
                  <m:r>
                    <w:rPr>
                      <w:rFonts w:ascii="Cambria Math" w:hAnsi="Cambria Math" w:cs="Arial"/>
                      <w:sz w:val="22"/>
                      <w:szCs w:val="22"/>
                    </w:rPr>
                    <m:t>2024</m:t>
                  </m:r>
                </m:sub>
              </m:sSub>
            </m:e>
          </m:d>
          <m:r>
            <w:rPr>
              <w:rFonts w:ascii="Cambria Math" w:hAnsi="Cambria Math" w:cs="Arial"/>
              <w:sz w:val="22"/>
              <w:szCs w:val="22"/>
            </w:rPr>
            <m:t>=</m:t>
          </m:r>
          <m:sSup>
            <m:sSupPr>
              <m:ctrlPr>
                <w:rPr>
                  <w:rFonts w:ascii="Cambria Math" w:hAnsi="Cambria Math" w:cs="Arial"/>
                  <w:sz w:val="22"/>
                  <w:szCs w:val="22"/>
                </w:rPr>
              </m:ctrlPr>
            </m:sSupPr>
            <m:e>
              <m:d>
                <m:dPr>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I</m:t>
                      </m:r>
                    </m:e>
                    <m:sub>
                      <m:r>
                        <w:rPr>
                          <w:rFonts w:ascii="Cambria Math" w:hAnsi="Cambria Math" w:cs="Arial"/>
                          <w:sz w:val="22"/>
                          <w:szCs w:val="22"/>
                        </w:rPr>
                        <m:t>n</m:t>
                      </m:r>
                    </m:sub>
                  </m:sSub>
                  <m:r>
                    <w:rPr>
                      <w:rFonts w:ascii="Cambria Math" w:hAnsi="Cambria Math" w:cs="Arial"/>
                      <w:sz w:val="22"/>
                      <w:szCs w:val="22"/>
                    </w:rPr>
                    <m:t>-ρW</m:t>
                  </m:r>
                </m:e>
              </m:d>
            </m:e>
            <m:sup>
              <m:r>
                <w:rPr>
                  <w:rFonts w:ascii="Cambria Math" w:hAnsi="Cambria Math" w:cs="Arial"/>
                  <w:sz w:val="22"/>
                  <w:szCs w:val="22"/>
                </w:rPr>
                <m:t>-1</m:t>
              </m:r>
            </m:sup>
          </m:sSup>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2024</m:t>
              </m:r>
            </m:sub>
          </m:sSub>
          <m:r>
            <w:rPr>
              <w:rFonts w:ascii="Cambria Math" w:hAnsi="Cambria Math" w:cs="Arial"/>
              <w:sz w:val="22"/>
              <w:szCs w:val="22"/>
            </w:rPr>
            <m:t>β</m:t>
          </m:r>
        </m:oMath>
      </m:oMathPara>
    </w:p>
    <w:p w14:paraId="7BDF4EC5" w14:textId="479B821F" w:rsidR="00711BAD" w:rsidRPr="00711BAD" w:rsidRDefault="00711BAD" w:rsidP="00711BAD">
      <w:pPr>
        <w:rPr>
          <w:rFonts w:ascii="Arial" w:hAnsi="Arial" w:cs="Arial"/>
          <w:sz w:val="22"/>
          <w:szCs w:val="22"/>
        </w:rPr>
      </w:pPr>
      <w:r w:rsidRPr="00711BAD">
        <w:rPr>
          <w:rFonts w:ascii="Arial" w:hAnsi="Arial" w:cs="Arial"/>
          <w:sz w:val="22"/>
          <w:szCs w:val="22"/>
        </w:rPr>
        <w:t>La incorporación de la matriz de contigüidad tipo Queen (</w:t>
      </w:r>
      <m:oMath>
        <m:r>
          <w:rPr>
            <w:rFonts w:ascii="Cambria Math" w:hAnsi="Cambria Math" w:cs="Arial"/>
            <w:sz w:val="22"/>
            <w:szCs w:val="22"/>
          </w:rPr>
          <m:t>W</m:t>
        </m:r>
      </m:oMath>
      <w:r w:rsidRPr="00711BAD">
        <w:rPr>
          <w:rFonts w:ascii="Arial" w:hAnsi="Arial" w:cs="Arial"/>
          <w:sz w:val="22"/>
          <w:szCs w:val="22"/>
        </w:rPr>
        <w:t>) estandarizada por filas ofrece ventajas clave:</w:t>
      </w:r>
    </w:p>
    <w:p w14:paraId="40DDDF4A" w14:textId="1B3989FF" w:rsidR="00711BAD" w:rsidRPr="00711BAD" w:rsidRDefault="00711BAD" w:rsidP="00711BAD">
      <w:pPr>
        <w:numPr>
          <w:ilvl w:val="0"/>
          <w:numId w:val="29"/>
        </w:numPr>
        <w:rPr>
          <w:rFonts w:ascii="Arial" w:hAnsi="Arial" w:cs="Arial"/>
          <w:sz w:val="22"/>
          <w:szCs w:val="22"/>
        </w:rPr>
      </w:pPr>
      <w:r w:rsidRPr="00711BAD">
        <w:rPr>
          <w:rFonts w:ascii="Arial" w:hAnsi="Arial" w:cs="Arial"/>
          <w:b/>
          <w:bCs/>
          <w:sz w:val="22"/>
          <w:szCs w:val="22"/>
        </w:rPr>
        <w:t>Absorción de la Autocorrelación Residual:</w:t>
      </w:r>
      <w:r w:rsidRPr="00711BAD">
        <w:rPr>
          <w:rFonts w:ascii="Arial" w:hAnsi="Arial" w:cs="Arial"/>
          <w:sz w:val="22"/>
          <w:szCs w:val="22"/>
        </w:rPr>
        <w:t xml:space="preserve"> El parámetro autorregresivo </w:t>
      </w:r>
      <m:oMath>
        <m:r>
          <w:rPr>
            <w:rFonts w:ascii="Cambria Math" w:hAnsi="Cambria Math" w:cs="Arial"/>
            <w:sz w:val="22"/>
            <w:szCs w:val="22"/>
          </w:rPr>
          <m:t>ρ=0.6181</m:t>
        </m:r>
      </m:oMath>
      <w:r w:rsidRPr="00711BAD">
        <w:rPr>
          <w:rFonts w:ascii="Arial" w:hAnsi="Arial" w:cs="Arial"/>
          <w:sz w:val="22"/>
          <w:szCs w:val="22"/>
        </w:rPr>
        <w:t xml:space="preserve"> (</w:t>
      </w:r>
      <m:oMath>
        <m:r>
          <w:rPr>
            <w:rFonts w:ascii="Cambria Math" w:hAnsi="Cambria Math" w:cs="Arial"/>
            <w:sz w:val="22"/>
            <w:szCs w:val="22"/>
          </w:rPr>
          <m:t>p&lt;0.001</m:t>
        </m:r>
      </m:oMath>
      <w:r w:rsidRPr="00711BAD">
        <w:rPr>
          <w:rFonts w:ascii="Arial" w:hAnsi="Arial" w:cs="Arial"/>
          <w:sz w:val="22"/>
          <w:szCs w:val="22"/>
        </w:rPr>
        <w:t xml:space="preserve">) absorbe la inercia geográfica, garantizando la ausencia de patrones espaciales en los residuos (Test de Moran: </w:t>
      </w:r>
      <m:oMath>
        <m:r>
          <w:rPr>
            <w:rFonts w:ascii="Cambria Math" w:hAnsi="Cambria Math" w:cs="Arial"/>
            <w:sz w:val="22"/>
            <w:szCs w:val="22"/>
          </w:rPr>
          <m:t>I=0.0275</m:t>
        </m:r>
      </m:oMath>
      <w:r w:rsidRPr="00711BAD">
        <w:rPr>
          <w:rFonts w:ascii="Arial" w:hAnsi="Arial" w:cs="Arial"/>
          <w:sz w:val="22"/>
          <w:szCs w:val="22"/>
        </w:rPr>
        <w:t xml:space="preserve">, </w:t>
      </w:r>
      <m:oMath>
        <m:r>
          <w:rPr>
            <w:rFonts w:ascii="Cambria Math" w:hAnsi="Cambria Math" w:cs="Arial"/>
            <w:sz w:val="22"/>
            <w:szCs w:val="22"/>
          </w:rPr>
          <m:t>p=0.056</m:t>
        </m:r>
      </m:oMath>
      <w:r w:rsidRPr="00711BAD">
        <w:rPr>
          <w:rFonts w:ascii="Arial" w:hAnsi="Arial" w:cs="Arial"/>
          <w:sz w:val="22"/>
          <w:szCs w:val="22"/>
        </w:rPr>
        <w:t>).</w:t>
      </w:r>
    </w:p>
    <w:p w14:paraId="1ACC0050" w14:textId="1CC60D14" w:rsidR="00711BAD" w:rsidRPr="00711BAD" w:rsidRDefault="00711BAD" w:rsidP="00711BAD">
      <w:pPr>
        <w:numPr>
          <w:ilvl w:val="0"/>
          <w:numId w:val="29"/>
        </w:numPr>
        <w:rPr>
          <w:rFonts w:ascii="Arial" w:hAnsi="Arial" w:cs="Arial"/>
          <w:sz w:val="22"/>
          <w:szCs w:val="22"/>
        </w:rPr>
      </w:pPr>
      <w:r w:rsidRPr="00711BAD">
        <w:rPr>
          <w:rFonts w:ascii="Arial" w:hAnsi="Arial" w:cs="Arial"/>
          <w:b/>
          <w:bCs/>
          <w:sz w:val="22"/>
          <w:szCs w:val="22"/>
        </w:rPr>
        <w:t>Propagación Simultánea de Impulsos:</w:t>
      </w:r>
      <w:r w:rsidRPr="00711BAD">
        <w:rPr>
          <w:rFonts w:ascii="Arial" w:hAnsi="Arial" w:cs="Arial"/>
          <w:sz w:val="22"/>
          <w:szCs w:val="22"/>
        </w:rPr>
        <w:t xml:space="preserve"> El multiplicador espacial </w:t>
      </w:r>
      <m:oMath>
        <m:sSup>
          <m:sSupPr>
            <m:ctrlPr>
              <w:rPr>
                <w:rFonts w:ascii="Cambria Math" w:hAnsi="Cambria Math" w:cs="Arial"/>
                <w:sz w:val="22"/>
                <w:szCs w:val="22"/>
              </w:rPr>
            </m:ctrlPr>
          </m:sSupPr>
          <m:e>
            <m:d>
              <m:dPr>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I</m:t>
                    </m:r>
                  </m:e>
                  <m:sub>
                    <m:r>
                      <w:rPr>
                        <w:rFonts w:ascii="Cambria Math" w:hAnsi="Cambria Math" w:cs="Arial"/>
                        <w:sz w:val="22"/>
                        <w:szCs w:val="22"/>
                      </w:rPr>
                      <m:t>n</m:t>
                    </m:r>
                  </m:sub>
                </m:sSub>
                <m:r>
                  <w:rPr>
                    <w:rFonts w:ascii="Cambria Math" w:hAnsi="Cambria Math" w:cs="Arial"/>
                    <w:sz w:val="22"/>
                    <w:szCs w:val="22"/>
                  </w:rPr>
                  <m:t>-ρW</m:t>
                </m:r>
              </m:e>
            </m:d>
          </m:e>
          <m:sup>
            <m:r>
              <w:rPr>
                <w:rFonts w:ascii="Cambria Math" w:hAnsi="Cambria Math" w:cs="Arial"/>
                <w:sz w:val="22"/>
                <w:szCs w:val="22"/>
              </w:rPr>
              <m:t>-1</m:t>
            </m:r>
          </m:sup>
        </m:sSup>
      </m:oMath>
      <w:r w:rsidRPr="00711BAD">
        <w:rPr>
          <w:rFonts w:ascii="Arial" w:hAnsi="Arial" w:cs="Arial"/>
          <w:sz w:val="22"/>
          <w:szCs w:val="22"/>
        </w:rPr>
        <w:t xml:space="preserve"> asegura que las variaciones socioeconómicas de un municipio generen efectos de derrame (</w:t>
      </w:r>
      <w:r w:rsidRPr="00711BAD">
        <w:rPr>
          <w:rFonts w:ascii="Arial" w:hAnsi="Arial" w:cs="Arial"/>
          <w:i/>
          <w:iCs/>
          <w:sz w:val="22"/>
          <w:szCs w:val="22"/>
        </w:rPr>
        <w:t>spillover effects</w:t>
      </w:r>
      <w:r w:rsidRPr="00711BAD">
        <w:rPr>
          <w:rFonts w:ascii="Arial" w:hAnsi="Arial" w:cs="Arial"/>
          <w:sz w:val="22"/>
          <w:szCs w:val="22"/>
        </w:rPr>
        <w:t>) sobre sus municipios colindantes.</w:t>
      </w:r>
    </w:p>
    <w:p w14:paraId="01CB7678" w14:textId="1BCAB7D0" w:rsidR="00711BAD" w:rsidRPr="00711BAD" w:rsidRDefault="00711BAD" w:rsidP="00711BAD">
      <w:pPr>
        <w:numPr>
          <w:ilvl w:val="0"/>
          <w:numId w:val="29"/>
        </w:numPr>
        <w:rPr>
          <w:rFonts w:ascii="Arial" w:hAnsi="Arial" w:cs="Arial"/>
          <w:sz w:val="22"/>
          <w:szCs w:val="22"/>
        </w:rPr>
      </w:pPr>
      <w:r w:rsidRPr="00711BAD">
        <w:rPr>
          <w:rFonts w:ascii="Arial" w:hAnsi="Arial" w:cs="Arial"/>
          <w:b/>
          <w:bCs/>
          <w:sz w:val="22"/>
          <w:szCs w:val="22"/>
        </w:rPr>
        <w:t>Inferencia Robusta:</w:t>
      </w:r>
      <w:r w:rsidRPr="00711BAD">
        <w:rPr>
          <w:rFonts w:ascii="Arial" w:hAnsi="Arial" w:cs="Arial"/>
          <w:sz w:val="22"/>
          <w:szCs w:val="22"/>
        </w:rPr>
        <w:t xml:space="preserve"> La corrección de errores estándar ante heterocedasticidad (Breusch-Pagan) asegura la validez de las pruebas de hipótesis sobre los coeficientes explicativos.</w:t>
      </w:r>
    </w:p>
    <w:p w14:paraId="1D80E05A" w14:textId="7F042DC7" w:rsidR="00711BAD" w:rsidRPr="00711BAD" w:rsidRDefault="00711BAD" w:rsidP="00711BAD">
      <w:pPr>
        <w:rPr>
          <w:rFonts w:ascii="Arial" w:hAnsi="Arial" w:cs="Arial"/>
          <w:sz w:val="22"/>
          <w:szCs w:val="22"/>
        </w:rPr>
      </w:pPr>
      <w:r w:rsidRPr="00711BAD">
        <w:rPr>
          <w:rFonts w:ascii="Arial" w:hAnsi="Arial" w:cs="Arial"/>
          <w:sz w:val="22"/>
          <w:szCs w:val="22"/>
        </w:rPr>
        <w:t xml:space="preserve">Adicionalmente, la incorporación de la intensidad lumínica nocturna satelital </w:t>
      </w:r>
      <m:oMath>
        <m:func>
          <m:funcPr>
            <m:ctrlPr>
              <w:rPr>
                <w:rFonts w:ascii="Cambria Math" w:hAnsi="Cambria Math" w:cs="Arial"/>
                <w:sz w:val="22"/>
                <w:szCs w:val="22"/>
              </w:rPr>
            </m:ctrlPr>
          </m:funcPr>
          <m:fName>
            <m:r>
              <m:rPr>
                <m:sty m:val="p"/>
              </m:rPr>
              <w:rPr>
                <w:rFonts w:ascii="Cambria Math" w:hAnsi="Cambria Math" w:cs="Arial"/>
                <w:sz w:val="22"/>
                <w:szCs w:val="22"/>
              </w:rPr>
              <m:t>log</m:t>
            </m:r>
          </m:fName>
          <m:e>
            <m:d>
              <m:dPr>
                <m:ctrlPr>
                  <w:rPr>
                    <w:rFonts w:ascii="Cambria Math" w:hAnsi="Cambria Math" w:cs="Arial"/>
                    <w:sz w:val="22"/>
                    <w:szCs w:val="22"/>
                  </w:rPr>
                </m:ctrlPr>
              </m:dPr>
              <m:e>
                <m:r>
                  <m:rPr>
                    <m:nor/>
                  </m:rPr>
                  <w:rPr>
                    <w:rFonts w:ascii="Arial" w:hAnsi="Arial" w:cs="Arial"/>
                    <w:sz w:val="22"/>
                    <w:szCs w:val="22"/>
                  </w:rPr>
                  <m:t>VIIRS</m:t>
                </m:r>
                <m:r>
                  <w:rPr>
                    <w:rFonts w:ascii="Cambria Math" w:hAnsi="Cambria Math" w:cs="Arial"/>
                    <w:sz w:val="22"/>
                    <w:szCs w:val="22"/>
                  </w:rPr>
                  <m:t>+1</m:t>
                </m:r>
              </m:e>
            </m:d>
          </m:e>
        </m:func>
      </m:oMath>
      <w:r w:rsidRPr="00711BAD">
        <w:rPr>
          <w:rFonts w:ascii="Arial" w:hAnsi="Arial" w:cs="Arial"/>
          <w:sz w:val="22"/>
          <w:szCs w:val="22"/>
        </w:rPr>
        <w:t xml:space="preserve"> valida el uso de datos no convencionales para complementar las estadísticas oficiales:</w:t>
      </w:r>
    </w:p>
    <w:p w14:paraId="66EAFD98" w14:textId="1D7AF420" w:rsidR="00711BAD" w:rsidRPr="00711BAD" w:rsidRDefault="00711BAD" w:rsidP="00711BAD">
      <w:pPr>
        <w:rPr>
          <w:rFonts w:ascii="Arial" w:hAnsi="Arial" w:cs="Arial"/>
          <w:sz w:val="22"/>
          <w:szCs w:val="22"/>
        </w:rPr>
      </w:pPr>
      <w:r w:rsidRPr="00711BAD">
        <w:rPr>
          <w:rFonts w:ascii="Arial" w:hAnsi="Arial" w:cs="Arial"/>
          <w:noProof/>
          <w:sz w:val="22"/>
          <w:szCs w:val="22"/>
        </w:rPr>
        <w:lastRenderedPageBreak/>
        <w:drawing>
          <wp:inline distT="0" distB="0" distL="0" distR="0" wp14:anchorId="10F43C21" wp14:editId="64308D29">
            <wp:extent cx="5612130" cy="3671743"/>
            <wp:effectExtent l="0" t="0" r="7620" b="5080"/>
            <wp:docPr id="170227843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3671743"/>
                    </a:xfrm>
                    <a:prstGeom prst="rect">
                      <a:avLst/>
                    </a:prstGeom>
                    <a:noFill/>
                  </pic:spPr>
                </pic:pic>
              </a:graphicData>
            </a:graphic>
          </wp:inline>
        </w:drawing>
      </w:r>
    </w:p>
    <w:p w14:paraId="742BA380" w14:textId="0D1FA69F" w:rsidR="00711BAD" w:rsidRPr="00711BAD" w:rsidRDefault="00711BAD" w:rsidP="00711BAD">
      <w:pPr>
        <w:numPr>
          <w:ilvl w:val="0"/>
          <w:numId w:val="32"/>
        </w:numPr>
        <w:rPr>
          <w:rFonts w:ascii="Arial" w:hAnsi="Arial" w:cs="Arial"/>
          <w:sz w:val="22"/>
          <w:szCs w:val="22"/>
        </w:rPr>
      </w:pPr>
      <w:r w:rsidRPr="00711BAD">
        <w:rPr>
          <w:rFonts w:ascii="Arial" w:hAnsi="Arial" w:cs="Arial"/>
          <w:sz w:val="22"/>
          <w:szCs w:val="22"/>
        </w:rPr>
        <w:t>Efecto Marginal Decreciente: El modelo ajusta una relación inversamente proporcional (</w:t>
      </w:r>
      <m:oMath>
        <m:sSub>
          <m:sSubPr>
            <m:ctrlPr>
              <w:rPr>
                <w:rFonts w:ascii="Cambria Math" w:hAnsi="Cambria Math" w:cs="Arial"/>
                <w:sz w:val="22"/>
                <w:szCs w:val="22"/>
              </w:rPr>
            </m:ctrlPr>
          </m:sSubPr>
          <m:e>
            <m:acc>
              <m:accPr>
                <m:chr m:val="ˆ"/>
                <m:ctrlPr>
                  <w:rPr>
                    <w:rFonts w:ascii="Cambria Math" w:hAnsi="Cambria Math" w:cs="Arial"/>
                    <w:sz w:val="22"/>
                    <w:szCs w:val="22"/>
                  </w:rPr>
                </m:ctrlPr>
              </m:accPr>
              <m:e>
                <m:r>
                  <w:rPr>
                    <w:rFonts w:ascii="Cambria Math" w:hAnsi="Cambria Math" w:cs="Arial"/>
                    <w:sz w:val="22"/>
                    <w:szCs w:val="22"/>
                  </w:rPr>
                  <m:t>β</m:t>
                </m:r>
              </m:e>
            </m:acc>
          </m:e>
          <m:sub>
            <m:func>
              <m:funcPr>
                <m:ctrlPr>
                  <w:rPr>
                    <w:rFonts w:ascii="Cambria Math" w:hAnsi="Cambria Math" w:cs="Arial"/>
                    <w:sz w:val="22"/>
                    <w:szCs w:val="22"/>
                  </w:rPr>
                </m:ctrlPr>
              </m:funcPr>
              <m:fName>
                <m:r>
                  <m:rPr>
                    <m:sty m:val="p"/>
                  </m:rPr>
                  <w:rPr>
                    <w:rFonts w:ascii="Cambria Math" w:hAnsi="Cambria Math" w:cs="Arial"/>
                    <w:sz w:val="22"/>
                    <w:szCs w:val="22"/>
                  </w:rPr>
                  <m:t>log</m:t>
                </m:r>
              </m:fName>
              <m:e>
                <m:d>
                  <m:dPr>
                    <m:ctrlPr>
                      <w:rPr>
                        <w:rFonts w:ascii="Cambria Math" w:hAnsi="Cambria Math" w:cs="Arial"/>
                        <w:sz w:val="22"/>
                        <w:szCs w:val="22"/>
                      </w:rPr>
                    </m:ctrlPr>
                  </m:dPr>
                  <m:e>
                    <m:r>
                      <m:rPr>
                        <m:nor/>
                      </m:rPr>
                      <w:rPr>
                        <w:rFonts w:ascii="Arial" w:hAnsi="Arial" w:cs="Arial"/>
                        <w:sz w:val="22"/>
                        <w:szCs w:val="22"/>
                      </w:rPr>
                      <m:t>VIIRS</m:t>
                    </m:r>
                  </m:e>
                </m:d>
              </m:e>
            </m:func>
          </m:sub>
        </m:sSub>
        <m:r>
          <w:rPr>
            <w:rFonts w:ascii="Cambria Math" w:hAnsi="Cambria Math" w:cs="Arial"/>
            <w:sz w:val="22"/>
            <w:szCs w:val="22"/>
          </w:rPr>
          <m:t>=-0.2494,p&lt;0.001</m:t>
        </m:r>
      </m:oMath>
      <w:r w:rsidRPr="00711BAD">
        <w:rPr>
          <w:rFonts w:ascii="Arial" w:hAnsi="Arial" w:cs="Arial"/>
          <w:sz w:val="22"/>
          <w:szCs w:val="22"/>
        </w:rPr>
        <w:t>). Sin embargo, la curva de ajuste Suavizado (LOESS) evidencia que el impacto de la densidad lumínica es altamente sensible en los niveles bajos de desarrollo. Para municipios oscuros (</w:t>
      </w:r>
      <m:oMath>
        <m:func>
          <m:funcPr>
            <m:ctrlPr>
              <w:rPr>
                <w:rFonts w:ascii="Cambria Math" w:hAnsi="Cambria Math" w:cs="Arial"/>
                <w:sz w:val="22"/>
                <w:szCs w:val="22"/>
              </w:rPr>
            </m:ctrlPr>
          </m:funcPr>
          <m:fName>
            <m:r>
              <m:rPr>
                <m:sty m:val="p"/>
              </m:rPr>
              <w:rPr>
                <w:rFonts w:ascii="Cambria Math" w:hAnsi="Cambria Math" w:cs="Arial"/>
                <w:sz w:val="22"/>
                <w:szCs w:val="22"/>
              </w:rPr>
              <m:t>log</m:t>
            </m:r>
          </m:fName>
          <m:e>
            <m:d>
              <m:dPr>
                <m:ctrlPr>
                  <w:rPr>
                    <w:rFonts w:ascii="Cambria Math" w:hAnsi="Cambria Math" w:cs="Arial"/>
                    <w:sz w:val="22"/>
                    <w:szCs w:val="22"/>
                  </w:rPr>
                </m:ctrlPr>
              </m:dPr>
              <m:e>
                <m:r>
                  <m:rPr>
                    <m:nor/>
                  </m:rPr>
                  <w:rPr>
                    <w:rFonts w:ascii="Arial" w:hAnsi="Arial" w:cs="Arial"/>
                    <w:sz w:val="22"/>
                    <w:szCs w:val="22"/>
                  </w:rPr>
                  <m:t>VIIRS</m:t>
                </m:r>
              </m:e>
            </m:d>
          </m:e>
        </m:func>
        <m:r>
          <w:rPr>
            <w:rFonts w:ascii="Cambria Math" w:hAnsi="Cambria Math" w:cs="Arial"/>
            <w:sz w:val="22"/>
            <w:szCs w:val="22"/>
          </w:rPr>
          <m:t>&lt;1.0</m:t>
        </m:r>
      </m:oMath>
      <w:r w:rsidRPr="00711BAD">
        <w:rPr>
          <w:rFonts w:ascii="Arial" w:hAnsi="Arial" w:cs="Arial"/>
          <w:sz w:val="22"/>
          <w:szCs w:val="22"/>
        </w:rPr>
        <w:t xml:space="preserve">), un incremento marginal en la luminosidad se traduce en reducciones drásticas del IPM proyectado (pasando de niveles superiores al </w:t>
      </w:r>
      <m:oMath>
        <m:r>
          <w:rPr>
            <w:rFonts w:ascii="Cambria Math" w:hAnsi="Cambria Math" w:cs="Arial"/>
            <w:sz w:val="22"/>
            <w:szCs w:val="22"/>
          </w:rPr>
          <m:t>60%</m:t>
        </m:r>
      </m:oMath>
      <w:r w:rsidRPr="00711BAD">
        <w:rPr>
          <w:rFonts w:ascii="Arial" w:hAnsi="Arial" w:cs="Arial"/>
          <w:sz w:val="22"/>
          <w:szCs w:val="22"/>
        </w:rPr>
        <w:t xml:space="preserve"> a rangos cercanos al </w:t>
      </w:r>
      <m:oMath>
        <m:r>
          <w:rPr>
            <w:rFonts w:ascii="Cambria Math" w:hAnsi="Cambria Math" w:cs="Arial"/>
            <w:sz w:val="22"/>
            <w:szCs w:val="22"/>
          </w:rPr>
          <m:t>30%</m:t>
        </m:r>
      </m:oMath>
      <w:r w:rsidRPr="00711BAD">
        <w:rPr>
          <w:rFonts w:ascii="Arial" w:hAnsi="Arial" w:cs="Arial"/>
          <w:sz w:val="22"/>
          <w:szCs w:val="22"/>
        </w:rPr>
        <w:t>).</w:t>
      </w:r>
    </w:p>
    <w:p w14:paraId="492C584A" w14:textId="6C802B70" w:rsidR="00711BAD" w:rsidRPr="00711BAD" w:rsidRDefault="00711BAD" w:rsidP="00711BAD">
      <w:pPr>
        <w:numPr>
          <w:ilvl w:val="0"/>
          <w:numId w:val="32"/>
        </w:numPr>
        <w:rPr>
          <w:rFonts w:ascii="Arial" w:hAnsi="Arial" w:cs="Arial"/>
          <w:sz w:val="22"/>
          <w:szCs w:val="22"/>
        </w:rPr>
      </w:pPr>
      <w:r w:rsidRPr="00711BAD">
        <w:rPr>
          <w:rFonts w:ascii="Arial" w:hAnsi="Arial" w:cs="Arial"/>
          <w:sz w:val="22"/>
          <w:szCs w:val="22"/>
        </w:rPr>
        <w:t>Saturación en Entornos Urbanos: A partir de un umbral de densidad lumínica (</w:t>
      </w:r>
      <m:oMath>
        <m:func>
          <m:funcPr>
            <m:ctrlPr>
              <w:rPr>
                <w:rFonts w:ascii="Cambria Math" w:hAnsi="Cambria Math" w:cs="Arial"/>
                <w:sz w:val="22"/>
                <w:szCs w:val="22"/>
              </w:rPr>
            </m:ctrlPr>
          </m:funcPr>
          <m:fName>
            <m:r>
              <m:rPr>
                <m:sty m:val="p"/>
              </m:rPr>
              <w:rPr>
                <w:rFonts w:ascii="Cambria Math" w:hAnsi="Cambria Math" w:cs="Arial"/>
                <w:sz w:val="22"/>
                <w:szCs w:val="22"/>
              </w:rPr>
              <m:t>log</m:t>
            </m:r>
          </m:fName>
          <m:e>
            <m:d>
              <m:dPr>
                <m:ctrlPr>
                  <w:rPr>
                    <w:rFonts w:ascii="Cambria Math" w:hAnsi="Cambria Math" w:cs="Arial"/>
                    <w:sz w:val="22"/>
                    <w:szCs w:val="22"/>
                  </w:rPr>
                </m:ctrlPr>
              </m:dPr>
              <m:e>
                <m:r>
                  <m:rPr>
                    <m:nor/>
                  </m:rPr>
                  <w:rPr>
                    <w:rFonts w:ascii="Arial" w:hAnsi="Arial" w:cs="Arial"/>
                    <w:sz w:val="22"/>
                    <w:szCs w:val="22"/>
                  </w:rPr>
                  <m:t>VIIRS</m:t>
                </m:r>
              </m:e>
            </m:d>
          </m:e>
        </m:func>
        <m:r>
          <w:rPr>
            <w:rFonts w:ascii="Cambria Math" w:hAnsi="Cambria Math" w:cs="Arial"/>
            <w:sz w:val="22"/>
            <w:szCs w:val="22"/>
          </w:rPr>
          <m:t>&gt;2.0</m:t>
        </m:r>
      </m:oMath>
      <w:r w:rsidRPr="00711BAD">
        <w:rPr>
          <w:rFonts w:ascii="Arial" w:hAnsi="Arial" w:cs="Arial"/>
          <w:sz w:val="22"/>
          <w:szCs w:val="22"/>
        </w:rPr>
        <w:t xml:space="preserve">), la curva exhibe un aplanamiento (asíntota alrededor del </w:t>
      </w:r>
      <m:oMath>
        <m:r>
          <w:rPr>
            <w:rFonts w:ascii="Cambria Math" w:hAnsi="Cambria Math" w:cs="Arial"/>
            <w:sz w:val="22"/>
            <w:szCs w:val="22"/>
          </w:rPr>
          <m:t>8%-10%</m:t>
        </m:r>
      </m:oMath>
      <w:r w:rsidRPr="00711BAD">
        <w:rPr>
          <w:rFonts w:ascii="Arial" w:hAnsi="Arial" w:cs="Arial"/>
          <w:sz w:val="22"/>
          <w:szCs w:val="22"/>
        </w:rPr>
        <w:t xml:space="preserve"> de IPM). Esto indica que la luminosidad nocturna es un excelente discriminador de la pobreza rural y periurbana, pero pierde poder diferenciador en grandes aglomeraciones urbanas donde los niveles de privación se deben a factores sociodemográficos más sutiles y no a la falta de infraestructura o actividad económica básica.</w:t>
      </w:r>
    </w:p>
    <w:p w14:paraId="2CD3144B" w14:textId="77777777" w:rsidR="00711BAD" w:rsidRPr="00711BAD" w:rsidRDefault="00711BAD" w:rsidP="00711BAD">
      <w:pPr>
        <w:rPr>
          <w:rFonts w:ascii="Arial" w:hAnsi="Arial" w:cs="Arial"/>
          <w:b/>
          <w:bCs/>
          <w:sz w:val="22"/>
          <w:szCs w:val="22"/>
        </w:rPr>
      </w:pPr>
    </w:p>
    <w:p w14:paraId="4522FBC2" w14:textId="758C923D" w:rsidR="00711BAD" w:rsidRPr="00711BAD" w:rsidRDefault="00711BAD" w:rsidP="00711BAD">
      <w:pPr>
        <w:rPr>
          <w:rFonts w:ascii="Arial" w:hAnsi="Arial" w:cs="Arial"/>
          <w:sz w:val="22"/>
          <w:szCs w:val="22"/>
        </w:rPr>
      </w:pPr>
      <w:r w:rsidRPr="00711BAD">
        <w:rPr>
          <w:rFonts w:ascii="Arial" w:hAnsi="Arial" w:cs="Arial"/>
          <w:b/>
          <w:bCs/>
          <w:sz w:val="22"/>
          <w:szCs w:val="22"/>
        </w:rPr>
        <w:t>2. Determinantes Relevantes de la Pobreza Multidimensional Municipal</w:t>
      </w:r>
    </w:p>
    <w:p w14:paraId="6A212847" w14:textId="77777777" w:rsidR="00711BAD" w:rsidRPr="00711BAD" w:rsidRDefault="00711BAD" w:rsidP="00711BAD">
      <w:pPr>
        <w:rPr>
          <w:rFonts w:ascii="Arial" w:hAnsi="Arial" w:cs="Arial"/>
          <w:sz w:val="22"/>
          <w:szCs w:val="22"/>
        </w:rPr>
      </w:pPr>
      <w:r w:rsidRPr="00711BAD">
        <w:rPr>
          <w:rFonts w:ascii="Arial" w:hAnsi="Arial" w:cs="Arial"/>
          <w:i/>
          <w:iCs/>
          <w:sz w:val="22"/>
          <w:szCs w:val="22"/>
        </w:rPr>
        <w:t>(Respuesta al Objetivo 2)</w:t>
      </w:r>
    </w:p>
    <w:p w14:paraId="76EFA76F" w14:textId="09F8C8E3" w:rsidR="00711BAD" w:rsidRPr="00711BAD" w:rsidRDefault="00711BAD" w:rsidP="00711BAD">
      <w:pPr>
        <w:rPr>
          <w:rFonts w:ascii="Arial" w:hAnsi="Arial" w:cs="Arial"/>
          <w:sz w:val="22"/>
          <w:szCs w:val="22"/>
        </w:rPr>
      </w:pPr>
      <w:r w:rsidRPr="00711BAD">
        <w:rPr>
          <w:rFonts w:ascii="Arial" w:hAnsi="Arial" w:cs="Arial"/>
          <w:sz w:val="22"/>
          <w:szCs w:val="22"/>
        </w:rPr>
        <w:t xml:space="preserve">De acuerdo con los resultados del modelo, se pueden identificar los factores explicativos clave del </w:t>
      </w:r>
      <w:r w:rsidRPr="00711BAD">
        <w:rPr>
          <w:rFonts w:ascii="Arial" w:hAnsi="Arial" w:cs="Arial"/>
          <w:i/>
          <w:iCs/>
          <w:sz w:val="22"/>
          <w:szCs w:val="22"/>
        </w:rPr>
        <w:t>log-odds</w:t>
      </w:r>
      <w:r w:rsidRPr="00711BAD">
        <w:rPr>
          <w:rFonts w:ascii="Arial" w:hAnsi="Arial" w:cs="Arial"/>
          <w:sz w:val="22"/>
          <w:szCs w:val="22"/>
        </w:rPr>
        <w:t xml:space="preserve"> de la pobreza multidimensional municipal en Colombia:</w:t>
      </w:r>
    </w:p>
    <w:tbl>
      <w:tblPr>
        <w:tblStyle w:val="Tablanormal3"/>
        <w:tblW w:w="8931" w:type="dxa"/>
        <w:jc w:val="center"/>
        <w:tblLook w:val="04A0" w:firstRow="1" w:lastRow="0" w:firstColumn="1" w:lastColumn="0" w:noHBand="0" w:noVBand="1"/>
      </w:tblPr>
      <w:tblGrid>
        <w:gridCol w:w="3374"/>
        <w:gridCol w:w="1695"/>
        <w:gridCol w:w="1459"/>
        <w:gridCol w:w="791"/>
        <w:gridCol w:w="975"/>
        <w:gridCol w:w="2156"/>
      </w:tblGrid>
      <w:tr w:rsidR="00711BAD" w:rsidRPr="00711BAD" w14:paraId="4EE06D72" w14:textId="77777777" w:rsidTr="00711BAD">
        <w:trPr>
          <w:cnfStyle w:val="100000000000" w:firstRow="1" w:lastRow="0" w:firstColumn="0" w:lastColumn="0" w:oddVBand="0" w:evenVBand="0" w:oddHBand="0" w:evenHBand="0" w:firstRowFirstColumn="0" w:firstRowLastColumn="0" w:lastRowFirstColumn="0" w:lastRowLastColumn="0"/>
          <w:trHeight w:val="1077"/>
          <w:jc w:val="center"/>
        </w:trPr>
        <w:tc>
          <w:tcPr>
            <w:cnfStyle w:val="001000000100" w:firstRow="0" w:lastRow="0" w:firstColumn="1" w:lastColumn="0" w:oddVBand="0" w:evenVBand="0" w:oddHBand="0" w:evenHBand="0" w:firstRowFirstColumn="1" w:firstRowLastColumn="0" w:lastRowFirstColumn="0" w:lastRowLastColumn="0"/>
            <w:tcW w:w="2818" w:type="dxa"/>
            <w:vAlign w:val="center"/>
            <w:hideMark/>
          </w:tcPr>
          <w:p w14:paraId="4CF3835A" w14:textId="77777777" w:rsidR="00711BAD" w:rsidRPr="00711BAD" w:rsidRDefault="00711BAD" w:rsidP="00711BAD">
            <w:pPr>
              <w:spacing w:line="278" w:lineRule="auto"/>
              <w:jc w:val="center"/>
              <w:rPr>
                <w:rFonts w:ascii="Arial" w:hAnsi="Arial" w:cs="Arial"/>
                <w:sz w:val="22"/>
                <w:szCs w:val="22"/>
              </w:rPr>
            </w:pPr>
            <w:r w:rsidRPr="00711BAD">
              <w:rPr>
                <w:rFonts w:ascii="Arial" w:hAnsi="Arial" w:cs="Arial"/>
                <w:sz w:val="22"/>
                <w:szCs w:val="22"/>
              </w:rPr>
              <w:lastRenderedPageBreak/>
              <w:t>Covariable</w:t>
            </w:r>
          </w:p>
        </w:tc>
        <w:tc>
          <w:tcPr>
            <w:tcW w:w="1435" w:type="dxa"/>
            <w:vAlign w:val="center"/>
            <w:hideMark/>
          </w:tcPr>
          <w:p w14:paraId="3502E6A4" w14:textId="77777777" w:rsidR="00711BAD" w:rsidRPr="00711BAD" w:rsidRDefault="00711BAD" w:rsidP="00711BAD">
            <w:pPr>
              <w:spacing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11BAD">
              <w:rPr>
                <w:rFonts w:ascii="Arial" w:hAnsi="Arial" w:cs="Arial"/>
                <w:sz w:val="22"/>
                <w:szCs w:val="22"/>
              </w:rPr>
              <w:t>Coeficiente (β)</w:t>
            </w:r>
          </w:p>
        </w:tc>
        <w:tc>
          <w:tcPr>
            <w:tcW w:w="0" w:type="auto"/>
            <w:vAlign w:val="center"/>
            <w:hideMark/>
          </w:tcPr>
          <w:p w14:paraId="4B56FE57" w14:textId="77777777" w:rsidR="00711BAD" w:rsidRPr="00711BAD" w:rsidRDefault="00711BAD" w:rsidP="00711BAD">
            <w:pPr>
              <w:spacing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11BAD">
              <w:rPr>
                <w:rFonts w:ascii="Arial" w:hAnsi="Arial" w:cs="Arial"/>
                <w:sz w:val="22"/>
                <w:szCs w:val="22"/>
              </w:rPr>
              <w:t>Error Estándar (Robusto)</w:t>
            </w:r>
          </w:p>
        </w:tc>
        <w:tc>
          <w:tcPr>
            <w:tcW w:w="0" w:type="auto"/>
            <w:vAlign w:val="center"/>
            <w:hideMark/>
          </w:tcPr>
          <w:p w14:paraId="6368247F" w14:textId="77777777" w:rsidR="00711BAD" w:rsidRPr="00711BAD" w:rsidRDefault="00711BAD" w:rsidP="00711BAD">
            <w:pPr>
              <w:spacing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11BAD">
              <w:rPr>
                <w:rFonts w:ascii="Arial" w:hAnsi="Arial" w:cs="Arial"/>
                <w:sz w:val="22"/>
                <w:szCs w:val="22"/>
              </w:rPr>
              <w:t>Stat z</w:t>
            </w:r>
          </w:p>
        </w:tc>
        <w:tc>
          <w:tcPr>
            <w:tcW w:w="0" w:type="auto"/>
            <w:vAlign w:val="center"/>
            <w:hideMark/>
          </w:tcPr>
          <w:p w14:paraId="2D4D149F" w14:textId="77777777" w:rsidR="00711BAD" w:rsidRPr="00711BAD" w:rsidRDefault="00711BAD" w:rsidP="00711BAD">
            <w:pPr>
              <w:spacing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11BAD">
              <w:rPr>
                <w:rFonts w:ascii="Arial" w:hAnsi="Arial" w:cs="Arial"/>
                <w:sz w:val="22"/>
                <w:szCs w:val="22"/>
              </w:rPr>
              <w:t>p-valor</w:t>
            </w:r>
          </w:p>
        </w:tc>
        <w:tc>
          <w:tcPr>
            <w:tcW w:w="1907" w:type="dxa"/>
            <w:vAlign w:val="center"/>
            <w:hideMark/>
          </w:tcPr>
          <w:p w14:paraId="011CF49A" w14:textId="77777777" w:rsidR="00711BAD" w:rsidRPr="00711BAD" w:rsidRDefault="00711BAD" w:rsidP="00711BAD">
            <w:pPr>
              <w:spacing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11BAD">
              <w:rPr>
                <w:rFonts w:ascii="Arial" w:hAnsi="Arial" w:cs="Arial"/>
                <w:sz w:val="22"/>
                <w:szCs w:val="22"/>
              </w:rPr>
              <w:t>Interpretación del Impacto</w:t>
            </w:r>
          </w:p>
        </w:tc>
      </w:tr>
      <w:tr w:rsidR="00711BAD" w:rsidRPr="00711BAD" w14:paraId="45448AE0" w14:textId="77777777" w:rsidTr="00711BAD">
        <w:trPr>
          <w:cnfStyle w:val="000000100000" w:firstRow="0" w:lastRow="0" w:firstColumn="0" w:lastColumn="0" w:oddVBand="0" w:evenVBand="0" w:oddHBand="1" w:evenHBand="0" w:firstRowFirstColumn="0" w:firstRowLastColumn="0" w:lastRowFirstColumn="0" w:lastRowLastColumn="0"/>
          <w:trHeight w:val="1077"/>
          <w:jc w:val="center"/>
        </w:trPr>
        <w:tc>
          <w:tcPr>
            <w:cnfStyle w:val="001000000000" w:firstRow="0" w:lastRow="0" w:firstColumn="1" w:lastColumn="0" w:oddVBand="0" w:evenVBand="0" w:oddHBand="0" w:evenHBand="0" w:firstRowFirstColumn="0" w:firstRowLastColumn="0" w:lastRowFirstColumn="0" w:lastRowLastColumn="0"/>
            <w:tcW w:w="2818" w:type="dxa"/>
            <w:vAlign w:val="center"/>
            <w:hideMark/>
          </w:tcPr>
          <w:p w14:paraId="12D37C6B" w14:textId="77777777" w:rsidR="00711BAD" w:rsidRPr="00711BAD" w:rsidRDefault="00711BAD" w:rsidP="00711BAD">
            <w:pPr>
              <w:spacing w:line="278" w:lineRule="auto"/>
              <w:rPr>
                <w:rFonts w:ascii="Arial" w:hAnsi="Arial" w:cs="Arial"/>
                <w:sz w:val="22"/>
                <w:szCs w:val="22"/>
              </w:rPr>
            </w:pPr>
            <w:r w:rsidRPr="00711BAD">
              <w:rPr>
                <w:rFonts w:ascii="Arial" w:hAnsi="Arial" w:cs="Arial"/>
                <w:sz w:val="22"/>
                <w:szCs w:val="22"/>
              </w:rPr>
              <w:t>tasa_matriculacion_5_16</w:t>
            </w:r>
          </w:p>
        </w:tc>
        <w:tc>
          <w:tcPr>
            <w:tcW w:w="1435" w:type="dxa"/>
            <w:vAlign w:val="center"/>
            <w:hideMark/>
          </w:tcPr>
          <w:p w14:paraId="5658D72E" w14:textId="77777777"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-0.703</m:t>
                </m:r>
              </m:oMath>
            </m:oMathPara>
          </w:p>
        </w:tc>
        <w:tc>
          <w:tcPr>
            <w:tcW w:w="0" w:type="auto"/>
            <w:vAlign w:val="center"/>
            <w:hideMark/>
          </w:tcPr>
          <w:p w14:paraId="2943F666" w14:textId="77777777"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0.090</m:t>
                </m:r>
              </m:oMath>
            </m:oMathPara>
          </w:p>
        </w:tc>
        <w:tc>
          <w:tcPr>
            <w:tcW w:w="0" w:type="auto"/>
            <w:vAlign w:val="center"/>
            <w:hideMark/>
          </w:tcPr>
          <w:p w14:paraId="2F50761B" w14:textId="77777777"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-7.81</m:t>
                </m:r>
              </m:oMath>
            </m:oMathPara>
          </w:p>
        </w:tc>
        <w:tc>
          <w:tcPr>
            <w:tcW w:w="0" w:type="auto"/>
            <w:vAlign w:val="center"/>
            <w:hideMark/>
          </w:tcPr>
          <w:p w14:paraId="3CCFB57D" w14:textId="77777777"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&lt;0.001</m:t>
                </m:r>
              </m:oMath>
            </m:oMathPara>
          </w:p>
        </w:tc>
        <w:tc>
          <w:tcPr>
            <w:tcW w:w="1907" w:type="dxa"/>
            <w:vAlign w:val="center"/>
            <w:hideMark/>
          </w:tcPr>
          <w:p w14:paraId="0772416C" w14:textId="77777777"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11BAD">
              <w:rPr>
                <w:rFonts w:ascii="Arial" w:hAnsi="Arial" w:cs="Arial"/>
                <w:b/>
                <w:bCs/>
                <w:sz w:val="22"/>
                <w:szCs w:val="22"/>
              </w:rPr>
              <w:t>Factor protector principal:</w:t>
            </w:r>
            <w:r w:rsidRPr="00711BAD">
              <w:rPr>
                <w:rFonts w:ascii="Arial" w:hAnsi="Arial" w:cs="Arial"/>
                <w:sz w:val="22"/>
                <w:szCs w:val="22"/>
              </w:rPr>
              <w:t xml:space="preserve"> Cobertura escolar reduce fuertemente el logit de pobreza.</w:t>
            </w:r>
          </w:p>
        </w:tc>
      </w:tr>
      <w:tr w:rsidR="00711BAD" w:rsidRPr="00711BAD" w14:paraId="6A5C057C" w14:textId="77777777" w:rsidTr="00711BAD">
        <w:trPr>
          <w:trHeight w:val="1077"/>
          <w:jc w:val="center"/>
        </w:trPr>
        <w:tc>
          <w:tcPr>
            <w:cnfStyle w:val="001000000000" w:firstRow="0" w:lastRow="0" w:firstColumn="1" w:lastColumn="0" w:oddVBand="0" w:evenVBand="0" w:oddHBand="0" w:evenHBand="0" w:firstRowFirstColumn="0" w:firstRowLastColumn="0" w:lastRowFirstColumn="0" w:lastRowLastColumn="0"/>
            <w:tcW w:w="2818" w:type="dxa"/>
            <w:vAlign w:val="center"/>
            <w:hideMark/>
          </w:tcPr>
          <w:p w14:paraId="71908784" w14:textId="77777777" w:rsidR="00711BAD" w:rsidRPr="00711BAD" w:rsidRDefault="00711BAD" w:rsidP="00711BAD">
            <w:pPr>
              <w:spacing w:line="278" w:lineRule="auto"/>
              <w:rPr>
                <w:rFonts w:ascii="Arial" w:hAnsi="Arial" w:cs="Arial"/>
                <w:sz w:val="22"/>
                <w:szCs w:val="22"/>
              </w:rPr>
            </w:pPr>
            <w:r w:rsidRPr="00711BAD">
              <w:rPr>
                <w:rFonts w:ascii="Arial" w:hAnsi="Arial" w:cs="Arial"/>
                <w:sz w:val="22"/>
                <w:szCs w:val="22"/>
              </w:rPr>
              <w:t>pct_subsidiado</w:t>
            </w:r>
          </w:p>
        </w:tc>
        <w:tc>
          <w:tcPr>
            <w:tcW w:w="1435" w:type="dxa"/>
            <w:vAlign w:val="center"/>
            <w:hideMark/>
          </w:tcPr>
          <w:p w14:paraId="50ABD27B" w14:textId="77777777"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0.872</m:t>
                </m:r>
              </m:oMath>
            </m:oMathPara>
          </w:p>
        </w:tc>
        <w:tc>
          <w:tcPr>
            <w:tcW w:w="0" w:type="auto"/>
            <w:vAlign w:val="center"/>
            <w:hideMark/>
          </w:tcPr>
          <w:p w14:paraId="6AB69884" w14:textId="77777777"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0.089</m:t>
                </m:r>
              </m:oMath>
            </m:oMathPara>
          </w:p>
        </w:tc>
        <w:tc>
          <w:tcPr>
            <w:tcW w:w="0" w:type="auto"/>
            <w:vAlign w:val="center"/>
            <w:hideMark/>
          </w:tcPr>
          <w:p w14:paraId="7A05E601" w14:textId="77777777"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9.80</m:t>
                </m:r>
              </m:oMath>
            </m:oMathPara>
          </w:p>
        </w:tc>
        <w:tc>
          <w:tcPr>
            <w:tcW w:w="0" w:type="auto"/>
            <w:vAlign w:val="center"/>
            <w:hideMark/>
          </w:tcPr>
          <w:p w14:paraId="4F559D56" w14:textId="77777777"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&lt;0.001</m:t>
                </m:r>
              </m:oMath>
            </m:oMathPara>
          </w:p>
        </w:tc>
        <w:tc>
          <w:tcPr>
            <w:tcW w:w="1907" w:type="dxa"/>
            <w:vAlign w:val="center"/>
            <w:hideMark/>
          </w:tcPr>
          <w:p w14:paraId="2281D884" w14:textId="77777777"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11BAD">
              <w:rPr>
                <w:rFonts w:ascii="Arial" w:hAnsi="Arial" w:cs="Arial"/>
                <w:b/>
                <w:bCs/>
                <w:sz w:val="22"/>
                <w:szCs w:val="22"/>
              </w:rPr>
              <w:t>Vulnerabilidad:</w:t>
            </w:r>
            <w:r w:rsidRPr="00711BAD">
              <w:rPr>
                <w:rFonts w:ascii="Arial" w:hAnsi="Arial" w:cs="Arial"/>
                <w:sz w:val="22"/>
                <w:szCs w:val="22"/>
              </w:rPr>
              <w:t xml:space="preserve"> Refleja mayor dependencia del aseguramiento público e informalidad.</w:t>
            </w:r>
          </w:p>
        </w:tc>
      </w:tr>
      <w:tr w:rsidR="00711BAD" w:rsidRPr="00711BAD" w14:paraId="725BE1E5" w14:textId="77777777" w:rsidTr="00711BAD">
        <w:trPr>
          <w:cnfStyle w:val="000000100000" w:firstRow="0" w:lastRow="0" w:firstColumn="0" w:lastColumn="0" w:oddVBand="0" w:evenVBand="0" w:oddHBand="1" w:evenHBand="0" w:firstRowFirstColumn="0" w:firstRowLastColumn="0" w:lastRowFirstColumn="0" w:lastRowLastColumn="0"/>
          <w:trHeight w:val="1077"/>
          <w:jc w:val="center"/>
        </w:trPr>
        <w:tc>
          <w:tcPr>
            <w:cnfStyle w:val="001000000000" w:firstRow="0" w:lastRow="0" w:firstColumn="1" w:lastColumn="0" w:oddVBand="0" w:evenVBand="0" w:oddHBand="0" w:evenHBand="0" w:firstRowFirstColumn="0" w:firstRowLastColumn="0" w:lastRowFirstColumn="0" w:lastRowLastColumn="0"/>
            <w:tcW w:w="2818" w:type="dxa"/>
            <w:vAlign w:val="center"/>
            <w:hideMark/>
          </w:tcPr>
          <w:p w14:paraId="674B5577" w14:textId="77777777" w:rsidR="00711BAD" w:rsidRPr="00711BAD" w:rsidRDefault="00711BAD" w:rsidP="00711BAD">
            <w:pPr>
              <w:spacing w:line="278" w:lineRule="auto"/>
              <w:rPr>
                <w:rFonts w:ascii="Arial" w:hAnsi="Arial" w:cs="Arial"/>
                <w:sz w:val="22"/>
                <w:szCs w:val="22"/>
              </w:rPr>
            </w:pPr>
            <w:r w:rsidRPr="00711BAD">
              <w:rPr>
                <w:rFonts w:ascii="Arial" w:hAnsi="Arial" w:cs="Arial"/>
                <w:sz w:val="22"/>
                <w:szCs w:val="22"/>
              </w:rPr>
              <w:t>log_viirs (Luces Nocturnas)</w:t>
            </w:r>
          </w:p>
        </w:tc>
        <w:tc>
          <w:tcPr>
            <w:tcW w:w="1435" w:type="dxa"/>
            <w:vAlign w:val="center"/>
            <w:hideMark/>
          </w:tcPr>
          <w:p w14:paraId="501A93E4" w14:textId="77777777"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-0.263</m:t>
                </m:r>
              </m:oMath>
            </m:oMathPara>
          </w:p>
        </w:tc>
        <w:tc>
          <w:tcPr>
            <w:tcW w:w="0" w:type="auto"/>
            <w:vAlign w:val="center"/>
            <w:hideMark/>
          </w:tcPr>
          <w:p w14:paraId="26A86D9E" w14:textId="77777777"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0.040</m:t>
                </m:r>
              </m:oMath>
            </m:oMathPara>
          </w:p>
        </w:tc>
        <w:tc>
          <w:tcPr>
            <w:tcW w:w="0" w:type="auto"/>
            <w:vAlign w:val="center"/>
            <w:hideMark/>
          </w:tcPr>
          <w:p w14:paraId="26820D6F" w14:textId="77777777"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-6.58</m:t>
                </m:r>
              </m:oMath>
            </m:oMathPara>
          </w:p>
        </w:tc>
        <w:tc>
          <w:tcPr>
            <w:tcW w:w="0" w:type="auto"/>
            <w:vAlign w:val="center"/>
            <w:hideMark/>
          </w:tcPr>
          <w:p w14:paraId="664A164A" w14:textId="77777777"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&lt;0.001</m:t>
                </m:r>
              </m:oMath>
            </m:oMathPara>
          </w:p>
        </w:tc>
        <w:tc>
          <w:tcPr>
            <w:tcW w:w="1907" w:type="dxa"/>
            <w:vAlign w:val="center"/>
            <w:hideMark/>
          </w:tcPr>
          <w:p w14:paraId="43461336" w14:textId="77777777"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11BAD">
              <w:rPr>
                <w:rFonts w:ascii="Arial" w:hAnsi="Arial" w:cs="Arial"/>
                <w:b/>
                <w:bCs/>
                <w:sz w:val="22"/>
                <w:szCs w:val="22"/>
              </w:rPr>
              <w:t>Actividad Económica:</w:t>
            </w:r>
            <w:r w:rsidRPr="00711BAD">
              <w:rPr>
                <w:rFonts w:ascii="Arial" w:hAnsi="Arial" w:cs="Arial"/>
                <w:sz w:val="22"/>
                <w:szCs w:val="22"/>
              </w:rPr>
              <w:t xml:space="preserve"> Brillo nocturno opera como proxy de densidad e infraestructura urbana.</w:t>
            </w:r>
          </w:p>
        </w:tc>
      </w:tr>
      <w:tr w:rsidR="00711BAD" w:rsidRPr="00711BAD" w14:paraId="031A8677" w14:textId="77777777" w:rsidTr="00711BAD">
        <w:trPr>
          <w:trHeight w:val="1077"/>
          <w:jc w:val="center"/>
        </w:trPr>
        <w:tc>
          <w:tcPr>
            <w:cnfStyle w:val="001000000000" w:firstRow="0" w:lastRow="0" w:firstColumn="1" w:lastColumn="0" w:oddVBand="0" w:evenVBand="0" w:oddHBand="0" w:evenHBand="0" w:firstRowFirstColumn="0" w:firstRowLastColumn="0" w:lastRowFirstColumn="0" w:lastRowLastColumn="0"/>
            <w:tcW w:w="2818" w:type="dxa"/>
            <w:vAlign w:val="center"/>
            <w:hideMark/>
          </w:tcPr>
          <w:p w14:paraId="49F601E1" w14:textId="77777777" w:rsidR="00711BAD" w:rsidRPr="00711BAD" w:rsidRDefault="00711BAD" w:rsidP="00711BAD">
            <w:pPr>
              <w:spacing w:line="278" w:lineRule="auto"/>
              <w:rPr>
                <w:rFonts w:ascii="Arial" w:hAnsi="Arial" w:cs="Arial"/>
                <w:sz w:val="22"/>
                <w:szCs w:val="22"/>
              </w:rPr>
            </w:pPr>
            <w:r w:rsidRPr="00711BAD">
              <w:rPr>
                <w:rFonts w:ascii="Arial" w:hAnsi="Arial" w:cs="Arial"/>
                <w:sz w:val="22"/>
                <w:szCs w:val="22"/>
              </w:rPr>
              <w:t>ICEE_rural</w:t>
            </w:r>
          </w:p>
        </w:tc>
        <w:tc>
          <w:tcPr>
            <w:tcW w:w="1435" w:type="dxa"/>
            <w:vAlign w:val="center"/>
            <w:hideMark/>
          </w:tcPr>
          <w:p w14:paraId="7DB2FFF5" w14:textId="77777777"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-0.005</m:t>
                </m:r>
              </m:oMath>
            </m:oMathPara>
          </w:p>
        </w:tc>
        <w:tc>
          <w:tcPr>
            <w:tcW w:w="0" w:type="auto"/>
            <w:vAlign w:val="center"/>
            <w:hideMark/>
          </w:tcPr>
          <w:p w14:paraId="5712576F" w14:textId="77777777"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0.001</m:t>
                </m:r>
              </m:oMath>
            </m:oMathPara>
          </w:p>
        </w:tc>
        <w:tc>
          <w:tcPr>
            <w:tcW w:w="0" w:type="auto"/>
            <w:vAlign w:val="center"/>
            <w:hideMark/>
          </w:tcPr>
          <w:p w14:paraId="75B119DC" w14:textId="77777777"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-5.00</m:t>
                </m:r>
              </m:oMath>
            </m:oMathPara>
          </w:p>
        </w:tc>
        <w:tc>
          <w:tcPr>
            <w:tcW w:w="0" w:type="auto"/>
            <w:vAlign w:val="center"/>
            <w:hideMark/>
          </w:tcPr>
          <w:p w14:paraId="2639F347" w14:textId="77777777"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&lt;0.001</m:t>
                </m:r>
              </m:oMath>
            </m:oMathPara>
          </w:p>
        </w:tc>
        <w:tc>
          <w:tcPr>
            <w:tcW w:w="1907" w:type="dxa"/>
            <w:vAlign w:val="center"/>
            <w:hideMark/>
          </w:tcPr>
          <w:p w14:paraId="1836A311" w14:textId="77777777"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11BAD">
              <w:rPr>
                <w:rFonts w:ascii="Arial" w:hAnsi="Arial" w:cs="Arial"/>
                <w:b/>
                <w:bCs/>
                <w:sz w:val="22"/>
                <w:szCs w:val="22"/>
              </w:rPr>
              <w:t>Infraestructura Periférica:</w:t>
            </w:r>
            <w:r w:rsidRPr="00711BAD">
              <w:rPr>
                <w:rFonts w:ascii="Arial" w:hAnsi="Arial" w:cs="Arial"/>
                <w:sz w:val="22"/>
                <w:szCs w:val="22"/>
              </w:rPr>
              <w:t xml:space="preserve"> La oferta educativa rural disminuye brechas territoriales.</w:t>
            </w:r>
          </w:p>
        </w:tc>
      </w:tr>
      <w:tr w:rsidR="00711BAD" w:rsidRPr="00711BAD" w14:paraId="2F9FDF92" w14:textId="77777777" w:rsidTr="00711BAD">
        <w:trPr>
          <w:cnfStyle w:val="000000100000" w:firstRow="0" w:lastRow="0" w:firstColumn="0" w:lastColumn="0" w:oddVBand="0" w:evenVBand="0" w:oddHBand="1" w:evenHBand="0" w:firstRowFirstColumn="0" w:firstRowLastColumn="0" w:lastRowFirstColumn="0" w:lastRowLastColumn="0"/>
          <w:trHeight w:val="1077"/>
          <w:jc w:val="center"/>
        </w:trPr>
        <w:tc>
          <w:tcPr>
            <w:cnfStyle w:val="001000000000" w:firstRow="0" w:lastRow="0" w:firstColumn="1" w:lastColumn="0" w:oddVBand="0" w:evenVBand="0" w:oddHBand="0" w:evenHBand="0" w:firstRowFirstColumn="0" w:firstRowLastColumn="0" w:lastRowFirstColumn="0" w:lastRowLastColumn="0"/>
            <w:tcW w:w="2818" w:type="dxa"/>
            <w:vAlign w:val="center"/>
            <w:hideMark/>
          </w:tcPr>
          <w:p w14:paraId="2BA53B0E" w14:textId="77777777" w:rsidR="00711BAD" w:rsidRPr="00711BAD" w:rsidRDefault="00711BAD" w:rsidP="00711BAD">
            <w:pPr>
              <w:spacing w:line="278" w:lineRule="auto"/>
              <w:rPr>
                <w:rFonts w:ascii="Arial" w:hAnsi="Arial" w:cs="Arial"/>
                <w:sz w:val="22"/>
                <w:szCs w:val="22"/>
              </w:rPr>
            </w:pPr>
            <w:r w:rsidRPr="00711BAD">
              <w:rPr>
                <w:rFonts w:ascii="Arial" w:hAnsi="Arial" w:cs="Arial"/>
                <w:sz w:val="22"/>
                <w:szCs w:val="22"/>
              </w:rPr>
              <w:t>mortalidad_infantil_1</w:t>
            </w:r>
          </w:p>
        </w:tc>
        <w:tc>
          <w:tcPr>
            <w:tcW w:w="1435" w:type="dxa"/>
            <w:vAlign w:val="center"/>
            <w:hideMark/>
          </w:tcPr>
          <w:p w14:paraId="7CD747EC" w14:textId="77777777"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0.003</m:t>
                </m:r>
              </m:oMath>
            </m:oMathPara>
          </w:p>
        </w:tc>
        <w:tc>
          <w:tcPr>
            <w:tcW w:w="0" w:type="auto"/>
            <w:vAlign w:val="center"/>
            <w:hideMark/>
          </w:tcPr>
          <w:p w14:paraId="69EF36A5" w14:textId="77777777"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0.001</m:t>
                </m:r>
              </m:oMath>
            </m:oMathPara>
          </w:p>
        </w:tc>
        <w:tc>
          <w:tcPr>
            <w:tcW w:w="0" w:type="auto"/>
            <w:vAlign w:val="center"/>
            <w:hideMark/>
          </w:tcPr>
          <w:p w14:paraId="19105958" w14:textId="77777777"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3.00</m:t>
                </m:r>
              </m:oMath>
            </m:oMathPara>
          </w:p>
        </w:tc>
        <w:tc>
          <w:tcPr>
            <w:tcW w:w="0" w:type="auto"/>
            <w:vAlign w:val="center"/>
            <w:hideMark/>
          </w:tcPr>
          <w:p w14:paraId="2340530C" w14:textId="77777777"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&lt;0.001</m:t>
                </m:r>
              </m:oMath>
            </m:oMathPara>
          </w:p>
        </w:tc>
        <w:tc>
          <w:tcPr>
            <w:tcW w:w="1907" w:type="dxa"/>
            <w:vAlign w:val="center"/>
            <w:hideMark/>
          </w:tcPr>
          <w:p w14:paraId="75BEB12C" w14:textId="77777777"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11BAD">
              <w:rPr>
                <w:rFonts w:ascii="Arial" w:hAnsi="Arial" w:cs="Arial"/>
                <w:b/>
                <w:bCs/>
                <w:sz w:val="22"/>
                <w:szCs w:val="22"/>
              </w:rPr>
              <w:t>Salud Primaria:</w:t>
            </w:r>
            <w:r w:rsidRPr="00711BAD">
              <w:rPr>
                <w:rFonts w:ascii="Arial" w:hAnsi="Arial" w:cs="Arial"/>
                <w:sz w:val="22"/>
                <w:szCs w:val="22"/>
              </w:rPr>
              <w:t xml:space="preserve"> Denota carencias en redes básicas de atención médica.</w:t>
            </w:r>
          </w:p>
        </w:tc>
      </w:tr>
      <w:tr w:rsidR="00711BAD" w:rsidRPr="00711BAD" w14:paraId="6430211C" w14:textId="77777777" w:rsidTr="00711BAD">
        <w:trPr>
          <w:trHeight w:val="1077"/>
          <w:jc w:val="center"/>
        </w:trPr>
        <w:tc>
          <w:tcPr>
            <w:cnfStyle w:val="001000000000" w:firstRow="0" w:lastRow="0" w:firstColumn="1" w:lastColumn="0" w:oddVBand="0" w:evenVBand="0" w:oddHBand="0" w:evenHBand="0" w:firstRowFirstColumn="0" w:firstRowLastColumn="0" w:lastRowFirstColumn="0" w:lastRowLastColumn="0"/>
            <w:tcW w:w="2818" w:type="dxa"/>
            <w:vAlign w:val="center"/>
            <w:hideMark/>
          </w:tcPr>
          <w:p w14:paraId="23509DD0" w14:textId="77777777" w:rsidR="00711BAD" w:rsidRPr="00711BAD" w:rsidRDefault="00711BAD" w:rsidP="00711BAD">
            <w:pPr>
              <w:spacing w:line="278" w:lineRule="auto"/>
              <w:rPr>
                <w:rFonts w:ascii="Arial" w:hAnsi="Arial" w:cs="Arial"/>
                <w:sz w:val="22"/>
                <w:szCs w:val="22"/>
              </w:rPr>
            </w:pPr>
            <w:r w:rsidRPr="00711BAD">
              <w:rPr>
                <w:rFonts w:ascii="Arial" w:hAnsi="Arial" w:cs="Arial"/>
                <w:sz w:val="22"/>
                <w:szCs w:val="22"/>
              </w:rPr>
              <w:t>infraestructura_basica</w:t>
            </w:r>
          </w:p>
        </w:tc>
        <w:tc>
          <w:tcPr>
            <w:tcW w:w="1435" w:type="dxa"/>
            <w:vAlign w:val="center"/>
            <w:hideMark/>
          </w:tcPr>
          <w:p w14:paraId="66C2E9C2" w14:textId="77777777"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-0.002</m:t>
                </m:r>
              </m:oMath>
            </m:oMathPara>
          </w:p>
        </w:tc>
        <w:tc>
          <w:tcPr>
            <w:tcW w:w="0" w:type="auto"/>
            <w:vAlign w:val="center"/>
            <w:hideMark/>
          </w:tcPr>
          <w:p w14:paraId="5E8EB654" w14:textId="77777777"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0.001</m:t>
                </m:r>
              </m:oMath>
            </m:oMathPara>
          </w:p>
        </w:tc>
        <w:tc>
          <w:tcPr>
            <w:tcW w:w="0" w:type="auto"/>
            <w:vAlign w:val="center"/>
            <w:hideMark/>
          </w:tcPr>
          <w:p w14:paraId="23F5A236" w14:textId="77777777"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-2.00</m:t>
                </m:r>
              </m:oMath>
            </m:oMathPara>
          </w:p>
        </w:tc>
        <w:tc>
          <w:tcPr>
            <w:tcW w:w="0" w:type="auto"/>
            <w:vAlign w:val="center"/>
            <w:hideMark/>
          </w:tcPr>
          <w:p w14:paraId="215CC876" w14:textId="77777777"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&lt;0.010</m:t>
                </m:r>
              </m:oMath>
            </m:oMathPara>
          </w:p>
        </w:tc>
        <w:tc>
          <w:tcPr>
            <w:tcW w:w="1907" w:type="dxa"/>
            <w:vAlign w:val="center"/>
            <w:hideMark/>
          </w:tcPr>
          <w:p w14:paraId="7F831E58" w14:textId="77777777"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11BAD">
              <w:rPr>
                <w:rFonts w:ascii="Arial" w:hAnsi="Arial" w:cs="Arial"/>
                <w:b/>
                <w:bCs/>
                <w:sz w:val="22"/>
                <w:szCs w:val="22"/>
              </w:rPr>
              <w:t>Servicios Básicos:</w:t>
            </w:r>
            <w:r w:rsidRPr="00711BAD">
              <w:rPr>
                <w:rFonts w:ascii="Arial" w:hAnsi="Arial" w:cs="Arial"/>
                <w:sz w:val="22"/>
                <w:szCs w:val="22"/>
              </w:rPr>
              <w:t xml:space="preserve"> Cobertura de acueducto y alcantarillado reduce el IPM.</w:t>
            </w:r>
          </w:p>
        </w:tc>
      </w:tr>
      <w:tr w:rsidR="00711BAD" w:rsidRPr="00711BAD" w14:paraId="58310E4D" w14:textId="77777777" w:rsidTr="00711BAD">
        <w:trPr>
          <w:cnfStyle w:val="000000100000" w:firstRow="0" w:lastRow="0" w:firstColumn="0" w:lastColumn="0" w:oddVBand="0" w:evenVBand="0" w:oddHBand="1" w:evenHBand="0" w:firstRowFirstColumn="0" w:firstRowLastColumn="0" w:lastRowFirstColumn="0" w:lastRowLastColumn="0"/>
          <w:trHeight w:val="1077"/>
          <w:jc w:val="center"/>
        </w:trPr>
        <w:tc>
          <w:tcPr>
            <w:cnfStyle w:val="001000000000" w:firstRow="0" w:lastRow="0" w:firstColumn="1" w:lastColumn="0" w:oddVBand="0" w:evenVBand="0" w:oddHBand="0" w:evenHBand="0" w:firstRowFirstColumn="0" w:firstRowLastColumn="0" w:lastRowFirstColumn="0" w:lastRowLastColumn="0"/>
            <w:tcW w:w="2818" w:type="dxa"/>
            <w:vAlign w:val="center"/>
            <w:hideMark/>
          </w:tcPr>
          <w:p w14:paraId="257314DA" w14:textId="77777777" w:rsidR="00711BAD" w:rsidRPr="00711BAD" w:rsidRDefault="00711BAD" w:rsidP="00711BAD">
            <w:pPr>
              <w:spacing w:line="278" w:lineRule="auto"/>
              <w:rPr>
                <w:rFonts w:ascii="Arial" w:hAnsi="Arial" w:cs="Arial"/>
                <w:sz w:val="22"/>
                <w:szCs w:val="22"/>
              </w:rPr>
            </w:pPr>
            <w:r w:rsidRPr="00711BAD">
              <w:rPr>
                <w:rFonts w:ascii="Arial" w:hAnsi="Arial" w:cs="Arial"/>
                <w:sz w:val="22"/>
                <w:szCs w:val="22"/>
              </w:rPr>
              <w:t>rmm42</w:t>
            </w:r>
          </w:p>
        </w:tc>
        <w:tc>
          <w:tcPr>
            <w:tcW w:w="1435" w:type="dxa"/>
            <w:vAlign w:val="center"/>
            <w:hideMark/>
          </w:tcPr>
          <w:p w14:paraId="4AF3B554" w14:textId="77777777"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0.0001</m:t>
                </m:r>
              </m:oMath>
            </m:oMathPara>
          </w:p>
        </w:tc>
        <w:tc>
          <w:tcPr>
            <w:tcW w:w="0" w:type="auto"/>
            <w:vAlign w:val="center"/>
            <w:hideMark/>
          </w:tcPr>
          <w:p w14:paraId="028031F5" w14:textId="77777777"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0.00003</m:t>
                </m:r>
              </m:oMath>
            </m:oMathPara>
          </w:p>
        </w:tc>
        <w:tc>
          <w:tcPr>
            <w:tcW w:w="0" w:type="auto"/>
            <w:vAlign w:val="center"/>
            <w:hideMark/>
          </w:tcPr>
          <w:p w14:paraId="0B0940B3" w14:textId="77777777"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3.33</m:t>
                </m:r>
              </m:oMath>
            </m:oMathPara>
          </w:p>
        </w:tc>
        <w:tc>
          <w:tcPr>
            <w:tcW w:w="0" w:type="auto"/>
            <w:vAlign w:val="center"/>
            <w:hideMark/>
          </w:tcPr>
          <w:p w14:paraId="7D03CB73" w14:textId="77777777"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&lt;0.001</m:t>
                </m:r>
              </m:oMath>
            </m:oMathPara>
          </w:p>
        </w:tc>
        <w:tc>
          <w:tcPr>
            <w:tcW w:w="1907" w:type="dxa"/>
            <w:vAlign w:val="center"/>
            <w:hideMark/>
          </w:tcPr>
          <w:p w14:paraId="15A0E2FF" w14:textId="77777777"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11BAD">
              <w:rPr>
                <w:rFonts w:ascii="Arial" w:hAnsi="Arial" w:cs="Arial"/>
                <w:b/>
                <w:bCs/>
                <w:sz w:val="22"/>
                <w:szCs w:val="22"/>
              </w:rPr>
              <w:t>Salud Materna:</w:t>
            </w:r>
            <w:r w:rsidRPr="00711BAD">
              <w:rPr>
                <w:rFonts w:ascii="Arial" w:hAnsi="Arial" w:cs="Arial"/>
                <w:sz w:val="22"/>
                <w:szCs w:val="22"/>
              </w:rPr>
              <w:t xml:space="preserve"> Refleja inequidades en la atención médica especializada.</w:t>
            </w:r>
          </w:p>
        </w:tc>
      </w:tr>
      <w:tr w:rsidR="00711BAD" w:rsidRPr="00711BAD" w14:paraId="53FB7BE6" w14:textId="77777777" w:rsidTr="00711BAD">
        <w:trPr>
          <w:trHeight w:val="1077"/>
          <w:jc w:val="center"/>
        </w:trPr>
        <w:tc>
          <w:tcPr>
            <w:cnfStyle w:val="001000000000" w:firstRow="0" w:lastRow="0" w:firstColumn="1" w:lastColumn="0" w:oddVBand="0" w:evenVBand="0" w:oddHBand="0" w:evenHBand="0" w:firstRowFirstColumn="0" w:firstRowLastColumn="0" w:lastRowFirstColumn="0" w:lastRowLastColumn="0"/>
            <w:tcW w:w="2818" w:type="dxa"/>
            <w:vAlign w:val="center"/>
            <w:hideMark/>
          </w:tcPr>
          <w:p w14:paraId="6CFE8C9E" w14:textId="77777777" w:rsidR="00711BAD" w:rsidRPr="00711BAD" w:rsidRDefault="00711BAD" w:rsidP="00711BAD">
            <w:pPr>
              <w:spacing w:line="278" w:lineRule="auto"/>
              <w:rPr>
                <w:rFonts w:ascii="Arial" w:hAnsi="Arial" w:cs="Arial"/>
                <w:sz w:val="22"/>
                <w:szCs w:val="22"/>
              </w:rPr>
            </w:pPr>
            <w:r w:rsidRPr="00711BAD">
              <w:rPr>
                <w:rFonts w:ascii="Arial" w:hAnsi="Arial" w:cs="Arial"/>
                <w:sz w:val="22"/>
                <w:szCs w:val="22"/>
              </w:rPr>
              <w:lastRenderedPageBreak/>
              <w:t>Intercepto (</w:t>
            </w:r>
            <m:oMath>
              <m:sSub>
                <m:sSubPr>
                  <m:ctrlPr>
                    <w:rPr>
                      <w:rFonts w:ascii="Cambria Math" w:hAnsi="Cambria Math" w:cs="Arial"/>
                      <w:sz w:val="22"/>
                      <w:szCs w:val="22"/>
                    </w:rPr>
                  </m:ctrlPr>
                </m:sSubPr>
                <m:e>
                  <m:r>
                    <m:rPr>
                      <m:sty m:val="bi"/>
                    </m:rPr>
                    <w:rPr>
                      <w:rFonts w:ascii="Cambria Math" w:hAnsi="Cambria Math" w:cs="Arial"/>
                      <w:sz w:val="22"/>
                      <w:szCs w:val="22"/>
                    </w:rPr>
                    <m:t>β</m:t>
                  </m:r>
                </m:e>
                <m:sub>
                  <m:r>
                    <m:rPr>
                      <m:sty m:val="bi"/>
                    </m:rPr>
                    <w:rPr>
                      <w:rFonts w:ascii="Cambria Math" w:hAnsi="Cambria Math" w:cs="Arial"/>
                      <w:sz w:val="22"/>
                      <w:szCs w:val="22"/>
                    </w:rPr>
                    <m:t>0</m:t>
                  </m:r>
                </m:sub>
              </m:sSub>
            </m:oMath>
            <w:r w:rsidRPr="00711BAD">
              <w:rPr>
                <w:rFonts w:ascii="Arial" w:hAnsi="Arial" w:cs="Arial"/>
                <w:sz w:val="22"/>
                <w:szCs w:val="22"/>
              </w:rPr>
              <w:t>)</w:t>
            </w:r>
          </w:p>
        </w:tc>
        <w:tc>
          <w:tcPr>
            <w:tcW w:w="1435" w:type="dxa"/>
            <w:vAlign w:val="center"/>
            <w:hideMark/>
          </w:tcPr>
          <w:p w14:paraId="7C6571C5" w14:textId="77777777"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0.406</m:t>
                </m:r>
              </m:oMath>
            </m:oMathPara>
          </w:p>
        </w:tc>
        <w:tc>
          <w:tcPr>
            <w:tcW w:w="0" w:type="auto"/>
            <w:vAlign w:val="center"/>
            <w:hideMark/>
          </w:tcPr>
          <w:p w14:paraId="5ACA93D1" w14:textId="77777777"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0.132</m:t>
                </m:r>
              </m:oMath>
            </m:oMathPara>
          </w:p>
        </w:tc>
        <w:tc>
          <w:tcPr>
            <w:tcW w:w="0" w:type="auto"/>
            <w:vAlign w:val="center"/>
            <w:hideMark/>
          </w:tcPr>
          <w:p w14:paraId="28959F81" w14:textId="77777777"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3.08</m:t>
                </m:r>
              </m:oMath>
            </m:oMathPara>
          </w:p>
        </w:tc>
        <w:tc>
          <w:tcPr>
            <w:tcW w:w="0" w:type="auto"/>
            <w:vAlign w:val="center"/>
            <w:hideMark/>
          </w:tcPr>
          <w:p w14:paraId="0F14E4E5" w14:textId="77777777"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&lt;0.010</m:t>
                </m:r>
              </m:oMath>
            </m:oMathPara>
          </w:p>
        </w:tc>
        <w:tc>
          <w:tcPr>
            <w:tcW w:w="1907" w:type="dxa"/>
            <w:vAlign w:val="center"/>
            <w:hideMark/>
          </w:tcPr>
          <w:p w14:paraId="2F9DCE2E" w14:textId="77777777"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11BAD">
              <w:rPr>
                <w:rFonts w:ascii="Arial" w:hAnsi="Arial" w:cs="Arial"/>
                <w:sz w:val="22"/>
                <w:szCs w:val="22"/>
              </w:rPr>
              <w:t>Componente estructural base.</w:t>
            </w:r>
          </w:p>
        </w:tc>
      </w:tr>
    </w:tbl>
    <w:p w14:paraId="203141A9" w14:textId="77777777" w:rsidR="00711BAD" w:rsidRPr="00711BAD" w:rsidRDefault="00711BAD" w:rsidP="00711BAD">
      <w:pPr>
        <w:rPr>
          <w:rFonts w:ascii="Arial" w:hAnsi="Arial" w:cs="Arial"/>
          <w:b/>
          <w:bCs/>
          <w:sz w:val="22"/>
          <w:szCs w:val="22"/>
        </w:rPr>
      </w:pPr>
    </w:p>
    <w:p w14:paraId="4352B82A" w14:textId="7A1D21EC" w:rsidR="00711BAD" w:rsidRPr="00711BAD" w:rsidRDefault="00711BAD" w:rsidP="00711BAD">
      <w:pPr>
        <w:rPr>
          <w:rFonts w:ascii="Arial" w:hAnsi="Arial" w:cs="Arial"/>
          <w:sz w:val="22"/>
          <w:szCs w:val="22"/>
        </w:rPr>
      </w:pPr>
      <w:r w:rsidRPr="00711BAD">
        <w:rPr>
          <w:rFonts w:ascii="Arial" w:hAnsi="Arial" w:cs="Arial"/>
          <w:sz w:val="22"/>
          <w:szCs w:val="22"/>
        </w:rPr>
        <w:t>Gráficamente, podríamos mencionar:</w:t>
      </w:r>
    </w:p>
    <w:p w14:paraId="2C5707EA" w14:textId="21D774BA" w:rsidR="00711BAD" w:rsidRPr="00711BAD" w:rsidRDefault="00711BAD" w:rsidP="00711BAD">
      <w:pPr>
        <w:rPr>
          <w:rFonts w:ascii="Arial" w:hAnsi="Arial" w:cs="Arial"/>
          <w:b/>
          <w:bCs/>
          <w:sz w:val="22"/>
          <w:szCs w:val="22"/>
        </w:rPr>
      </w:pPr>
      <w:r w:rsidRPr="00711BAD">
        <w:rPr>
          <w:rFonts w:ascii="Arial" w:hAnsi="Arial" w:cs="Arial"/>
          <w:noProof/>
          <w:sz w:val="22"/>
          <w:szCs w:val="22"/>
        </w:rPr>
        <w:drawing>
          <wp:inline distT="0" distB="0" distL="0" distR="0" wp14:anchorId="61A5B971" wp14:editId="2DC814E5">
            <wp:extent cx="5320145" cy="2200915"/>
            <wp:effectExtent l="0" t="0" r="0" b="8890"/>
            <wp:docPr id="209967033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r="8992"/>
                    <a:stretch>
                      <a:fillRect/>
                    </a:stretch>
                  </pic:blipFill>
                  <pic:spPr bwMode="auto">
                    <a:xfrm>
                      <a:off x="0" y="0"/>
                      <a:ext cx="5342855" cy="2210310"/>
                    </a:xfrm>
                    <a:prstGeom prst="rect">
                      <a:avLst/>
                    </a:prstGeom>
                    <a:noFill/>
                    <a:ln>
                      <a:noFill/>
                    </a:ln>
                    <a:extLst>
                      <a:ext uri="{53640926-AAD7-44D8-BBD7-CCE9431645EC}">
                        <a14:shadowObscured xmlns:a14="http://schemas.microsoft.com/office/drawing/2010/main"/>
                      </a:ext>
                    </a:extLst>
                  </pic:spPr>
                </pic:pic>
              </a:graphicData>
            </a:graphic>
          </wp:inline>
        </w:drawing>
      </w:r>
    </w:p>
    <w:p w14:paraId="1EE1D665" w14:textId="77777777" w:rsidR="00711BAD" w:rsidRPr="00711BAD" w:rsidRDefault="00711BAD" w:rsidP="00711BAD">
      <w:pPr>
        <w:spacing w:after="100" w:afterAutospacing="1" w:line="240" w:lineRule="auto"/>
        <w:rPr>
          <w:rFonts w:ascii="Arial" w:eastAsia="Times New Roman" w:hAnsi="Arial" w:cs="Arial"/>
          <w:kern w:val="0"/>
          <w:sz w:val="22"/>
          <w:szCs w:val="22"/>
          <w:lang w:eastAsia="es-CO"/>
          <w14:ligatures w14:val="none"/>
        </w:rPr>
      </w:pPr>
      <w:r w:rsidRPr="00711BAD">
        <w:rPr>
          <w:rFonts w:ascii="Arial" w:eastAsia="Times New Roman" w:hAnsi="Arial" w:cs="Arial"/>
          <w:kern w:val="0"/>
          <w:sz w:val="22"/>
          <w:szCs w:val="22"/>
          <w:lang w:eastAsia="es-CO"/>
          <w14:ligatures w14:val="none"/>
        </w:rPr>
        <w:t>El % de Régimen Subsidiado es la variable de mayor significancia en el modelo (</w:t>
      </w:r>
      <m:oMath>
        <m:r>
          <w:rPr>
            <w:rFonts w:ascii="Cambria Math" w:eastAsia="Times New Roman" w:hAnsi="Cambria Math" w:cs="Arial"/>
            <w:kern w:val="0"/>
            <w:sz w:val="22"/>
            <w:szCs w:val="22"/>
            <w:lang w:eastAsia="es-CO"/>
            <w14:ligatures w14:val="none"/>
          </w:rPr>
          <m:t>|z|=9.80</m:t>
        </m:r>
      </m:oMath>
      <w:r w:rsidRPr="00711BAD">
        <w:rPr>
          <w:rFonts w:ascii="Arial" w:eastAsia="Times New Roman" w:hAnsi="Arial" w:cs="Arial"/>
          <w:kern w:val="0"/>
          <w:sz w:val="22"/>
          <w:szCs w:val="22"/>
          <w:lang w:eastAsia="es-CO"/>
          <w14:ligatures w14:val="none"/>
        </w:rPr>
        <w:t xml:space="preserve">). Más que medir el acceso a la salud, esta variable opera como un </w:t>
      </w:r>
      <w:r w:rsidRPr="00711BAD">
        <w:rPr>
          <w:rFonts w:ascii="Arial" w:eastAsia="Times New Roman" w:hAnsi="Arial" w:cs="Arial"/>
          <w:i/>
          <w:iCs/>
          <w:kern w:val="0"/>
          <w:sz w:val="22"/>
          <w:szCs w:val="22"/>
          <w:lang w:eastAsia="es-CO"/>
          <w14:ligatures w14:val="none"/>
        </w:rPr>
        <w:t>proxy</w:t>
      </w:r>
      <w:r w:rsidRPr="00711BAD">
        <w:rPr>
          <w:rFonts w:ascii="Arial" w:eastAsia="Times New Roman" w:hAnsi="Arial" w:cs="Arial"/>
          <w:kern w:val="0"/>
          <w:sz w:val="22"/>
          <w:szCs w:val="22"/>
          <w:lang w:eastAsia="es-CO"/>
          <w14:ligatures w14:val="none"/>
        </w:rPr>
        <w:t xml:space="preserve"> directo de la informalidad laboral y la falta de capacidad de pago de los hogares. Su elevado coeficiente positivo demuestra que la concentración de población en el régimen subsidiado marca los focos de mayor vulnerabilidad estructural.</w:t>
      </w:r>
    </w:p>
    <w:p w14:paraId="05F8243A" w14:textId="58EA98E3" w:rsidR="00711BAD" w:rsidRPr="00711BAD" w:rsidRDefault="00711BAD" w:rsidP="00711BAD">
      <w:pPr>
        <w:spacing w:after="100" w:afterAutospacing="1" w:line="240" w:lineRule="auto"/>
        <w:rPr>
          <w:rFonts w:ascii="Arial" w:eastAsia="Times New Roman" w:hAnsi="Arial" w:cs="Arial"/>
          <w:kern w:val="0"/>
          <w:sz w:val="22"/>
          <w:szCs w:val="22"/>
          <w:lang w:eastAsia="es-CO"/>
          <w14:ligatures w14:val="none"/>
        </w:rPr>
      </w:pPr>
      <w:r w:rsidRPr="00711BAD">
        <w:rPr>
          <w:rFonts w:ascii="Arial" w:eastAsia="Times New Roman" w:hAnsi="Arial" w:cs="Arial"/>
          <w:kern w:val="0"/>
          <w:sz w:val="22"/>
          <w:szCs w:val="22"/>
          <w:lang w:eastAsia="es-CO"/>
          <w14:ligatures w14:val="none"/>
        </w:rPr>
        <w:t>La Tasa de Matriculación en edades de 5 a 16 años (</w:t>
      </w:r>
      <m:oMath>
        <m:r>
          <w:rPr>
            <w:rFonts w:ascii="Cambria Math" w:eastAsia="Times New Roman" w:hAnsi="Cambria Math" w:cs="Arial"/>
            <w:kern w:val="0"/>
            <w:sz w:val="22"/>
            <w:szCs w:val="22"/>
            <w:lang w:eastAsia="es-CO"/>
            <w14:ligatures w14:val="none"/>
          </w:rPr>
          <m:t>|z|=7.81</m:t>
        </m:r>
      </m:oMath>
      <w:r w:rsidRPr="00711BAD">
        <w:rPr>
          <w:rFonts w:ascii="Arial" w:eastAsia="Times New Roman" w:hAnsi="Arial" w:cs="Arial"/>
          <w:kern w:val="0"/>
          <w:sz w:val="22"/>
          <w:szCs w:val="22"/>
          <w:lang w:eastAsia="es-CO"/>
          <w14:ligatures w14:val="none"/>
        </w:rPr>
        <w:t>) y el ICEE Rural (</w:t>
      </w:r>
      <m:oMath>
        <m:r>
          <w:rPr>
            <w:rFonts w:ascii="Cambria Math" w:eastAsia="Times New Roman" w:hAnsi="Cambria Math" w:cs="Arial"/>
            <w:kern w:val="0"/>
            <w:sz w:val="22"/>
            <w:szCs w:val="22"/>
            <w:lang w:eastAsia="es-CO"/>
            <w14:ligatures w14:val="none"/>
          </w:rPr>
          <m:t>|z|=5.00</m:t>
        </m:r>
      </m:oMath>
      <w:r w:rsidRPr="00711BAD">
        <w:rPr>
          <w:rFonts w:ascii="Arial" w:eastAsia="Times New Roman" w:hAnsi="Arial" w:cs="Arial"/>
          <w:kern w:val="0"/>
          <w:sz w:val="22"/>
          <w:szCs w:val="22"/>
          <w:lang w:eastAsia="es-CO"/>
          <w14:ligatures w14:val="none"/>
        </w:rPr>
        <w:t>) constituyen los principales escudos protectores frente a la pobreza. La significancia del ICEE Rural confirma que la ampliación de la cobertura educativa en zonas periféricas es determinante para cerrar brechas territoriales e interrumpir la transmisión intergeneracional de la pobreza.</w:t>
      </w:r>
    </w:p>
    <w:p w14:paraId="2F071826" w14:textId="3AF81F25" w:rsidR="00711BAD" w:rsidRPr="00711BAD" w:rsidRDefault="00711BAD" w:rsidP="00711BAD">
      <w:pPr>
        <w:spacing w:after="100" w:afterAutospacing="1" w:line="240" w:lineRule="auto"/>
        <w:rPr>
          <w:rFonts w:ascii="Arial" w:eastAsia="Times New Roman" w:hAnsi="Arial" w:cs="Arial"/>
          <w:kern w:val="0"/>
          <w:sz w:val="22"/>
          <w:szCs w:val="22"/>
          <w:lang w:eastAsia="es-CO"/>
          <w14:ligatures w14:val="none"/>
        </w:rPr>
      </w:pPr>
      <w:r w:rsidRPr="00711BAD">
        <w:rPr>
          <w:rFonts w:ascii="Arial" w:eastAsia="Times New Roman" w:hAnsi="Arial" w:cs="Arial"/>
          <w:kern w:val="0"/>
          <w:sz w:val="22"/>
          <w:szCs w:val="22"/>
          <w:lang w:eastAsia="es-CO"/>
          <w14:ligatures w14:val="none"/>
        </w:rPr>
        <w:t>Tanto la Razón de Mortalidad Materna (</w:t>
      </w:r>
      <m:oMath>
        <m:r>
          <w:rPr>
            <w:rFonts w:ascii="Cambria Math" w:eastAsia="Times New Roman" w:hAnsi="Cambria Math" w:cs="Arial"/>
            <w:kern w:val="0"/>
            <w:sz w:val="22"/>
            <w:szCs w:val="22"/>
            <w:lang w:eastAsia="es-CO"/>
            <w14:ligatures w14:val="none"/>
          </w:rPr>
          <m:t>|z|=3.33</m:t>
        </m:r>
      </m:oMath>
      <w:r w:rsidRPr="00711BAD">
        <w:rPr>
          <w:rFonts w:ascii="Arial" w:eastAsia="Times New Roman" w:hAnsi="Arial" w:cs="Arial"/>
          <w:kern w:val="0"/>
          <w:sz w:val="22"/>
          <w:szCs w:val="22"/>
          <w:lang w:eastAsia="es-CO"/>
          <w14:ligatures w14:val="none"/>
        </w:rPr>
        <w:t>) como la Mortalidad Infantil (</w:t>
      </w:r>
      <m:oMath>
        <m:r>
          <w:rPr>
            <w:rFonts w:ascii="Cambria Math" w:eastAsia="Times New Roman" w:hAnsi="Cambria Math" w:cs="Arial"/>
            <w:kern w:val="0"/>
            <w:sz w:val="22"/>
            <w:szCs w:val="22"/>
            <w:lang w:eastAsia="es-CO"/>
            <w14:ligatures w14:val="none"/>
          </w:rPr>
          <m:t>|z|=3.00</m:t>
        </m:r>
      </m:oMath>
      <w:r w:rsidRPr="00711BAD">
        <w:rPr>
          <w:rFonts w:ascii="Arial" w:eastAsia="Times New Roman" w:hAnsi="Arial" w:cs="Arial"/>
          <w:kern w:val="0"/>
          <w:sz w:val="22"/>
          <w:szCs w:val="22"/>
          <w:lang w:eastAsia="es-CO"/>
          <w14:ligatures w14:val="none"/>
        </w:rPr>
        <w:t>) capturan la efectividad de las redes primarias de atención y la calidad de la infraestructura sanitaria regional, validando su inclusión como predictores clave dentro del modelo espacial.</w:t>
      </w:r>
    </w:p>
    <w:p w14:paraId="40934C35" w14:textId="1CB0BD16" w:rsidR="00711BAD" w:rsidRPr="00711BAD" w:rsidRDefault="00711BAD" w:rsidP="00711BAD">
      <w:pPr>
        <w:rPr>
          <w:rFonts w:ascii="Arial" w:hAnsi="Arial" w:cs="Arial"/>
          <w:sz w:val="22"/>
          <w:szCs w:val="22"/>
        </w:rPr>
      </w:pPr>
      <w:r w:rsidRPr="00711BAD">
        <w:rPr>
          <w:rFonts w:ascii="Arial" w:hAnsi="Arial" w:cs="Arial"/>
          <w:b/>
          <w:bCs/>
          <w:sz w:val="22"/>
          <w:szCs w:val="22"/>
        </w:rPr>
        <w:t>3. Patrones Espaciales y Calibración del IPM Municipal (2024)</w:t>
      </w:r>
    </w:p>
    <w:p w14:paraId="6DDF6298" w14:textId="77777777" w:rsidR="00711BAD" w:rsidRPr="00711BAD" w:rsidRDefault="00711BAD" w:rsidP="00711BAD">
      <w:pPr>
        <w:rPr>
          <w:rFonts w:ascii="Arial" w:hAnsi="Arial" w:cs="Arial"/>
          <w:sz w:val="22"/>
          <w:szCs w:val="22"/>
        </w:rPr>
      </w:pPr>
      <w:r w:rsidRPr="00711BAD">
        <w:rPr>
          <w:rFonts w:ascii="Arial" w:hAnsi="Arial" w:cs="Arial"/>
          <w:i/>
          <w:iCs/>
          <w:sz w:val="22"/>
          <w:szCs w:val="22"/>
        </w:rPr>
        <w:t>(Respuesta al Objetivo 3)</w:t>
      </w:r>
    </w:p>
    <w:p w14:paraId="2DD65D27" w14:textId="77777777" w:rsidR="00711BAD" w:rsidRPr="00711BAD" w:rsidRDefault="00711BAD" w:rsidP="00711BAD">
      <w:pPr>
        <w:rPr>
          <w:rFonts w:ascii="Arial" w:hAnsi="Arial" w:cs="Arial"/>
          <w:sz w:val="22"/>
          <w:szCs w:val="22"/>
        </w:rPr>
      </w:pPr>
      <w:r w:rsidRPr="00711BAD">
        <w:rPr>
          <w:rFonts w:ascii="Arial" w:hAnsi="Arial" w:cs="Arial"/>
          <w:sz w:val="22"/>
          <w:szCs w:val="22"/>
        </w:rPr>
        <w:t>La proyección del IPM municipal proyectado para 2024 exhibe una distribución caracterizada por los siguientes estadísticos descriptivos:</w:t>
      </w:r>
    </w:p>
    <w:p w14:paraId="13C0656E" w14:textId="25184FD1" w:rsidR="00711BAD" w:rsidRPr="00711BAD" w:rsidRDefault="00711BAD" w:rsidP="00711BAD">
      <w:pPr>
        <w:rPr>
          <w:rFonts w:ascii="Arial" w:hAnsi="Arial" w:cs="Arial"/>
          <w:sz w:val="22"/>
          <w:szCs w:val="22"/>
        </w:rPr>
      </w:pPr>
      <w:r w:rsidRPr="00711BAD">
        <w:rPr>
          <w:rFonts w:ascii="Arial" w:hAnsi="Arial" w:cs="Arial"/>
          <w:b/>
          <w:bCs/>
          <w:sz w:val="22"/>
          <w:szCs w:val="22"/>
        </w:rPr>
        <w:t>Estadísticos Descriptivos del IPM Municipal Proyectado 2024 (</w:t>
      </w:r>
      <m:oMath>
        <m:r>
          <w:rPr>
            <w:rFonts w:ascii="Cambria Math" w:hAnsi="Cambria Math" w:cs="Arial"/>
            <w:sz w:val="22"/>
            <w:szCs w:val="22"/>
          </w:rPr>
          <m:t>N=1.117</m:t>
        </m:r>
      </m:oMath>
      <w:r w:rsidRPr="00711BAD">
        <w:rPr>
          <w:rFonts w:ascii="Arial" w:hAnsi="Arial" w:cs="Arial"/>
          <w:b/>
          <w:bCs/>
          <w:sz w:val="22"/>
          <w:szCs w:val="22"/>
        </w:rPr>
        <w:t>)</w:t>
      </w:r>
    </w:p>
    <w:tbl>
      <w:tblPr>
        <w:tblStyle w:val="Tablanormal3"/>
        <w:tblW w:w="0" w:type="auto"/>
        <w:jc w:val="center"/>
        <w:tblLook w:val="04A0" w:firstRow="1" w:lastRow="0" w:firstColumn="1" w:lastColumn="0" w:noHBand="0" w:noVBand="1"/>
      </w:tblPr>
      <w:tblGrid>
        <w:gridCol w:w="2722"/>
        <w:gridCol w:w="2771"/>
      </w:tblGrid>
      <w:tr w:rsidR="00711BAD" w:rsidRPr="00711BAD" w14:paraId="5DD4F83E" w14:textId="77777777" w:rsidTr="00711BA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56FFF2A5" w14:textId="77777777" w:rsidR="00711BAD" w:rsidRPr="00711BAD" w:rsidRDefault="00711BAD" w:rsidP="00711BAD">
            <w:pPr>
              <w:spacing w:line="278" w:lineRule="auto"/>
              <w:jc w:val="center"/>
              <w:rPr>
                <w:rFonts w:ascii="Arial" w:hAnsi="Arial" w:cs="Arial"/>
                <w:sz w:val="22"/>
                <w:szCs w:val="22"/>
              </w:rPr>
            </w:pPr>
            <w:r w:rsidRPr="00711BAD">
              <w:rPr>
                <w:rFonts w:ascii="Arial" w:hAnsi="Arial" w:cs="Arial"/>
                <w:sz w:val="22"/>
                <w:szCs w:val="22"/>
              </w:rPr>
              <w:t>Métrica Estadística</w:t>
            </w:r>
          </w:p>
        </w:tc>
        <w:tc>
          <w:tcPr>
            <w:tcW w:w="0" w:type="auto"/>
            <w:vAlign w:val="center"/>
            <w:hideMark/>
          </w:tcPr>
          <w:p w14:paraId="340C7AEF" w14:textId="77777777" w:rsidR="00711BAD" w:rsidRPr="00711BAD" w:rsidRDefault="00711BAD" w:rsidP="00711BAD">
            <w:pPr>
              <w:spacing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11BAD">
              <w:rPr>
                <w:rFonts w:ascii="Arial" w:hAnsi="Arial" w:cs="Arial"/>
                <w:sz w:val="22"/>
                <w:szCs w:val="22"/>
              </w:rPr>
              <w:t>IPM Sintético SAR (%)</w:t>
            </w:r>
          </w:p>
        </w:tc>
      </w:tr>
      <w:tr w:rsidR="00711BAD" w:rsidRPr="00711BAD" w14:paraId="06427EF6" w14:textId="77777777" w:rsidTr="00711B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443F0F" w14:textId="77777777" w:rsidR="00711BAD" w:rsidRPr="00711BAD" w:rsidRDefault="00711BAD" w:rsidP="00711BAD">
            <w:pPr>
              <w:spacing w:line="278" w:lineRule="auto"/>
              <w:jc w:val="center"/>
              <w:rPr>
                <w:rFonts w:ascii="Arial" w:hAnsi="Arial" w:cs="Arial"/>
                <w:sz w:val="22"/>
                <w:szCs w:val="22"/>
              </w:rPr>
            </w:pPr>
            <w:r w:rsidRPr="00711BAD">
              <w:rPr>
                <w:rFonts w:ascii="Arial" w:hAnsi="Arial" w:cs="Arial"/>
                <w:sz w:val="22"/>
                <w:szCs w:val="22"/>
              </w:rPr>
              <w:t>Mínimo</w:t>
            </w:r>
          </w:p>
        </w:tc>
        <w:tc>
          <w:tcPr>
            <w:tcW w:w="0" w:type="auto"/>
            <w:vAlign w:val="center"/>
            <w:hideMark/>
          </w:tcPr>
          <w:p w14:paraId="2B3408CE" w14:textId="0B8AFC2E" w:rsidR="00711BAD" w:rsidRPr="00711BAD" w:rsidRDefault="00711BAD" w:rsidP="00711BAD">
            <w:pPr>
              <w:spacing w:line="278"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1.90%</m:t>
                </m:r>
              </m:oMath>
            </m:oMathPara>
          </w:p>
        </w:tc>
      </w:tr>
      <w:tr w:rsidR="00711BAD" w:rsidRPr="00711BAD" w14:paraId="41738BBC" w14:textId="77777777" w:rsidTr="00711BA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0D58B7" w14:textId="4ACE492A" w:rsidR="00711BAD" w:rsidRPr="00711BAD" w:rsidRDefault="00711BAD" w:rsidP="00711BAD">
            <w:pPr>
              <w:spacing w:line="278" w:lineRule="auto"/>
              <w:jc w:val="center"/>
              <w:rPr>
                <w:rFonts w:ascii="Arial" w:hAnsi="Arial" w:cs="Arial"/>
                <w:sz w:val="22"/>
                <w:szCs w:val="22"/>
              </w:rPr>
            </w:pPr>
            <w:r w:rsidRPr="00711BAD">
              <w:rPr>
                <w:rFonts w:ascii="Arial" w:hAnsi="Arial" w:cs="Arial"/>
                <w:sz w:val="22"/>
                <w:szCs w:val="22"/>
              </w:rPr>
              <w:lastRenderedPageBreak/>
              <w:t>Primer Cuartil (</w:t>
            </w:r>
            <m:oMath>
              <m:sSub>
                <m:sSubPr>
                  <m:ctrlPr>
                    <w:rPr>
                      <w:rFonts w:ascii="Cambria Math" w:hAnsi="Cambria Math" w:cs="Arial"/>
                      <w:sz w:val="22"/>
                      <w:szCs w:val="22"/>
                    </w:rPr>
                  </m:ctrlPr>
                </m:sSubPr>
                <m:e>
                  <m:r>
                    <m:rPr>
                      <m:sty m:val="bi"/>
                    </m:rPr>
                    <w:rPr>
                      <w:rFonts w:ascii="Cambria Math" w:hAnsi="Cambria Math" w:cs="Arial"/>
                      <w:sz w:val="22"/>
                      <w:szCs w:val="22"/>
                    </w:rPr>
                    <m:t>Q</m:t>
                  </m:r>
                </m:e>
                <m:sub>
                  <m:r>
                    <m:rPr>
                      <m:sty m:val="bi"/>
                    </m:rPr>
                    <w:rPr>
                      <w:rFonts w:ascii="Cambria Math" w:hAnsi="Cambria Math" w:cs="Arial"/>
                      <w:sz w:val="22"/>
                      <w:szCs w:val="22"/>
                    </w:rPr>
                    <m:t>1</m:t>
                  </m:r>
                </m:sub>
              </m:sSub>
            </m:oMath>
            <w:r w:rsidRPr="00711BAD">
              <w:rPr>
                <w:rFonts w:ascii="Arial" w:hAnsi="Arial" w:cs="Arial"/>
                <w:sz w:val="22"/>
                <w:szCs w:val="22"/>
              </w:rPr>
              <w:t>)</w:t>
            </w:r>
          </w:p>
        </w:tc>
        <w:tc>
          <w:tcPr>
            <w:tcW w:w="0" w:type="auto"/>
            <w:vAlign w:val="center"/>
            <w:hideMark/>
          </w:tcPr>
          <w:p w14:paraId="5B114AE8" w14:textId="47CC8DD7" w:rsidR="00711BAD" w:rsidRPr="00711BAD" w:rsidRDefault="00711BAD" w:rsidP="00711BAD">
            <w:pPr>
              <w:spacing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36.96%</m:t>
                </m:r>
              </m:oMath>
            </m:oMathPara>
          </w:p>
        </w:tc>
      </w:tr>
      <w:tr w:rsidR="00711BAD" w:rsidRPr="00711BAD" w14:paraId="664883A2" w14:textId="77777777" w:rsidTr="00711B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C482E4" w14:textId="22F4B899" w:rsidR="00711BAD" w:rsidRPr="00711BAD" w:rsidRDefault="00711BAD" w:rsidP="00711BAD">
            <w:pPr>
              <w:spacing w:line="278" w:lineRule="auto"/>
              <w:jc w:val="center"/>
              <w:rPr>
                <w:rFonts w:ascii="Arial" w:hAnsi="Arial" w:cs="Arial"/>
                <w:sz w:val="22"/>
                <w:szCs w:val="22"/>
              </w:rPr>
            </w:pPr>
            <w:r w:rsidRPr="00711BAD">
              <w:rPr>
                <w:rFonts w:ascii="Arial" w:hAnsi="Arial" w:cs="Arial"/>
                <w:sz w:val="22"/>
                <w:szCs w:val="22"/>
              </w:rPr>
              <w:t>Mediana (</w:t>
            </w:r>
            <m:oMath>
              <m:sSub>
                <m:sSubPr>
                  <m:ctrlPr>
                    <w:rPr>
                      <w:rFonts w:ascii="Cambria Math" w:hAnsi="Cambria Math" w:cs="Arial"/>
                      <w:sz w:val="22"/>
                      <w:szCs w:val="22"/>
                    </w:rPr>
                  </m:ctrlPr>
                </m:sSubPr>
                <m:e>
                  <m:r>
                    <m:rPr>
                      <m:sty m:val="bi"/>
                    </m:rPr>
                    <w:rPr>
                      <w:rFonts w:ascii="Cambria Math" w:hAnsi="Cambria Math" w:cs="Arial"/>
                      <w:sz w:val="22"/>
                      <w:szCs w:val="22"/>
                    </w:rPr>
                    <m:t>Q</m:t>
                  </m:r>
                </m:e>
                <m:sub>
                  <m:r>
                    <m:rPr>
                      <m:sty m:val="bi"/>
                    </m:rPr>
                    <w:rPr>
                      <w:rFonts w:ascii="Cambria Math" w:hAnsi="Cambria Math" w:cs="Arial"/>
                      <w:sz w:val="22"/>
                      <w:szCs w:val="22"/>
                    </w:rPr>
                    <m:t>2</m:t>
                  </m:r>
                </m:sub>
              </m:sSub>
            </m:oMath>
            <w:r w:rsidRPr="00711BAD">
              <w:rPr>
                <w:rFonts w:ascii="Arial" w:hAnsi="Arial" w:cs="Arial"/>
                <w:sz w:val="22"/>
                <w:szCs w:val="22"/>
              </w:rPr>
              <w:t>)</w:t>
            </w:r>
          </w:p>
        </w:tc>
        <w:tc>
          <w:tcPr>
            <w:tcW w:w="0" w:type="auto"/>
            <w:vAlign w:val="center"/>
            <w:hideMark/>
          </w:tcPr>
          <w:p w14:paraId="75DE2543" w14:textId="271C8389" w:rsidR="00711BAD" w:rsidRPr="00711BAD" w:rsidRDefault="00711BAD" w:rsidP="00711BAD">
            <w:pPr>
              <w:spacing w:line="278"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47.09%</m:t>
                </m:r>
              </m:oMath>
            </m:oMathPara>
          </w:p>
        </w:tc>
      </w:tr>
      <w:tr w:rsidR="00711BAD" w:rsidRPr="00711BAD" w14:paraId="20257D1B" w14:textId="77777777" w:rsidTr="00711BA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EEC748" w14:textId="77777777" w:rsidR="00711BAD" w:rsidRPr="00711BAD" w:rsidRDefault="00711BAD" w:rsidP="00711BAD">
            <w:pPr>
              <w:spacing w:line="278" w:lineRule="auto"/>
              <w:jc w:val="center"/>
              <w:rPr>
                <w:rFonts w:ascii="Arial" w:hAnsi="Arial" w:cs="Arial"/>
                <w:sz w:val="22"/>
                <w:szCs w:val="22"/>
              </w:rPr>
            </w:pPr>
            <w:r w:rsidRPr="00711BAD">
              <w:rPr>
                <w:rFonts w:ascii="Arial" w:hAnsi="Arial" w:cs="Arial"/>
                <w:sz w:val="22"/>
                <w:szCs w:val="22"/>
              </w:rPr>
              <w:t>Media</w:t>
            </w:r>
          </w:p>
        </w:tc>
        <w:tc>
          <w:tcPr>
            <w:tcW w:w="0" w:type="auto"/>
            <w:vAlign w:val="center"/>
            <w:hideMark/>
          </w:tcPr>
          <w:p w14:paraId="115FB813" w14:textId="68D894F2" w:rsidR="00711BAD" w:rsidRPr="00711BAD" w:rsidRDefault="00711BAD" w:rsidP="00711BAD">
            <w:pPr>
              <w:spacing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45.57%</m:t>
                </m:r>
              </m:oMath>
            </m:oMathPara>
          </w:p>
        </w:tc>
      </w:tr>
      <w:tr w:rsidR="00711BAD" w:rsidRPr="00711BAD" w14:paraId="35A65C69" w14:textId="77777777" w:rsidTr="00711B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3D443B" w14:textId="4D713F2C" w:rsidR="00711BAD" w:rsidRPr="00711BAD" w:rsidRDefault="00711BAD" w:rsidP="00711BAD">
            <w:pPr>
              <w:spacing w:line="278" w:lineRule="auto"/>
              <w:jc w:val="center"/>
              <w:rPr>
                <w:rFonts w:ascii="Arial" w:hAnsi="Arial" w:cs="Arial"/>
                <w:sz w:val="22"/>
                <w:szCs w:val="22"/>
              </w:rPr>
            </w:pPr>
            <w:r w:rsidRPr="00711BAD">
              <w:rPr>
                <w:rFonts w:ascii="Arial" w:hAnsi="Arial" w:cs="Arial"/>
                <w:sz w:val="22"/>
                <w:szCs w:val="22"/>
              </w:rPr>
              <w:t>Tercer Cuartil (</w:t>
            </w:r>
            <m:oMath>
              <m:sSub>
                <m:sSubPr>
                  <m:ctrlPr>
                    <w:rPr>
                      <w:rFonts w:ascii="Cambria Math" w:hAnsi="Cambria Math" w:cs="Arial"/>
                      <w:sz w:val="22"/>
                      <w:szCs w:val="22"/>
                    </w:rPr>
                  </m:ctrlPr>
                </m:sSubPr>
                <m:e>
                  <m:r>
                    <m:rPr>
                      <m:sty m:val="bi"/>
                    </m:rPr>
                    <w:rPr>
                      <w:rFonts w:ascii="Cambria Math" w:hAnsi="Cambria Math" w:cs="Arial"/>
                      <w:sz w:val="22"/>
                      <w:szCs w:val="22"/>
                    </w:rPr>
                    <m:t>Q</m:t>
                  </m:r>
                </m:e>
                <m:sub>
                  <m:r>
                    <m:rPr>
                      <m:sty m:val="bi"/>
                    </m:rPr>
                    <w:rPr>
                      <w:rFonts w:ascii="Cambria Math" w:hAnsi="Cambria Math" w:cs="Arial"/>
                      <w:sz w:val="22"/>
                      <w:szCs w:val="22"/>
                    </w:rPr>
                    <m:t>3</m:t>
                  </m:r>
                </m:sub>
              </m:sSub>
            </m:oMath>
            <w:r w:rsidRPr="00711BAD">
              <w:rPr>
                <w:rFonts w:ascii="Arial" w:hAnsi="Arial" w:cs="Arial"/>
                <w:sz w:val="22"/>
                <w:szCs w:val="22"/>
              </w:rPr>
              <w:t>)</w:t>
            </w:r>
          </w:p>
        </w:tc>
        <w:tc>
          <w:tcPr>
            <w:tcW w:w="0" w:type="auto"/>
            <w:vAlign w:val="center"/>
            <w:hideMark/>
          </w:tcPr>
          <w:p w14:paraId="1E6F79F5" w14:textId="4083BC66" w:rsidR="00711BAD" w:rsidRPr="00711BAD" w:rsidRDefault="00711BAD" w:rsidP="00711BAD">
            <w:pPr>
              <w:spacing w:line="278"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55.49%</m:t>
                </m:r>
              </m:oMath>
            </m:oMathPara>
          </w:p>
        </w:tc>
      </w:tr>
      <w:tr w:rsidR="00711BAD" w:rsidRPr="00711BAD" w14:paraId="4C2D58B0" w14:textId="77777777" w:rsidTr="00711BA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33E8A8" w14:textId="77777777" w:rsidR="00711BAD" w:rsidRPr="00711BAD" w:rsidRDefault="00711BAD" w:rsidP="00711BAD">
            <w:pPr>
              <w:spacing w:line="278" w:lineRule="auto"/>
              <w:jc w:val="center"/>
              <w:rPr>
                <w:rFonts w:ascii="Arial" w:hAnsi="Arial" w:cs="Arial"/>
                <w:sz w:val="22"/>
                <w:szCs w:val="22"/>
              </w:rPr>
            </w:pPr>
            <w:r w:rsidRPr="00711BAD">
              <w:rPr>
                <w:rFonts w:ascii="Arial" w:hAnsi="Arial" w:cs="Arial"/>
                <w:sz w:val="22"/>
                <w:szCs w:val="22"/>
              </w:rPr>
              <w:t>Máximo</w:t>
            </w:r>
          </w:p>
        </w:tc>
        <w:tc>
          <w:tcPr>
            <w:tcW w:w="0" w:type="auto"/>
            <w:vAlign w:val="center"/>
            <w:hideMark/>
          </w:tcPr>
          <w:p w14:paraId="44715DEE" w14:textId="4F57B13B" w:rsidR="00711BAD" w:rsidRPr="00711BAD" w:rsidRDefault="00711BAD" w:rsidP="00711BAD">
            <w:pPr>
              <w:spacing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86.80%</m:t>
                </m:r>
              </m:oMath>
            </m:oMathPara>
          </w:p>
        </w:tc>
      </w:tr>
    </w:tbl>
    <w:p w14:paraId="587D63D3" w14:textId="77777777" w:rsidR="00711BAD" w:rsidRPr="00711BAD" w:rsidRDefault="00711BAD" w:rsidP="00711BAD">
      <w:pPr>
        <w:rPr>
          <w:rFonts w:ascii="Arial" w:hAnsi="Arial" w:cs="Arial"/>
          <w:b/>
          <w:bCs/>
          <w:sz w:val="22"/>
          <w:szCs w:val="22"/>
        </w:rPr>
      </w:pPr>
    </w:p>
    <w:p w14:paraId="02B040FE" w14:textId="5CF25A41" w:rsidR="00711BAD" w:rsidRPr="00711BAD" w:rsidRDefault="00711BAD" w:rsidP="00711BAD">
      <w:pPr>
        <w:rPr>
          <w:rFonts w:ascii="Arial" w:hAnsi="Arial" w:cs="Arial"/>
          <w:sz w:val="22"/>
          <w:szCs w:val="22"/>
        </w:rPr>
      </w:pPr>
      <w:r w:rsidRPr="00711BAD">
        <w:rPr>
          <w:rFonts w:ascii="Arial" w:hAnsi="Arial" w:cs="Arial"/>
          <w:b/>
          <w:bCs/>
          <w:sz w:val="22"/>
          <w:szCs w:val="22"/>
        </w:rPr>
        <w:t>Calibración y Benchmarking Departamental:</w:t>
      </w:r>
    </w:p>
    <w:p w14:paraId="3EB9F6B6" w14:textId="77777777" w:rsidR="00711BAD" w:rsidRPr="00711BAD" w:rsidRDefault="00711BAD" w:rsidP="00711BAD">
      <w:pPr>
        <w:rPr>
          <w:rFonts w:ascii="Arial" w:hAnsi="Arial" w:cs="Arial"/>
          <w:sz w:val="22"/>
          <w:szCs w:val="22"/>
        </w:rPr>
      </w:pPr>
      <w:r w:rsidRPr="00711BAD">
        <w:rPr>
          <w:rFonts w:ascii="Arial" w:hAnsi="Arial" w:cs="Arial"/>
          <w:sz w:val="22"/>
          <w:szCs w:val="22"/>
        </w:rPr>
        <w:t xml:space="preserve">Para garantizar la consistencia macroeconómica con las cifras oficiales DANE 2024, las estimaciones municipales sintéticas se sometieron a una calibración por </w:t>
      </w:r>
      <w:r w:rsidRPr="00711BAD">
        <w:rPr>
          <w:rFonts w:ascii="Arial" w:hAnsi="Arial" w:cs="Arial"/>
          <w:i/>
          <w:iCs/>
          <w:sz w:val="22"/>
          <w:szCs w:val="22"/>
        </w:rPr>
        <w:t>benchmarking</w:t>
      </w:r>
      <w:r w:rsidRPr="00711BAD">
        <w:rPr>
          <w:rFonts w:ascii="Arial" w:hAnsi="Arial" w:cs="Arial"/>
          <w:sz w:val="22"/>
          <w:szCs w:val="22"/>
        </w:rPr>
        <w:t>. La tabla resultante demuestra una coincidencia exacta entre la agregación del modelo y los datos institucionales:</w:t>
      </w:r>
    </w:p>
    <w:p w14:paraId="7F3A84EC" w14:textId="77777777" w:rsidR="00711BAD" w:rsidRPr="00711BAD" w:rsidRDefault="00711BAD" w:rsidP="00711BAD">
      <w:pPr>
        <w:rPr>
          <w:rFonts w:ascii="Arial" w:hAnsi="Arial" w:cs="Arial"/>
          <w:sz w:val="22"/>
          <w:szCs w:val="22"/>
        </w:rPr>
      </w:pPr>
      <w:r w:rsidRPr="00711BAD">
        <w:rPr>
          <w:rFonts w:ascii="Arial" w:hAnsi="Arial" w:cs="Arial"/>
          <w:b/>
          <w:bCs/>
          <w:sz w:val="22"/>
          <w:szCs w:val="22"/>
        </w:rPr>
        <w:t>Validación de Benchmarking Departamental (Selección de Departamentos)</w:t>
      </w:r>
    </w:p>
    <w:tbl>
      <w:tblPr>
        <w:tblStyle w:val="Tablanormal3"/>
        <w:tblW w:w="0" w:type="auto"/>
        <w:tblLook w:val="04A0" w:firstRow="1" w:lastRow="0" w:firstColumn="1" w:lastColumn="0" w:noHBand="0" w:noVBand="1"/>
      </w:tblPr>
      <w:tblGrid>
        <w:gridCol w:w="1109"/>
        <w:gridCol w:w="2038"/>
        <w:gridCol w:w="1852"/>
        <w:gridCol w:w="1685"/>
        <w:gridCol w:w="2154"/>
      </w:tblGrid>
      <w:tr w:rsidR="00711BAD" w:rsidRPr="00711BAD" w14:paraId="20081B10" w14:textId="77777777" w:rsidTr="00711BA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30A5CA8" w14:textId="77777777" w:rsidR="00711BAD" w:rsidRPr="00711BAD" w:rsidRDefault="00711BAD" w:rsidP="00711BAD">
            <w:pPr>
              <w:spacing w:line="278" w:lineRule="auto"/>
              <w:jc w:val="center"/>
              <w:rPr>
                <w:rFonts w:ascii="Arial" w:hAnsi="Arial" w:cs="Arial"/>
                <w:sz w:val="22"/>
                <w:szCs w:val="22"/>
              </w:rPr>
            </w:pPr>
            <w:r w:rsidRPr="00711BAD">
              <w:rPr>
                <w:rFonts w:ascii="Arial" w:hAnsi="Arial" w:cs="Arial"/>
                <w:sz w:val="22"/>
                <w:szCs w:val="22"/>
              </w:rPr>
              <w:t>Código</w:t>
            </w:r>
          </w:p>
        </w:tc>
        <w:tc>
          <w:tcPr>
            <w:tcW w:w="0" w:type="auto"/>
            <w:hideMark/>
          </w:tcPr>
          <w:p w14:paraId="3F914384" w14:textId="77777777" w:rsidR="00711BAD" w:rsidRPr="00711BAD" w:rsidRDefault="00711BAD" w:rsidP="00711BAD">
            <w:pPr>
              <w:spacing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11BAD">
              <w:rPr>
                <w:rFonts w:ascii="Arial" w:hAnsi="Arial" w:cs="Arial"/>
                <w:sz w:val="22"/>
                <w:szCs w:val="22"/>
              </w:rPr>
              <w:t>Departamento</w:t>
            </w:r>
          </w:p>
        </w:tc>
        <w:tc>
          <w:tcPr>
            <w:tcW w:w="1852" w:type="dxa"/>
            <w:hideMark/>
          </w:tcPr>
          <w:p w14:paraId="42D7F86C" w14:textId="77777777" w:rsidR="00711BAD" w:rsidRPr="00711BAD" w:rsidRDefault="00711BAD" w:rsidP="00711BAD">
            <w:pPr>
              <w:spacing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11BAD">
              <w:rPr>
                <w:rFonts w:ascii="Arial" w:hAnsi="Arial" w:cs="Arial"/>
                <w:sz w:val="22"/>
                <w:szCs w:val="22"/>
              </w:rPr>
              <w:t>IPM Oficial DANE 2024 (%)</w:t>
            </w:r>
          </w:p>
        </w:tc>
        <w:tc>
          <w:tcPr>
            <w:tcW w:w="1685" w:type="dxa"/>
            <w:hideMark/>
          </w:tcPr>
          <w:p w14:paraId="72620D11" w14:textId="77777777" w:rsidR="00711BAD" w:rsidRPr="00711BAD" w:rsidRDefault="00711BAD" w:rsidP="00711BAD">
            <w:pPr>
              <w:spacing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11BAD">
              <w:rPr>
                <w:rFonts w:ascii="Arial" w:hAnsi="Arial" w:cs="Arial"/>
                <w:sz w:val="22"/>
                <w:szCs w:val="22"/>
              </w:rPr>
              <w:t>IPM Agregado Modelo (%)</w:t>
            </w:r>
          </w:p>
        </w:tc>
        <w:tc>
          <w:tcPr>
            <w:tcW w:w="0" w:type="auto"/>
            <w:hideMark/>
          </w:tcPr>
          <w:p w14:paraId="369C2A1B" w14:textId="77777777" w:rsidR="00711BAD" w:rsidRPr="00711BAD" w:rsidRDefault="00711BAD" w:rsidP="00711BAD">
            <w:pPr>
              <w:spacing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11BAD">
              <w:rPr>
                <w:rFonts w:ascii="Arial" w:hAnsi="Arial" w:cs="Arial"/>
                <w:sz w:val="22"/>
                <w:szCs w:val="22"/>
              </w:rPr>
              <w:t>Diferencia Absoluta</w:t>
            </w:r>
          </w:p>
        </w:tc>
      </w:tr>
      <w:tr w:rsidR="00711BAD" w:rsidRPr="00711BAD" w14:paraId="7A086799" w14:textId="77777777" w:rsidTr="00711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2F2B3" w14:textId="77777777" w:rsidR="00711BAD" w:rsidRPr="00711BAD" w:rsidRDefault="00711BAD" w:rsidP="00711BAD">
            <w:pPr>
              <w:spacing w:line="278" w:lineRule="auto"/>
              <w:rPr>
                <w:rFonts w:ascii="Arial" w:hAnsi="Arial" w:cs="Arial"/>
                <w:sz w:val="22"/>
                <w:szCs w:val="22"/>
              </w:rPr>
            </w:pPr>
            <w:r w:rsidRPr="00711BAD">
              <w:rPr>
                <w:rFonts w:ascii="Arial" w:hAnsi="Arial" w:cs="Arial"/>
                <w:sz w:val="22"/>
                <w:szCs w:val="22"/>
              </w:rPr>
              <w:t>05</w:t>
            </w:r>
          </w:p>
        </w:tc>
        <w:tc>
          <w:tcPr>
            <w:tcW w:w="0" w:type="auto"/>
            <w:hideMark/>
          </w:tcPr>
          <w:p w14:paraId="7625BE93" w14:textId="77777777"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11BAD">
              <w:rPr>
                <w:rFonts w:ascii="Arial" w:hAnsi="Arial" w:cs="Arial"/>
                <w:sz w:val="22"/>
                <w:szCs w:val="22"/>
              </w:rPr>
              <w:t>Antioquia</w:t>
            </w:r>
          </w:p>
        </w:tc>
        <w:tc>
          <w:tcPr>
            <w:tcW w:w="1852" w:type="dxa"/>
            <w:hideMark/>
          </w:tcPr>
          <w:p w14:paraId="210D0FDB" w14:textId="4682CA09"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10.9%</m:t>
                </m:r>
              </m:oMath>
            </m:oMathPara>
          </w:p>
        </w:tc>
        <w:tc>
          <w:tcPr>
            <w:tcW w:w="1685" w:type="dxa"/>
            <w:hideMark/>
          </w:tcPr>
          <w:p w14:paraId="0D26012E" w14:textId="2DE0165C"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10.9%</m:t>
                </m:r>
              </m:oMath>
            </m:oMathPara>
          </w:p>
        </w:tc>
        <w:tc>
          <w:tcPr>
            <w:tcW w:w="0" w:type="auto"/>
            <w:hideMark/>
          </w:tcPr>
          <w:p w14:paraId="0607F32B" w14:textId="46E61BDB"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0.0000</m:t>
                </m:r>
              </m:oMath>
            </m:oMathPara>
          </w:p>
        </w:tc>
      </w:tr>
      <w:tr w:rsidR="00711BAD" w:rsidRPr="00711BAD" w14:paraId="37DB8C29" w14:textId="77777777" w:rsidTr="00711BAD">
        <w:tc>
          <w:tcPr>
            <w:cnfStyle w:val="001000000000" w:firstRow="0" w:lastRow="0" w:firstColumn="1" w:lastColumn="0" w:oddVBand="0" w:evenVBand="0" w:oddHBand="0" w:evenHBand="0" w:firstRowFirstColumn="0" w:firstRowLastColumn="0" w:lastRowFirstColumn="0" w:lastRowLastColumn="0"/>
            <w:tcW w:w="0" w:type="auto"/>
            <w:hideMark/>
          </w:tcPr>
          <w:p w14:paraId="2F7B5484" w14:textId="77777777" w:rsidR="00711BAD" w:rsidRPr="00711BAD" w:rsidRDefault="00711BAD" w:rsidP="00711BAD">
            <w:pPr>
              <w:spacing w:line="278" w:lineRule="auto"/>
              <w:rPr>
                <w:rFonts w:ascii="Arial" w:hAnsi="Arial" w:cs="Arial"/>
                <w:sz w:val="22"/>
                <w:szCs w:val="22"/>
              </w:rPr>
            </w:pPr>
            <w:r w:rsidRPr="00711BAD">
              <w:rPr>
                <w:rFonts w:ascii="Arial" w:hAnsi="Arial" w:cs="Arial"/>
                <w:sz w:val="22"/>
                <w:szCs w:val="22"/>
              </w:rPr>
              <w:t>08</w:t>
            </w:r>
          </w:p>
        </w:tc>
        <w:tc>
          <w:tcPr>
            <w:tcW w:w="0" w:type="auto"/>
            <w:hideMark/>
          </w:tcPr>
          <w:p w14:paraId="29661037" w14:textId="77777777"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11BAD">
              <w:rPr>
                <w:rFonts w:ascii="Arial" w:hAnsi="Arial" w:cs="Arial"/>
                <w:sz w:val="22"/>
                <w:szCs w:val="22"/>
              </w:rPr>
              <w:t>Atlántico</w:t>
            </w:r>
          </w:p>
        </w:tc>
        <w:tc>
          <w:tcPr>
            <w:tcW w:w="1852" w:type="dxa"/>
            <w:hideMark/>
          </w:tcPr>
          <w:p w14:paraId="4B88D3AA" w14:textId="75B4D572"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9.5%</m:t>
                </m:r>
              </m:oMath>
            </m:oMathPara>
          </w:p>
        </w:tc>
        <w:tc>
          <w:tcPr>
            <w:tcW w:w="1685" w:type="dxa"/>
            <w:hideMark/>
          </w:tcPr>
          <w:p w14:paraId="5B2CF7C0" w14:textId="416CB42A"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9.5%</m:t>
                </m:r>
              </m:oMath>
            </m:oMathPara>
          </w:p>
        </w:tc>
        <w:tc>
          <w:tcPr>
            <w:tcW w:w="0" w:type="auto"/>
            <w:hideMark/>
          </w:tcPr>
          <w:p w14:paraId="6729562B" w14:textId="356CA27C"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0.0000</m:t>
                </m:r>
              </m:oMath>
            </m:oMathPara>
          </w:p>
        </w:tc>
      </w:tr>
      <w:tr w:rsidR="00711BAD" w:rsidRPr="00711BAD" w14:paraId="4478AA9B" w14:textId="77777777" w:rsidTr="00711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CC0E1" w14:textId="77777777" w:rsidR="00711BAD" w:rsidRPr="00711BAD" w:rsidRDefault="00711BAD" w:rsidP="00711BAD">
            <w:pPr>
              <w:spacing w:line="278" w:lineRule="auto"/>
              <w:rPr>
                <w:rFonts w:ascii="Arial" w:hAnsi="Arial" w:cs="Arial"/>
                <w:sz w:val="22"/>
                <w:szCs w:val="22"/>
              </w:rPr>
            </w:pPr>
            <w:r w:rsidRPr="00711BAD">
              <w:rPr>
                <w:rFonts w:ascii="Arial" w:hAnsi="Arial" w:cs="Arial"/>
                <w:sz w:val="22"/>
                <w:szCs w:val="22"/>
              </w:rPr>
              <w:t>11</w:t>
            </w:r>
          </w:p>
        </w:tc>
        <w:tc>
          <w:tcPr>
            <w:tcW w:w="0" w:type="auto"/>
            <w:hideMark/>
          </w:tcPr>
          <w:p w14:paraId="24A07C97" w14:textId="77777777"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11BAD">
              <w:rPr>
                <w:rFonts w:ascii="Arial" w:hAnsi="Arial" w:cs="Arial"/>
                <w:sz w:val="22"/>
                <w:szCs w:val="22"/>
              </w:rPr>
              <w:t>Bogotá D.C.</w:t>
            </w:r>
          </w:p>
        </w:tc>
        <w:tc>
          <w:tcPr>
            <w:tcW w:w="1852" w:type="dxa"/>
            <w:hideMark/>
          </w:tcPr>
          <w:p w14:paraId="3BD86248" w14:textId="23B9364E"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5.4%</m:t>
                </m:r>
              </m:oMath>
            </m:oMathPara>
          </w:p>
        </w:tc>
        <w:tc>
          <w:tcPr>
            <w:tcW w:w="1685" w:type="dxa"/>
            <w:hideMark/>
          </w:tcPr>
          <w:p w14:paraId="773F2B2F" w14:textId="29252AA5"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5.4%</m:t>
                </m:r>
              </m:oMath>
            </m:oMathPara>
          </w:p>
        </w:tc>
        <w:tc>
          <w:tcPr>
            <w:tcW w:w="0" w:type="auto"/>
            <w:hideMark/>
          </w:tcPr>
          <w:p w14:paraId="4D68B1C5" w14:textId="1CB40F48"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0.0000</m:t>
                </m:r>
              </m:oMath>
            </m:oMathPara>
          </w:p>
        </w:tc>
      </w:tr>
      <w:tr w:rsidR="00711BAD" w:rsidRPr="00711BAD" w14:paraId="5338D311" w14:textId="77777777" w:rsidTr="00711BAD">
        <w:tc>
          <w:tcPr>
            <w:cnfStyle w:val="001000000000" w:firstRow="0" w:lastRow="0" w:firstColumn="1" w:lastColumn="0" w:oddVBand="0" w:evenVBand="0" w:oddHBand="0" w:evenHBand="0" w:firstRowFirstColumn="0" w:firstRowLastColumn="0" w:lastRowFirstColumn="0" w:lastRowLastColumn="0"/>
            <w:tcW w:w="0" w:type="auto"/>
            <w:hideMark/>
          </w:tcPr>
          <w:p w14:paraId="6435E68E" w14:textId="77777777" w:rsidR="00711BAD" w:rsidRPr="00711BAD" w:rsidRDefault="00711BAD" w:rsidP="00711BAD">
            <w:pPr>
              <w:spacing w:line="278" w:lineRule="auto"/>
              <w:rPr>
                <w:rFonts w:ascii="Arial" w:hAnsi="Arial" w:cs="Arial"/>
                <w:sz w:val="22"/>
                <w:szCs w:val="22"/>
              </w:rPr>
            </w:pPr>
            <w:r w:rsidRPr="00711BAD">
              <w:rPr>
                <w:rFonts w:ascii="Arial" w:hAnsi="Arial" w:cs="Arial"/>
                <w:sz w:val="22"/>
                <w:szCs w:val="22"/>
              </w:rPr>
              <w:t>13</w:t>
            </w:r>
          </w:p>
        </w:tc>
        <w:tc>
          <w:tcPr>
            <w:tcW w:w="0" w:type="auto"/>
            <w:hideMark/>
          </w:tcPr>
          <w:p w14:paraId="02DAC529" w14:textId="77777777"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11BAD">
              <w:rPr>
                <w:rFonts w:ascii="Arial" w:hAnsi="Arial" w:cs="Arial"/>
                <w:sz w:val="22"/>
                <w:szCs w:val="22"/>
              </w:rPr>
              <w:t>Bolívar</w:t>
            </w:r>
          </w:p>
        </w:tc>
        <w:tc>
          <w:tcPr>
            <w:tcW w:w="1852" w:type="dxa"/>
            <w:hideMark/>
          </w:tcPr>
          <w:p w14:paraId="1DCA54C4" w14:textId="1D939024"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15.6%</m:t>
                </m:r>
              </m:oMath>
            </m:oMathPara>
          </w:p>
        </w:tc>
        <w:tc>
          <w:tcPr>
            <w:tcW w:w="1685" w:type="dxa"/>
            <w:hideMark/>
          </w:tcPr>
          <w:p w14:paraId="7622B6BF" w14:textId="3B51172C"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15.6%</m:t>
                </m:r>
              </m:oMath>
            </m:oMathPara>
          </w:p>
        </w:tc>
        <w:tc>
          <w:tcPr>
            <w:tcW w:w="0" w:type="auto"/>
            <w:hideMark/>
          </w:tcPr>
          <w:p w14:paraId="2CC9C289" w14:textId="6B69A630"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0.0000</m:t>
                </m:r>
              </m:oMath>
            </m:oMathPara>
          </w:p>
        </w:tc>
      </w:tr>
      <w:tr w:rsidR="00711BAD" w:rsidRPr="00711BAD" w14:paraId="742A7CA6" w14:textId="77777777" w:rsidTr="00711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061016" w14:textId="77777777" w:rsidR="00711BAD" w:rsidRPr="00711BAD" w:rsidRDefault="00711BAD" w:rsidP="00711BAD">
            <w:pPr>
              <w:spacing w:line="278" w:lineRule="auto"/>
              <w:rPr>
                <w:rFonts w:ascii="Arial" w:hAnsi="Arial" w:cs="Arial"/>
                <w:sz w:val="22"/>
                <w:szCs w:val="22"/>
              </w:rPr>
            </w:pPr>
            <w:r w:rsidRPr="00711BAD">
              <w:rPr>
                <w:rFonts w:ascii="Arial" w:hAnsi="Arial" w:cs="Arial"/>
                <w:sz w:val="22"/>
                <w:szCs w:val="22"/>
              </w:rPr>
              <w:t>27</w:t>
            </w:r>
          </w:p>
        </w:tc>
        <w:tc>
          <w:tcPr>
            <w:tcW w:w="0" w:type="auto"/>
            <w:hideMark/>
          </w:tcPr>
          <w:p w14:paraId="71A3FED2" w14:textId="77777777"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11BAD">
              <w:rPr>
                <w:rFonts w:ascii="Arial" w:hAnsi="Arial" w:cs="Arial"/>
                <w:sz w:val="22"/>
                <w:szCs w:val="22"/>
              </w:rPr>
              <w:t>Chocó</w:t>
            </w:r>
          </w:p>
        </w:tc>
        <w:tc>
          <w:tcPr>
            <w:tcW w:w="1852" w:type="dxa"/>
            <w:hideMark/>
          </w:tcPr>
          <w:p w14:paraId="3B73AE88" w14:textId="1D3A6B3F"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33.9%</m:t>
                </m:r>
              </m:oMath>
            </m:oMathPara>
          </w:p>
        </w:tc>
        <w:tc>
          <w:tcPr>
            <w:tcW w:w="1685" w:type="dxa"/>
            <w:hideMark/>
          </w:tcPr>
          <w:p w14:paraId="5FFB7524" w14:textId="255AACF3"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33.9%</m:t>
                </m:r>
              </m:oMath>
            </m:oMathPara>
          </w:p>
        </w:tc>
        <w:tc>
          <w:tcPr>
            <w:tcW w:w="0" w:type="auto"/>
            <w:hideMark/>
          </w:tcPr>
          <w:p w14:paraId="4CC9C8D5" w14:textId="61F1D676"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0.0000</m:t>
                </m:r>
              </m:oMath>
            </m:oMathPara>
          </w:p>
        </w:tc>
      </w:tr>
      <w:tr w:rsidR="00711BAD" w:rsidRPr="00711BAD" w14:paraId="657FD288" w14:textId="77777777" w:rsidTr="00711BAD">
        <w:tc>
          <w:tcPr>
            <w:cnfStyle w:val="001000000000" w:firstRow="0" w:lastRow="0" w:firstColumn="1" w:lastColumn="0" w:oddVBand="0" w:evenVBand="0" w:oddHBand="0" w:evenHBand="0" w:firstRowFirstColumn="0" w:firstRowLastColumn="0" w:lastRowFirstColumn="0" w:lastRowLastColumn="0"/>
            <w:tcW w:w="0" w:type="auto"/>
            <w:hideMark/>
          </w:tcPr>
          <w:p w14:paraId="1CFCF460" w14:textId="77777777" w:rsidR="00711BAD" w:rsidRPr="00711BAD" w:rsidRDefault="00711BAD" w:rsidP="00711BAD">
            <w:pPr>
              <w:spacing w:line="278" w:lineRule="auto"/>
              <w:rPr>
                <w:rFonts w:ascii="Arial" w:hAnsi="Arial" w:cs="Arial"/>
                <w:sz w:val="22"/>
                <w:szCs w:val="22"/>
              </w:rPr>
            </w:pPr>
            <w:r w:rsidRPr="00711BAD">
              <w:rPr>
                <w:rFonts w:ascii="Arial" w:hAnsi="Arial" w:cs="Arial"/>
                <w:sz w:val="22"/>
                <w:szCs w:val="22"/>
              </w:rPr>
              <w:t>44</w:t>
            </w:r>
          </w:p>
        </w:tc>
        <w:tc>
          <w:tcPr>
            <w:tcW w:w="0" w:type="auto"/>
            <w:hideMark/>
          </w:tcPr>
          <w:p w14:paraId="2F37DB52" w14:textId="77777777"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11BAD">
              <w:rPr>
                <w:rFonts w:ascii="Arial" w:hAnsi="Arial" w:cs="Arial"/>
                <w:sz w:val="22"/>
                <w:szCs w:val="22"/>
              </w:rPr>
              <w:t>La Guajira</w:t>
            </w:r>
          </w:p>
        </w:tc>
        <w:tc>
          <w:tcPr>
            <w:tcW w:w="1852" w:type="dxa"/>
            <w:hideMark/>
          </w:tcPr>
          <w:p w14:paraId="0CE5A778" w14:textId="1BF7A0C7"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39.3%</m:t>
                </m:r>
              </m:oMath>
            </m:oMathPara>
          </w:p>
        </w:tc>
        <w:tc>
          <w:tcPr>
            <w:tcW w:w="1685" w:type="dxa"/>
            <w:hideMark/>
          </w:tcPr>
          <w:p w14:paraId="61564F6E" w14:textId="72F24530"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39.3%</m:t>
                </m:r>
              </m:oMath>
            </m:oMathPara>
          </w:p>
        </w:tc>
        <w:tc>
          <w:tcPr>
            <w:tcW w:w="0" w:type="auto"/>
            <w:hideMark/>
          </w:tcPr>
          <w:p w14:paraId="47320893" w14:textId="08354767"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0.0000</m:t>
                </m:r>
              </m:oMath>
            </m:oMathPara>
          </w:p>
        </w:tc>
      </w:tr>
      <w:tr w:rsidR="00711BAD" w:rsidRPr="00711BAD" w14:paraId="7F5F72A7" w14:textId="77777777" w:rsidTr="00711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BC9128" w14:textId="77777777" w:rsidR="00711BAD" w:rsidRPr="00711BAD" w:rsidRDefault="00711BAD" w:rsidP="00711BAD">
            <w:pPr>
              <w:spacing w:line="278" w:lineRule="auto"/>
              <w:rPr>
                <w:rFonts w:ascii="Arial" w:hAnsi="Arial" w:cs="Arial"/>
                <w:sz w:val="22"/>
                <w:szCs w:val="22"/>
              </w:rPr>
            </w:pPr>
            <w:r w:rsidRPr="00711BAD">
              <w:rPr>
                <w:rFonts w:ascii="Arial" w:hAnsi="Arial" w:cs="Arial"/>
                <w:sz w:val="22"/>
                <w:szCs w:val="22"/>
              </w:rPr>
              <w:t>76</w:t>
            </w:r>
          </w:p>
        </w:tc>
        <w:tc>
          <w:tcPr>
            <w:tcW w:w="0" w:type="auto"/>
            <w:hideMark/>
          </w:tcPr>
          <w:p w14:paraId="24199EFF" w14:textId="77777777"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11BAD">
              <w:rPr>
                <w:rFonts w:ascii="Arial" w:hAnsi="Arial" w:cs="Arial"/>
                <w:sz w:val="22"/>
                <w:szCs w:val="22"/>
              </w:rPr>
              <w:t>Valle del Cauca</w:t>
            </w:r>
          </w:p>
        </w:tc>
        <w:tc>
          <w:tcPr>
            <w:tcW w:w="1852" w:type="dxa"/>
            <w:hideMark/>
          </w:tcPr>
          <w:p w14:paraId="05F57308" w14:textId="604BEC07"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6.2%</m:t>
                </m:r>
              </m:oMath>
            </m:oMathPara>
          </w:p>
        </w:tc>
        <w:tc>
          <w:tcPr>
            <w:tcW w:w="1685" w:type="dxa"/>
            <w:hideMark/>
          </w:tcPr>
          <w:p w14:paraId="344ABDF1" w14:textId="3E8B7F99"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6.2%</m:t>
                </m:r>
              </m:oMath>
            </m:oMathPara>
          </w:p>
        </w:tc>
        <w:tc>
          <w:tcPr>
            <w:tcW w:w="0" w:type="auto"/>
            <w:hideMark/>
          </w:tcPr>
          <w:p w14:paraId="32659DB2" w14:textId="1FF002E9"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0.0000</m:t>
                </m:r>
              </m:oMath>
            </m:oMathPara>
          </w:p>
        </w:tc>
      </w:tr>
      <w:tr w:rsidR="00711BAD" w:rsidRPr="00711BAD" w14:paraId="0731B7C0" w14:textId="77777777" w:rsidTr="00711BAD">
        <w:tc>
          <w:tcPr>
            <w:cnfStyle w:val="001000000000" w:firstRow="0" w:lastRow="0" w:firstColumn="1" w:lastColumn="0" w:oddVBand="0" w:evenVBand="0" w:oddHBand="0" w:evenHBand="0" w:firstRowFirstColumn="0" w:firstRowLastColumn="0" w:lastRowFirstColumn="0" w:lastRowLastColumn="0"/>
            <w:tcW w:w="0" w:type="auto"/>
            <w:hideMark/>
          </w:tcPr>
          <w:p w14:paraId="0BBE6B54" w14:textId="77777777" w:rsidR="00711BAD" w:rsidRPr="00711BAD" w:rsidRDefault="00711BAD" w:rsidP="00711BAD">
            <w:pPr>
              <w:spacing w:line="278" w:lineRule="auto"/>
              <w:rPr>
                <w:rFonts w:ascii="Arial" w:hAnsi="Arial" w:cs="Arial"/>
                <w:sz w:val="22"/>
                <w:szCs w:val="22"/>
              </w:rPr>
            </w:pPr>
            <w:r w:rsidRPr="00711BAD">
              <w:rPr>
                <w:rFonts w:ascii="Arial" w:hAnsi="Arial" w:cs="Arial"/>
                <w:sz w:val="22"/>
                <w:szCs w:val="22"/>
              </w:rPr>
              <w:t>94</w:t>
            </w:r>
          </w:p>
        </w:tc>
        <w:tc>
          <w:tcPr>
            <w:tcW w:w="0" w:type="auto"/>
            <w:hideMark/>
          </w:tcPr>
          <w:p w14:paraId="23283655" w14:textId="77777777"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11BAD">
              <w:rPr>
                <w:rFonts w:ascii="Arial" w:hAnsi="Arial" w:cs="Arial"/>
                <w:sz w:val="22"/>
                <w:szCs w:val="22"/>
              </w:rPr>
              <w:t>Guainía</w:t>
            </w:r>
          </w:p>
        </w:tc>
        <w:tc>
          <w:tcPr>
            <w:tcW w:w="1852" w:type="dxa"/>
            <w:hideMark/>
          </w:tcPr>
          <w:p w14:paraId="58B912ED" w14:textId="4FAC2FB5"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49.0%</m:t>
                </m:r>
              </m:oMath>
            </m:oMathPara>
          </w:p>
        </w:tc>
        <w:tc>
          <w:tcPr>
            <w:tcW w:w="1685" w:type="dxa"/>
            <w:hideMark/>
          </w:tcPr>
          <w:p w14:paraId="4F17E2D7" w14:textId="29264AFE"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49.0%</m:t>
                </m:r>
              </m:oMath>
            </m:oMathPara>
          </w:p>
        </w:tc>
        <w:tc>
          <w:tcPr>
            <w:tcW w:w="0" w:type="auto"/>
            <w:hideMark/>
          </w:tcPr>
          <w:p w14:paraId="62663CA7" w14:textId="504CBC44" w:rsidR="00711BAD" w:rsidRPr="00711BAD" w:rsidRDefault="00711BAD" w:rsidP="00711BAD">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0.0000</m:t>
                </m:r>
              </m:oMath>
            </m:oMathPara>
          </w:p>
        </w:tc>
      </w:tr>
      <w:tr w:rsidR="00711BAD" w:rsidRPr="00711BAD" w14:paraId="118BF7FC" w14:textId="77777777" w:rsidTr="00711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2F581" w14:textId="77777777" w:rsidR="00711BAD" w:rsidRPr="00711BAD" w:rsidRDefault="00711BAD" w:rsidP="00711BAD">
            <w:pPr>
              <w:spacing w:line="278" w:lineRule="auto"/>
              <w:rPr>
                <w:rFonts w:ascii="Arial" w:hAnsi="Arial" w:cs="Arial"/>
                <w:sz w:val="22"/>
                <w:szCs w:val="22"/>
              </w:rPr>
            </w:pPr>
            <w:r w:rsidRPr="00711BAD">
              <w:rPr>
                <w:rFonts w:ascii="Arial" w:hAnsi="Arial" w:cs="Arial"/>
                <w:sz w:val="22"/>
                <w:szCs w:val="22"/>
              </w:rPr>
              <w:t>99</w:t>
            </w:r>
          </w:p>
        </w:tc>
        <w:tc>
          <w:tcPr>
            <w:tcW w:w="0" w:type="auto"/>
            <w:hideMark/>
          </w:tcPr>
          <w:p w14:paraId="0471048C" w14:textId="77777777"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11BAD">
              <w:rPr>
                <w:rFonts w:ascii="Arial" w:hAnsi="Arial" w:cs="Arial"/>
                <w:sz w:val="22"/>
                <w:szCs w:val="22"/>
              </w:rPr>
              <w:t>Vichada</w:t>
            </w:r>
          </w:p>
        </w:tc>
        <w:tc>
          <w:tcPr>
            <w:tcW w:w="1852" w:type="dxa"/>
            <w:hideMark/>
          </w:tcPr>
          <w:p w14:paraId="7EC8288D" w14:textId="5466EB69"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70.2%</m:t>
                </m:r>
              </m:oMath>
            </m:oMathPara>
          </w:p>
        </w:tc>
        <w:tc>
          <w:tcPr>
            <w:tcW w:w="1685" w:type="dxa"/>
            <w:hideMark/>
          </w:tcPr>
          <w:p w14:paraId="5FC8A42E" w14:textId="4805F8F6"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70.2%</m:t>
                </m:r>
              </m:oMath>
            </m:oMathPara>
          </w:p>
        </w:tc>
        <w:tc>
          <w:tcPr>
            <w:tcW w:w="0" w:type="auto"/>
            <w:hideMark/>
          </w:tcPr>
          <w:p w14:paraId="2F4F5566" w14:textId="58C884ED" w:rsidR="00711BAD" w:rsidRPr="00711BAD" w:rsidRDefault="00711BAD" w:rsidP="00711BAD">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m:oMathPara>
              <m:oMath>
                <m:r>
                  <w:rPr>
                    <w:rFonts w:ascii="Cambria Math" w:hAnsi="Cambria Math" w:cs="Arial"/>
                    <w:sz w:val="22"/>
                    <w:szCs w:val="22"/>
                  </w:rPr>
                  <m:t>0.0000</m:t>
                </m:r>
              </m:oMath>
            </m:oMathPara>
          </w:p>
        </w:tc>
      </w:tr>
    </w:tbl>
    <w:p w14:paraId="41B52E6D" w14:textId="0DF9EC7E" w:rsidR="00711BAD" w:rsidRPr="00711BAD" w:rsidRDefault="00711BAD" w:rsidP="00711BAD">
      <w:pPr>
        <w:rPr>
          <w:rFonts w:ascii="Arial" w:hAnsi="Arial" w:cs="Arial"/>
          <w:sz w:val="22"/>
          <w:szCs w:val="22"/>
        </w:rPr>
      </w:pPr>
      <w:r w:rsidRPr="00711BAD">
        <w:rPr>
          <w:rFonts w:ascii="Arial" w:hAnsi="Arial" w:cs="Arial"/>
          <w:i/>
          <w:iCs/>
          <w:sz w:val="22"/>
          <w:szCs w:val="22"/>
        </w:rPr>
        <w:t xml:space="preserve">Nota: La diferencia en el orden de </w:t>
      </w:r>
      <m:oMath>
        <m:sSup>
          <m:sSupPr>
            <m:ctrlPr>
              <w:rPr>
                <w:rFonts w:ascii="Cambria Math" w:hAnsi="Cambria Math" w:cs="Arial"/>
                <w:sz w:val="22"/>
                <w:szCs w:val="22"/>
              </w:rPr>
            </m:ctrlPr>
          </m:sSupPr>
          <m:e>
            <m:r>
              <w:rPr>
                <w:rFonts w:ascii="Cambria Math" w:hAnsi="Cambria Math" w:cs="Arial"/>
                <w:sz w:val="22"/>
                <w:szCs w:val="22"/>
              </w:rPr>
              <m:t>10</m:t>
            </m:r>
          </m:e>
          <m:sup>
            <m:r>
              <w:rPr>
                <w:rFonts w:ascii="Cambria Math" w:hAnsi="Cambria Math" w:cs="Arial"/>
                <w:sz w:val="22"/>
                <w:szCs w:val="22"/>
              </w:rPr>
              <m:t>-15</m:t>
            </m:r>
          </m:sup>
        </m:sSup>
      </m:oMath>
      <w:r w:rsidRPr="00711BAD">
        <w:rPr>
          <w:rFonts w:ascii="Arial" w:hAnsi="Arial" w:cs="Arial"/>
          <w:i/>
          <w:iCs/>
          <w:sz w:val="22"/>
          <w:szCs w:val="22"/>
        </w:rPr>
        <w:t xml:space="preserve"> en el entorno computacional equivale a cero absoluto en precisión de punto flotante.</w:t>
      </w:r>
    </w:p>
    <w:p w14:paraId="5EC2E80F" w14:textId="77777777" w:rsidR="00711BAD" w:rsidRPr="00711BAD" w:rsidRDefault="00711BAD" w:rsidP="00711BAD">
      <w:pPr>
        <w:rPr>
          <w:rFonts w:ascii="Arial" w:hAnsi="Arial" w:cs="Arial"/>
          <w:sz w:val="22"/>
          <w:szCs w:val="22"/>
        </w:rPr>
      </w:pPr>
      <w:r w:rsidRPr="00711BAD">
        <w:rPr>
          <w:rFonts w:ascii="Arial" w:hAnsi="Arial" w:cs="Arial"/>
          <w:b/>
          <w:bCs/>
          <w:sz w:val="22"/>
          <w:szCs w:val="22"/>
        </w:rPr>
        <w:t>Patrones Geográficos Identificados:</w:t>
      </w:r>
    </w:p>
    <w:p w14:paraId="764D66D4" w14:textId="14D44FAA" w:rsidR="00711BAD" w:rsidRPr="00711BAD" w:rsidRDefault="00711BAD" w:rsidP="00711BAD">
      <w:pPr>
        <w:numPr>
          <w:ilvl w:val="0"/>
          <w:numId w:val="30"/>
        </w:numPr>
        <w:rPr>
          <w:rFonts w:ascii="Arial" w:hAnsi="Arial" w:cs="Arial"/>
          <w:sz w:val="22"/>
          <w:szCs w:val="22"/>
        </w:rPr>
      </w:pPr>
      <w:r w:rsidRPr="00711BAD">
        <w:rPr>
          <w:rFonts w:ascii="Arial" w:hAnsi="Arial" w:cs="Arial"/>
          <w:b/>
          <w:bCs/>
          <w:sz w:val="22"/>
          <w:szCs w:val="22"/>
        </w:rPr>
        <w:t>Norte y Periferia Oriental de Alta Vulnerabilidad:</w:t>
      </w:r>
      <w:r w:rsidRPr="00711BAD">
        <w:rPr>
          <w:rFonts w:ascii="Arial" w:hAnsi="Arial" w:cs="Arial"/>
          <w:sz w:val="22"/>
          <w:szCs w:val="22"/>
        </w:rPr>
        <w:t xml:space="preserve"> Departamentos como Vichada (</w:t>
      </w:r>
      <m:oMath>
        <m:r>
          <w:rPr>
            <w:rFonts w:ascii="Cambria Math" w:hAnsi="Cambria Math" w:cs="Arial"/>
            <w:sz w:val="22"/>
            <w:szCs w:val="22"/>
          </w:rPr>
          <m:t>70.2%</m:t>
        </m:r>
      </m:oMath>
      <w:r w:rsidRPr="00711BAD">
        <w:rPr>
          <w:rFonts w:ascii="Arial" w:hAnsi="Arial" w:cs="Arial"/>
          <w:sz w:val="22"/>
          <w:szCs w:val="22"/>
        </w:rPr>
        <w:t>), Guainía (</w:t>
      </w:r>
      <m:oMath>
        <m:r>
          <w:rPr>
            <w:rFonts w:ascii="Cambria Math" w:hAnsi="Cambria Math" w:cs="Arial"/>
            <w:sz w:val="22"/>
            <w:szCs w:val="22"/>
          </w:rPr>
          <m:t>49.0%</m:t>
        </m:r>
      </m:oMath>
      <w:r w:rsidRPr="00711BAD">
        <w:rPr>
          <w:rFonts w:ascii="Arial" w:hAnsi="Arial" w:cs="Arial"/>
          <w:sz w:val="22"/>
          <w:szCs w:val="22"/>
        </w:rPr>
        <w:t>), La Guajira (</w:t>
      </w:r>
      <m:oMath>
        <m:r>
          <w:rPr>
            <w:rFonts w:ascii="Cambria Math" w:hAnsi="Cambria Math" w:cs="Arial"/>
            <w:sz w:val="22"/>
            <w:szCs w:val="22"/>
          </w:rPr>
          <m:t>39.3%</m:t>
        </m:r>
      </m:oMath>
      <w:r w:rsidRPr="00711BAD">
        <w:rPr>
          <w:rFonts w:ascii="Arial" w:hAnsi="Arial" w:cs="Arial"/>
          <w:sz w:val="22"/>
          <w:szCs w:val="22"/>
        </w:rPr>
        <w:t>) y Vaupés (</w:t>
      </w:r>
      <m:oMath>
        <m:r>
          <w:rPr>
            <w:rFonts w:ascii="Cambria Math" w:hAnsi="Cambria Math" w:cs="Arial"/>
            <w:sz w:val="22"/>
            <w:szCs w:val="22"/>
          </w:rPr>
          <m:t>37.4%</m:t>
        </m:r>
      </m:oMath>
      <w:r w:rsidRPr="00711BAD">
        <w:rPr>
          <w:rFonts w:ascii="Arial" w:hAnsi="Arial" w:cs="Arial"/>
          <w:sz w:val="22"/>
          <w:szCs w:val="22"/>
        </w:rPr>
        <w:t>) concentran las tasas departamentales agregadas y proyecciones municipales más elevadas de la distribución.</w:t>
      </w:r>
    </w:p>
    <w:p w14:paraId="126EDBFD" w14:textId="59639794" w:rsidR="00711BAD" w:rsidRPr="00711BAD" w:rsidRDefault="00711BAD" w:rsidP="00711BAD">
      <w:pPr>
        <w:numPr>
          <w:ilvl w:val="0"/>
          <w:numId w:val="30"/>
        </w:numPr>
        <w:rPr>
          <w:rFonts w:ascii="Arial" w:hAnsi="Arial" w:cs="Arial"/>
          <w:sz w:val="22"/>
          <w:szCs w:val="22"/>
        </w:rPr>
      </w:pPr>
      <w:r w:rsidRPr="00711BAD">
        <w:rPr>
          <w:rFonts w:ascii="Arial" w:hAnsi="Arial" w:cs="Arial"/>
          <w:b/>
          <w:bCs/>
          <w:sz w:val="22"/>
          <w:szCs w:val="22"/>
        </w:rPr>
        <w:t>Aglomeración Centro-Suroccidental de Menor Pobreza:</w:t>
      </w:r>
      <w:r w:rsidRPr="00711BAD">
        <w:rPr>
          <w:rFonts w:ascii="Arial" w:hAnsi="Arial" w:cs="Arial"/>
          <w:sz w:val="22"/>
          <w:szCs w:val="22"/>
        </w:rPr>
        <w:t xml:space="preserve"> Bogotá D.C. (</w:t>
      </w:r>
      <m:oMath>
        <m:r>
          <w:rPr>
            <w:rFonts w:ascii="Cambria Math" w:hAnsi="Cambria Math" w:cs="Arial"/>
            <w:sz w:val="22"/>
            <w:szCs w:val="22"/>
          </w:rPr>
          <m:t>5.4%</m:t>
        </m:r>
      </m:oMath>
      <w:r w:rsidRPr="00711BAD">
        <w:rPr>
          <w:rFonts w:ascii="Arial" w:hAnsi="Arial" w:cs="Arial"/>
          <w:sz w:val="22"/>
          <w:szCs w:val="22"/>
        </w:rPr>
        <w:t>), Valle del Cauca (</w:t>
      </w:r>
      <m:oMath>
        <m:r>
          <w:rPr>
            <w:rFonts w:ascii="Cambria Math" w:hAnsi="Cambria Math" w:cs="Arial"/>
            <w:sz w:val="22"/>
            <w:szCs w:val="22"/>
          </w:rPr>
          <m:t>6.2%</m:t>
        </m:r>
      </m:oMath>
      <w:r w:rsidRPr="00711BAD">
        <w:rPr>
          <w:rFonts w:ascii="Arial" w:hAnsi="Arial" w:cs="Arial"/>
          <w:sz w:val="22"/>
          <w:szCs w:val="22"/>
        </w:rPr>
        <w:t>), Santander (</w:t>
      </w:r>
      <m:oMath>
        <m:r>
          <w:rPr>
            <w:rFonts w:ascii="Cambria Math" w:hAnsi="Cambria Math" w:cs="Arial"/>
            <w:sz w:val="22"/>
            <w:szCs w:val="22"/>
          </w:rPr>
          <m:t>6.8%</m:t>
        </m:r>
      </m:oMath>
      <w:r w:rsidRPr="00711BAD">
        <w:rPr>
          <w:rFonts w:ascii="Arial" w:hAnsi="Arial" w:cs="Arial"/>
          <w:sz w:val="22"/>
          <w:szCs w:val="22"/>
        </w:rPr>
        <w:t>), Boyacá (</w:t>
      </w:r>
      <m:oMath>
        <m:r>
          <w:rPr>
            <w:rFonts w:ascii="Cambria Math" w:hAnsi="Cambria Math" w:cs="Arial"/>
            <w:sz w:val="22"/>
            <w:szCs w:val="22"/>
          </w:rPr>
          <m:t>6.9%</m:t>
        </m:r>
      </m:oMath>
      <w:r w:rsidRPr="00711BAD">
        <w:rPr>
          <w:rFonts w:ascii="Arial" w:hAnsi="Arial" w:cs="Arial"/>
          <w:sz w:val="22"/>
          <w:szCs w:val="22"/>
        </w:rPr>
        <w:t>) y Cundinamarca (</w:t>
      </w:r>
      <m:oMath>
        <m:r>
          <w:rPr>
            <w:rFonts w:ascii="Cambria Math" w:hAnsi="Cambria Math" w:cs="Arial"/>
            <w:sz w:val="22"/>
            <w:szCs w:val="22"/>
          </w:rPr>
          <m:t>7.4%</m:t>
        </m:r>
      </m:oMath>
      <w:r w:rsidRPr="00711BAD">
        <w:rPr>
          <w:rFonts w:ascii="Arial" w:hAnsi="Arial" w:cs="Arial"/>
          <w:sz w:val="22"/>
          <w:szCs w:val="22"/>
        </w:rPr>
        <w:t>) consolidan aglomeraciones territoriales de baja prevalencia de pobreza multidimensional.</w:t>
      </w:r>
    </w:p>
    <w:p w14:paraId="41FA2DE2" w14:textId="77777777" w:rsidR="00711BAD" w:rsidRPr="00711BAD" w:rsidRDefault="00711BAD" w:rsidP="00711BAD">
      <w:pPr>
        <w:numPr>
          <w:ilvl w:val="0"/>
          <w:numId w:val="30"/>
        </w:numPr>
        <w:rPr>
          <w:rFonts w:ascii="Arial" w:hAnsi="Arial" w:cs="Arial"/>
          <w:sz w:val="22"/>
          <w:szCs w:val="22"/>
        </w:rPr>
      </w:pPr>
      <w:r w:rsidRPr="00711BAD">
        <w:rPr>
          <w:rFonts w:ascii="Arial" w:hAnsi="Arial" w:cs="Arial"/>
          <w:b/>
          <w:bCs/>
          <w:sz w:val="22"/>
          <w:szCs w:val="22"/>
        </w:rPr>
        <w:t>Preservación de Variabilidad Intradepartamental:</w:t>
      </w:r>
      <w:r w:rsidRPr="00711BAD">
        <w:rPr>
          <w:rFonts w:ascii="Arial" w:hAnsi="Arial" w:cs="Arial"/>
          <w:sz w:val="22"/>
          <w:szCs w:val="22"/>
        </w:rPr>
        <w:t xml:space="preserve"> El procedimiento de </w:t>
      </w:r>
      <w:r w:rsidRPr="00711BAD">
        <w:rPr>
          <w:rFonts w:ascii="Arial" w:hAnsi="Arial" w:cs="Arial"/>
          <w:i/>
          <w:iCs/>
          <w:sz w:val="22"/>
          <w:szCs w:val="22"/>
        </w:rPr>
        <w:t>benchmarking</w:t>
      </w:r>
      <w:r w:rsidRPr="00711BAD">
        <w:rPr>
          <w:rFonts w:ascii="Arial" w:hAnsi="Arial" w:cs="Arial"/>
          <w:sz w:val="22"/>
          <w:szCs w:val="22"/>
        </w:rPr>
        <w:t xml:space="preserve"> ajusta los niveles agregados para cumplir los totales del DANE sin distorsionar las diferencias relativas entre los municipios de un mismo departamento capturadas por el modelo SAR.</w:t>
      </w:r>
    </w:p>
    <w:p w14:paraId="6A741B66" w14:textId="48067AD1" w:rsidR="00711BAD" w:rsidRPr="00711BAD" w:rsidRDefault="00711BAD" w:rsidP="00711BAD">
      <w:pPr>
        <w:pStyle w:val="NormalWeb"/>
        <w:rPr>
          <w:rFonts w:ascii="Arial" w:eastAsia="Times New Roman" w:hAnsi="Arial" w:cs="Arial"/>
          <w:kern w:val="0"/>
          <w:sz w:val="22"/>
          <w:szCs w:val="22"/>
          <w:lang w:eastAsia="es-CO"/>
          <w14:ligatures w14:val="none"/>
        </w:rPr>
      </w:pPr>
      <w:r w:rsidRPr="00711BAD">
        <w:rPr>
          <w:rFonts w:ascii="Arial" w:hAnsi="Arial" w:cs="Arial"/>
          <w:sz w:val="22"/>
          <w:szCs w:val="22"/>
        </w:rPr>
        <w:lastRenderedPageBreak/>
        <w:t>Si realizamos una comparación entre</w:t>
      </w:r>
      <w:r w:rsidRPr="00711BAD">
        <w:rPr>
          <w:rFonts w:ascii="Arial" w:hAnsi="Arial" w:cs="Arial"/>
          <w:b/>
          <w:bCs/>
          <w:sz w:val="22"/>
          <w:szCs w:val="22"/>
        </w:rPr>
        <w:t xml:space="preserve"> </w:t>
      </w:r>
      <w:r w:rsidRPr="00711BAD">
        <w:rPr>
          <w:rFonts w:ascii="Arial" w:eastAsia="Times New Roman" w:hAnsi="Arial" w:cs="Arial"/>
          <w:kern w:val="0"/>
          <w:sz w:val="22"/>
          <w:szCs w:val="22"/>
          <w:lang w:eastAsia="es-CO"/>
          <w14:ligatures w14:val="none"/>
        </w:rPr>
        <w:t>la línea de base censal (2018) y la proyección calibrada (2024), es posible identificar transformaciones y persistencias territoriales en Colombia:</w:t>
      </w:r>
    </w:p>
    <w:p w14:paraId="034C1A5C" w14:textId="77777777" w:rsidR="00711BAD" w:rsidRPr="00711BAD" w:rsidRDefault="00711BAD" w:rsidP="00711BAD">
      <w:pPr>
        <w:numPr>
          <w:ilvl w:val="0"/>
          <w:numId w:val="33"/>
        </w:numPr>
        <w:spacing w:after="100" w:afterAutospacing="1" w:line="240" w:lineRule="auto"/>
        <w:rPr>
          <w:rFonts w:ascii="Arial" w:eastAsia="Times New Roman" w:hAnsi="Arial" w:cs="Arial"/>
          <w:kern w:val="0"/>
          <w:sz w:val="22"/>
          <w:szCs w:val="22"/>
          <w:lang w:eastAsia="es-CO"/>
          <w14:ligatures w14:val="none"/>
        </w:rPr>
      </w:pPr>
      <w:r w:rsidRPr="00711BAD">
        <w:rPr>
          <w:rFonts w:ascii="Arial" w:eastAsia="Times New Roman" w:hAnsi="Arial" w:cs="Arial"/>
          <w:b/>
          <w:bCs/>
          <w:kern w:val="0"/>
          <w:sz w:val="22"/>
          <w:szCs w:val="22"/>
          <w:lang w:eastAsia="es-CO"/>
          <w14:ligatures w14:val="none"/>
        </w:rPr>
        <w:t>Convergencia Territorial en el Centro Andino:</w:t>
      </w:r>
      <w:r w:rsidRPr="00711BAD">
        <w:rPr>
          <w:rFonts w:ascii="Arial" w:eastAsia="Times New Roman" w:hAnsi="Arial" w:cs="Arial"/>
          <w:kern w:val="0"/>
          <w:sz w:val="22"/>
          <w:szCs w:val="22"/>
          <w:lang w:eastAsia="es-CO"/>
          <w14:ligatures w14:val="none"/>
        </w:rPr>
        <w:t xml:space="preserve"> Se observa un notable enfriamiento (transición de tonos amarillos/naranjas a verdes claros) en la Región Andina (Cundinamarca, Antioquia, Boyacá y Eje Cafetero). La consolidación de redes viales, mayor cobertura educativa y densidad económica regional han acelerado la convergencia hacia niveles de IPM inferiores al </w:t>
      </w:r>
      <m:oMath>
        <m:r>
          <w:rPr>
            <w:rFonts w:ascii="Cambria Math" w:eastAsia="Times New Roman" w:hAnsi="Cambria Math" w:cs="Arial"/>
            <w:kern w:val="0"/>
            <w:sz w:val="22"/>
            <w:szCs w:val="22"/>
            <w:lang w:eastAsia="es-CO"/>
            <w14:ligatures w14:val="none"/>
          </w:rPr>
          <m:t>20%</m:t>
        </m:r>
      </m:oMath>
      <w:r w:rsidRPr="00711BAD">
        <w:rPr>
          <w:rFonts w:ascii="Arial" w:eastAsia="Times New Roman" w:hAnsi="Arial" w:cs="Arial"/>
          <w:kern w:val="0"/>
          <w:sz w:val="22"/>
          <w:szCs w:val="22"/>
          <w:lang w:eastAsia="es-CO"/>
          <w14:ligatures w14:val="none"/>
        </w:rPr>
        <w:t>.</w:t>
      </w:r>
    </w:p>
    <w:p w14:paraId="199BEA08" w14:textId="77777777" w:rsidR="00711BAD" w:rsidRPr="00711BAD" w:rsidRDefault="00711BAD" w:rsidP="00711BAD">
      <w:pPr>
        <w:numPr>
          <w:ilvl w:val="0"/>
          <w:numId w:val="33"/>
        </w:numPr>
        <w:spacing w:after="100" w:afterAutospacing="1" w:line="240" w:lineRule="auto"/>
        <w:rPr>
          <w:rFonts w:ascii="Arial" w:eastAsia="Times New Roman" w:hAnsi="Arial" w:cs="Arial"/>
          <w:kern w:val="0"/>
          <w:sz w:val="22"/>
          <w:szCs w:val="22"/>
          <w:lang w:eastAsia="es-CO"/>
          <w14:ligatures w14:val="none"/>
        </w:rPr>
      </w:pPr>
      <w:r w:rsidRPr="00711BAD">
        <w:rPr>
          <w:rFonts w:ascii="Arial" w:eastAsia="Times New Roman" w:hAnsi="Arial" w:cs="Arial"/>
          <w:b/>
          <w:bCs/>
          <w:kern w:val="0"/>
          <w:sz w:val="22"/>
          <w:szCs w:val="22"/>
          <w:lang w:eastAsia="es-CO"/>
          <w14:ligatures w14:val="none"/>
        </w:rPr>
        <w:t>Persistencia Estructural en la Periferia (Trampas Espaciales):</w:t>
      </w:r>
      <w:r w:rsidRPr="00711BAD">
        <w:rPr>
          <w:rFonts w:ascii="Arial" w:eastAsia="Times New Roman" w:hAnsi="Arial" w:cs="Arial"/>
          <w:kern w:val="0"/>
          <w:sz w:val="22"/>
          <w:szCs w:val="22"/>
          <w:lang w:eastAsia="es-CO"/>
          <w14:ligatures w14:val="none"/>
        </w:rPr>
        <w:t xml:space="preserve"> A pesar de la tendencia general de reducción, la Costa Pacífica (Chocó, Cauca, Nariño), la Guajira y la Orinoquía/Amazonía mantienen tonalidades cálidas (naranjas y rojas con IPM </w:t>
      </w:r>
      <m:oMath>
        <m:r>
          <w:rPr>
            <w:rFonts w:ascii="Cambria Math" w:eastAsia="Times New Roman" w:hAnsi="Cambria Math" w:cs="Arial"/>
            <w:kern w:val="0"/>
            <w:sz w:val="22"/>
            <w:szCs w:val="22"/>
            <w:lang w:eastAsia="es-CO"/>
            <w14:ligatures w14:val="none"/>
          </w:rPr>
          <m:t>&gt;50%</m:t>
        </m:r>
      </m:oMath>
      <w:r w:rsidRPr="00711BAD">
        <w:rPr>
          <w:rFonts w:ascii="Arial" w:eastAsia="Times New Roman" w:hAnsi="Arial" w:cs="Arial"/>
          <w:kern w:val="0"/>
          <w:sz w:val="22"/>
          <w:szCs w:val="22"/>
          <w:lang w:eastAsia="es-CO"/>
          <w14:ligatures w14:val="none"/>
        </w:rPr>
        <w:t>). Esto demuestra la existencia de un régimen de dependencia espacial alto-alto (</w:t>
      </w:r>
      <w:r w:rsidRPr="00711BAD">
        <w:rPr>
          <w:rFonts w:ascii="Arial" w:eastAsia="Times New Roman" w:hAnsi="Arial" w:cs="Arial"/>
          <w:i/>
          <w:iCs/>
          <w:kern w:val="0"/>
          <w:sz w:val="22"/>
          <w:szCs w:val="22"/>
          <w:lang w:eastAsia="es-CO"/>
          <w14:ligatures w14:val="none"/>
        </w:rPr>
        <w:t>hotspots</w:t>
      </w:r>
      <w:r w:rsidRPr="00711BAD">
        <w:rPr>
          <w:rFonts w:ascii="Arial" w:eastAsia="Times New Roman" w:hAnsi="Arial" w:cs="Arial"/>
          <w:kern w:val="0"/>
          <w:sz w:val="22"/>
          <w:szCs w:val="22"/>
          <w:lang w:eastAsia="es-CO"/>
          <w14:ligatures w14:val="none"/>
        </w:rPr>
        <w:t xml:space="preserve"> de pobreza) donde los efectos de derrame no han sido suficientes para romper las trampas de pobreza sin intervenciones de infraestructura a gran escala.</w:t>
      </w:r>
    </w:p>
    <w:p w14:paraId="11E53A33" w14:textId="2D3E61AE" w:rsidR="00711BAD" w:rsidRPr="00711BAD" w:rsidRDefault="00711BAD" w:rsidP="00711BAD">
      <w:pPr>
        <w:numPr>
          <w:ilvl w:val="0"/>
          <w:numId w:val="33"/>
        </w:numPr>
        <w:spacing w:after="100" w:afterAutospacing="1" w:line="240" w:lineRule="auto"/>
        <w:rPr>
          <w:rFonts w:ascii="Arial" w:eastAsia="Times New Roman" w:hAnsi="Arial" w:cs="Arial"/>
          <w:kern w:val="0"/>
          <w:sz w:val="22"/>
          <w:szCs w:val="22"/>
          <w:lang w:eastAsia="es-CO"/>
          <w14:ligatures w14:val="none"/>
        </w:rPr>
      </w:pPr>
      <w:r w:rsidRPr="00711BAD">
        <w:rPr>
          <w:rFonts w:ascii="Arial" w:eastAsia="Times New Roman" w:hAnsi="Arial" w:cs="Arial"/>
          <w:b/>
          <w:bCs/>
          <w:kern w:val="0"/>
          <w:sz w:val="22"/>
          <w:szCs w:val="22"/>
          <w:lang w:eastAsia="es-CO"/>
          <w14:ligatures w14:val="none"/>
        </w:rPr>
        <w:t>Efecto de Suavizado y Ajuste por Benchmarking:</w:t>
      </w:r>
      <w:r w:rsidRPr="00711BAD">
        <w:rPr>
          <w:rFonts w:ascii="Arial" w:eastAsia="Times New Roman" w:hAnsi="Arial" w:cs="Arial"/>
          <w:kern w:val="0"/>
          <w:sz w:val="22"/>
          <w:szCs w:val="22"/>
          <w:lang w:eastAsia="es-CO"/>
          <w14:ligatures w14:val="none"/>
        </w:rPr>
        <w:t xml:space="preserve"> La proyección 2024 elimina las discontinuidades artificiales en los límites municipales gracias a la matriz </w:t>
      </w:r>
      <m:oMath>
        <m:r>
          <w:rPr>
            <w:rFonts w:ascii="Cambria Math" w:eastAsia="Times New Roman" w:hAnsi="Cambria Math" w:cs="Arial"/>
            <w:kern w:val="0"/>
            <w:sz w:val="22"/>
            <w:szCs w:val="22"/>
            <w:lang w:eastAsia="es-CO"/>
            <w14:ligatures w14:val="none"/>
          </w:rPr>
          <m:t>W</m:t>
        </m:r>
      </m:oMath>
      <w:r w:rsidRPr="00711BAD">
        <w:rPr>
          <w:rFonts w:ascii="Arial" w:eastAsia="Times New Roman" w:hAnsi="Arial" w:cs="Arial"/>
          <w:kern w:val="0"/>
          <w:sz w:val="22"/>
          <w:szCs w:val="22"/>
          <w:lang w:eastAsia="es-CO"/>
          <w14:ligatures w14:val="none"/>
        </w:rPr>
        <w:t>, ofreciendo un mapa continuo de riesgo social que preserva la variabilidad intradepartamental mientras se ajusta a los agregados oficiales del DANE.</w:t>
      </w:r>
    </w:p>
    <w:p w14:paraId="2145130A" w14:textId="537327BE" w:rsidR="00711BAD" w:rsidRPr="00711BAD" w:rsidRDefault="00711BAD" w:rsidP="00711BAD">
      <w:pPr>
        <w:rPr>
          <w:rFonts w:ascii="Arial" w:hAnsi="Arial" w:cs="Arial"/>
          <w:sz w:val="22"/>
          <w:szCs w:val="22"/>
        </w:rPr>
      </w:pPr>
      <w:r w:rsidRPr="00711BAD">
        <w:rPr>
          <w:rFonts w:ascii="Arial" w:hAnsi="Arial" w:cs="Arial"/>
          <w:noProof/>
          <w:sz w:val="22"/>
          <w:szCs w:val="22"/>
        </w:rPr>
        <w:drawing>
          <wp:inline distT="0" distB="0" distL="0" distR="0" wp14:anchorId="7E68ADAF" wp14:editId="6186737B">
            <wp:extent cx="5699235" cy="4038600"/>
            <wp:effectExtent l="0" t="0" r="0" b="0"/>
            <wp:docPr id="205109718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a:extLst>
                        <a:ext uri="{28A0092B-C50C-407E-A947-70E740481C1C}">
                          <a14:useLocalDpi xmlns:a14="http://schemas.microsoft.com/office/drawing/2010/main" val="0"/>
                        </a:ext>
                      </a:extLst>
                    </a:blip>
                    <a:srcRect l="7663"/>
                    <a:stretch>
                      <a:fillRect/>
                    </a:stretch>
                  </pic:blipFill>
                  <pic:spPr bwMode="auto">
                    <a:xfrm>
                      <a:off x="0" y="0"/>
                      <a:ext cx="5699235" cy="4038600"/>
                    </a:xfrm>
                    <a:prstGeom prst="rect">
                      <a:avLst/>
                    </a:prstGeom>
                    <a:noFill/>
                    <a:ln>
                      <a:noFill/>
                    </a:ln>
                    <a:extLst>
                      <a:ext uri="{53640926-AAD7-44D8-BBD7-CCE9431645EC}">
                        <a14:shadowObscured xmlns:a14="http://schemas.microsoft.com/office/drawing/2010/main"/>
                      </a:ext>
                    </a:extLst>
                  </pic:spPr>
                </pic:pic>
              </a:graphicData>
            </a:graphic>
          </wp:inline>
        </w:drawing>
      </w:r>
    </w:p>
    <w:p w14:paraId="547FAE41" w14:textId="7E091969" w:rsidR="00711BAD" w:rsidRPr="00711BAD" w:rsidRDefault="00711BAD" w:rsidP="00711BAD">
      <w:pPr>
        <w:rPr>
          <w:rFonts w:ascii="Arial" w:hAnsi="Arial" w:cs="Arial"/>
          <w:sz w:val="22"/>
          <w:szCs w:val="22"/>
        </w:rPr>
      </w:pPr>
    </w:p>
    <w:p w14:paraId="2CED2B22" w14:textId="104211EF" w:rsidR="00711BAD" w:rsidRPr="00711BAD" w:rsidRDefault="00711BAD" w:rsidP="00711BAD">
      <w:pPr>
        <w:rPr>
          <w:rFonts w:ascii="Arial" w:hAnsi="Arial" w:cs="Arial"/>
          <w:sz w:val="22"/>
          <w:szCs w:val="22"/>
        </w:rPr>
      </w:pPr>
    </w:p>
    <w:sectPr w:rsidR="00711BAD" w:rsidRPr="00711BA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997"/>
    <w:multiLevelType w:val="hybridMultilevel"/>
    <w:tmpl w:val="CD48F432"/>
    <w:lvl w:ilvl="0" w:tplc="058C36E8">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D64AFC"/>
    <w:multiLevelType w:val="multilevel"/>
    <w:tmpl w:val="AEF0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A2802"/>
    <w:multiLevelType w:val="multilevel"/>
    <w:tmpl w:val="1088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B73D5"/>
    <w:multiLevelType w:val="multilevel"/>
    <w:tmpl w:val="E64A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36A23"/>
    <w:multiLevelType w:val="multilevel"/>
    <w:tmpl w:val="1632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A645E"/>
    <w:multiLevelType w:val="multilevel"/>
    <w:tmpl w:val="898E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C0160"/>
    <w:multiLevelType w:val="multilevel"/>
    <w:tmpl w:val="EC40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B2DA4"/>
    <w:multiLevelType w:val="multilevel"/>
    <w:tmpl w:val="44B8B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7D6575"/>
    <w:multiLevelType w:val="multilevel"/>
    <w:tmpl w:val="22BAB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751A0E"/>
    <w:multiLevelType w:val="multilevel"/>
    <w:tmpl w:val="859C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34731"/>
    <w:multiLevelType w:val="multilevel"/>
    <w:tmpl w:val="BB20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EE4848"/>
    <w:multiLevelType w:val="multilevel"/>
    <w:tmpl w:val="4F82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B4085"/>
    <w:multiLevelType w:val="multilevel"/>
    <w:tmpl w:val="CA6E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06C3A"/>
    <w:multiLevelType w:val="multilevel"/>
    <w:tmpl w:val="6EC877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9544AC"/>
    <w:multiLevelType w:val="multilevel"/>
    <w:tmpl w:val="842AC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353E97"/>
    <w:multiLevelType w:val="multilevel"/>
    <w:tmpl w:val="B0AE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674D24"/>
    <w:multiLevelType w:val="multilevel"/>
    <w:tmpl w:val="3FAE6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0B3F09"/>
    <w:multiLevelType w:val="multilevel"/>
    <w:tmpl w:val="E50EF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D479F9"/>
    <w:multiLevelType w:val="multilevel"/>
    <w:tmpl w:val="4834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5D1981"/>
    <w:multiLevelType w:val="hybridMultilevel"/>
    <w:tmpl w:val="034A937E"/>
    <w:lvl w:ilvl="0" w:tplc="CDCA5FAE">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8953AE1"/>
    <w:multiLevelType w:val="multilevel"/>
    <w:tmpl w:val="F1D0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FA4EA3"/>
    <w:multiLevelType w:val="hybridMultilevel"/>
    <w:tmpl w:val="2E68C4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F1E0229"/>
    <w:multiLevelType w:val="multilevel"/>
    <w:tmpl w:val="0828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CD4EB8"/>
    <w:multiLevelType w:val="hybridMultilevel"/>
    <w:tmpl w:val="6F989D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16B179A"/>
    <w:multiLevelType w:val="hybridMultilevel"/>
    <w:tmpl w:val="9B466DD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45A1669"/>
    <w:multiLevelType w:val="multilevel"/>
    <w:tmpl w:val="C342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A06FEF"/>
    <w:multiLevelType w:val="multilevel"/>
    <w:tmpl w:val="0C66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D51F76"/>
    <w:multiLevelType w:val="multilevel"/>
    <w:tmpl w:val="62908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2B5FAD"/>
    <w:multiLevelType w:val="multilevel"/>
    <w:tmpl w:val="6FEE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E91A85"/>
    <w:multiLevelType w:val="multilevel"/>
    <w:tmpl w:val="2DE2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6A02AA"/>
    <w:multiLevelType w:val="multilevel"/>
    <w:tmpl w:val="ACEA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67722C"/>
    <w:multiLevelType w:val="multilevel"/>
    <w:tmpl w:val="B322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F63986"/>
    <w:multiLevelType w:val="multilevel"/>
    <w:tmpl w:val="FF0AD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B033FB"/>
    <w:multiLevelType w:val="multilevel"/>
    <w:tmpl w:val="E44CDB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7948198">
    <w:abstractNumId w:val="5"/>
  </w:num>
  <w:num w:numId="2" w16cid:durableId="1422751998">
    <w:abstractNumId w:val="2"/>
  </w:num>
  <w:num w:numId="3" w16cid:durableId="1432046223">
    <w:abstractNumId w:val="16"/>
  </w:num>
  <w:num w:numId="4" w16cid:durableId="1185435563">
    <w:abstractNumId w:val="15"/>
  </w:num>
  <w:num w:numId="5" w16cid:durableId="1609578847">
    <w:abstractNumId w:val="20"/>
  </w:num>
  <w:num w:numId="6" w16cid:durableId="176239123">
    <w:abstractNumId w:val="26"/>
  </w:num>
  <w:num w:numId="7" w16cid:durableId="415444193">
    <w:abstractNumId w:val="31"/>
  </w:num>
  <w:num w:numId="8" w16cid:durableId="1451633161">
    <w:abstractNumId w:val="25"/>
  </w:num>
  <w:num w:numId="9" w16cid:durableId="1166090884">
    <w:abstractNumId w:val="32"/>
  </w:num>
  <w:num w:numId="10" w16cid:durableId="1964846751">
    <w:abstractNumId w:val="21"/>
  </w:num>
  <w:num w:numId="11" w16cid:durableId="520823222">
    <w:abstractNumId w:val="8"/>
  </w:num>
  <w:num w:numId="12" w16cid:durableId="301932719">
    <w:abstractNumId w:val="7"/>
  </w:num>
  <w:num w:numId="13" w16cid:durableId="1272005529">
    <w:abstractNumId w:val="27"/>
  </w:num>
  <w:num w:numId="14" w16cid:durableId="1885828243">
    <w:abstractNumId w:val="13"/>
  </w:num>
  <w:num w:numId="15" w16cid:durableId="1286229752">
    <w:abstractNumId w:val="33"/>
  </w:num>
  <w:num w:numId="16" w16cid:durableId="348261852">
    <w:abstractNumId w:val="1"/>
  </w:num>
  <w:num w:numId="17" w16cid:durableId="443186904">
    <w:abstractNumId w:val="6"/>
  </w:num>
  <w:num w:numId="18" w16cid:durableId="1255165081">
    <w:abstractNumId w:val="24"/>
  </w:num>
  <w:num w:numId="19" w16cid:durableId="1772625107">
    <w:abstractNumId w:val="0"/>
  </w:num>
  <w:num w:numId="20" w16cid:durableId="1979648839">
    <w:abstractNumId w:val="19"/>
  </w:num>
  <w:num w:numId="21" w16cid:durableId="1426419343">
    <w:abstractNumId w:val="30"/>
  </w:num>
  <w:num w:numId="22" w16cid:durableId="1540822803">
    <w:abstractNumId w:val="18"/>
  </w:num>
  <w:num w:numId="23" w16cid:durableId="1876036561">
    <w:abstractNumId w:val="4"/>
  </w:num>
  <w:num w:numId="24" w16cid:durableId="632828088">
    <w:abstractNumId w:val="14"/>
  </w:num>
  <w:num w:numId="25" w16cid:durableId="1851337895">
    <w:abstractNumId w:val="10"/>
  </w:num>
  <w:num w:numId="26" w16cid:durableId="1856336469">
    <w:abstractNumId w:val="11"/>
  </w:num>
  <w:num w:numId="27" w16cid:durableId="1836219326">
    <w:abstractNumId w:val="28"/>
  </w:num>
  <w:num w:numId="28" w16cid:durableId="1425221797">
    <w:abstractNumId w:val="9"/>
  </w:num>
  <w:num w:numId="29" w16cid:durableId="703286536">
    <w:abstractNumId w:val="22"/>
  </w:num>
  <w:num w:numId="30" w16cid:durableId="438916368">
    <w:abstractNumId w:val="17"/>
  </w:num>
  <w:num w:numId="31" w16cid:durableId="1343629973">
    <w:abstractNumId w:val="23"/>
  </w:num>
  <w:num w:numId="32" w16cid:durableId="765658859">
    <w:abstractNumId w:val="29"/>
  </w:num>
  <w:num w:numId="33" w16cid:durableId="774374210">
    <w:abstractNumId w:val="12"/>
  </w:num>
  <w:num w:numId="34" w16cid:durableId="5619124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89D"/>
    <w:rsid w:val="00074CF6"/>
    <w:rsid w:val="001C535E"/>
    <w:rsid w:val="001F0E6F"/>
    <w:rsid w:val="00315DB4"/>
    <w:rsid w:val="00376BBE"/>
    <w:rsid w:val="003B58E4"/>
    <w:rsid w:val="003E4BA3"/>
    <w:rsid w:val="00581DE4"/>
    <w:rsid w:val="00650218"/>
    <w:rsid w:val="00670D27"/>
    <w:rsid w:val="00711BAD"/>
    <w:rsid w:val="008C26DE"/>
    <w:rsid w:val="008F3F92"/>
    <w:rsid w:val="009929E3"/>
    <w:rsid w:val="009B6E89"/>
    <w:rsid w:val="009F2247"/>
    <w:rsid w:val="00B97271"/>
    <w:rsid w:val="00CF31EB"/>
    <w:rsid w:val="00D35380"/>
    <w:rsid w:val="00F12C7E"/>
    <w:rsid w:val="00FE38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CE7ED"/>
  <w15:chartTrackingRefBased/>
  <w15:docId w15:val="{B35C0D54-8380-4983-B372-EBA0BE526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38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E38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E38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E38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E38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E38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38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38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389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389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E389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E389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E389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E389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E38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38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38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389D"/>
    <w:rPr>
      <w:rFonts w:eastAsiaTheme="majorEastAsia" w:cstheme="majorBidi"/>
      <w:color w:val="272727" w:themeColor="text1" w:themeTint="D8"/>
    </w:rPr>
  </w:style>
  <w:style w:type="paragraph" w:styleId="Ttulo">
    <w:name w:val="Title"/>
    <w:basedOn w:val="Normal"/>
    <w:next w:val="Normal"/>
    <w:link w:val="TtuloCar"/>
    <w:uiPriority w:val="10"/>
    <w:qFormat/>
    <w:rsid w:val="00FE3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38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38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38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389D"/>
    <w:pPr>
      <w:spacing w:before="160"/>
      <w:jc w:val="center"/>
    </w:pPr>
    <w:rPr>
      <w:i/>
      <w:iCs/>
      <w:color w:val="404040" w:themeColor="text1" w:themeTint="BF"/>
    </w:rPr>
  </w:style>
  <w:style w:type="character" w:customStyle="1" w:styleId="CitaCar">
    <w:name w:val="Cita Car"/>
    <w:basedOn w:val="Fuentedeprrafopredeter"/>
    <w:link w:val="Cita"/>
    <w:uiPriority w:val="29"/>
    <w:rsid w:val="00FE389D"/>
    <w:rPr>
      <w:i/>
      <w:iCs/>
      <w:color w:val="404040" w:themeColor="text1" w:themeTint="BF"/>
    </w:rPr>
  </w:style>
  <w:style w:type="paragraph" w:styleId="Prrafodelista">
    <w:name w:val="List Paragraph"/>
    <w:basedOn w:val="Normal"/>
    <w:uiPriority w:val="34"/>
    <w:qFormat/>
    <w:rsid w:val="00FE389D"/>
    <w:pPr>
      <w:ind w:left="720"/>
      <w:contextualSpacing/>
    </w:pPr>
  </w:style>
  <w:style w:type="character" w:styleId="nfasisintenso">
    <w:name w:val="Intense Emphasis"/>
    <w:basedOn w:val="Fuentedeprrafopredeter"/>
    <w:uiPriority w:val="21"/>
    <w:qFormat/>
    <w:rsid w:val="00FE389D"/>
    <w:rPr>
      <w:i/>
      <w:iCs/>
      <w:color w:val="0F4761" w:themeColor="accent1" w:themeShade="BF"/>
    </w:rPr>
  </w:style>
  <w:style w:type="paragraph" w:styleId="Citadestacada">
    <w:name w:val="Intense Quote"/>
    <w:basedOn w:val="Normal"/>
    <w:next w:val="Normal"/>
    <w:link w:val="CitadestacadaCar"/>
    <w:uiPriority w:val="30"/>
    <w:qFormat/>
    <w:rsid w:val="00FE38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389D"/>
    <w:rPr>
      <w:i/>
      <w:iCs/>
      <w:color w:val="0F4761" w:themeColor="accent1" w:themeShade="BF"/>
    </w:rPr>
  </w:style>
  <w:style w:type="character" w:styleId="Referenciaintensa">
    <w:name w:val="Intense Reference"/>
    <w:basedOn w:val="Fuentedeprrafopredeter"/>
    <w:uiPriority w:val="32"/>
    <w:qFormat/>
    <w:rsid w:val="00FE389D"/>
    <w:rPr>
      <w:b/>
      <w:bCs/>
      <w:smallCaps/>
      <w:color w:val="0F4761" w:themeColor="accent1" w:themeShade="BF"/>
      <w:spacing w:val="5"/>
    </w:rPr>
  </w:style>
  <w:style w:type="paragraph" w:styleId="NormalWeb">
    <w:name w:val="Normal (Web)"/>
    <w:basedOn w:val="Normal"/>
    <w:uiPriority w:val="99"/>
    <w:semiHidden/>
    <w:unhideWhenUsed/>
    <w:rsid w:val="00581DE4"/>
    <w:rPr>
      <w:rFonts w:ascii="Times New Roman" w:hAnsi="Times New Roman" w:cs="Times New Roman"/>
    </w:rPr>
  </w:style>
  <w:style w:type="table" w:styleId="Tablanormal5">
    <w:name w:val="Plain Table 5"/>
    <w:basedOn w:val="Tablanormal"/>
    <w:uiPriority w:val="45"/>
    <w:rsid w:val="00711BA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711BA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TMLconformatoprevio">
    <w:name w:val="HTML Preformatted"/>
    <w:basedOn w:val="Normal"/>
    <w:link w:val="HTMLconformatoprevioCar"/>
    <w:uiPriority w:val="99"/>
    <w:semiHidden/>
    <w:unhideWhenUsed/>
    <w:rsid w:val="009B6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9B6E89"/>
    <w:rPr>
      <w:rFonts w:ascii="Courier New" w:eastAsia="Times New Roman" w:hAnsi="Courier New" w:cs="Courier New"/>
      <w:kern w:val="0"/>
      <w:sz w:val="20"/>
      <w:szCs w:val="20"/>
      <w:lang w:eastAsia="es-CO"/>
      <w14:ligatures w14:val="none"/>
    </w:rPr>
  </w:style>
  <w:style w:type="character" w:customStyle="1" w:styleId="gnj4oy0ck5b">
    <w:name w:val="gnj4oy0ck5b"/>
    <w:basedOn w:val="Fuentedeprrafopredeter"/>
    <w:rsid w:val="009B6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17</Pages>
  <Words>4160</Words>
  <Characters>22883</Characters>
  <Application>Microsoft Office Word</Application>
  <DocSecurity>0</DocSecurity>
  <Lines>190</Lines>
  <Paragraphs>53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Alexander Salgado Blanco</dc:creator>
  <cp:keywords/>
  <dc:description/>
  <cp:lastModifiedBy>BRAYAN SALGADO BLANCO</cp:lastModifiedBy>
  <cp:revision>12</cp:revision>
  <dcterms:created xsi:type="dcterms:W3CDTF">2026-09-08T19:23:00Z</dcterms:created>
  <dcterms:modified xsi:type="dcterms:W3CDTF">2026-09-11T01:16:00Z</dcterms:modified>
</cp:coreProperties>
</file>