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564"/>
          <w:sz w:val="40"/>
        </w:rPr>
        <w:t>Registro de verificación y puntos clave</w:t>
      </w:r>
    </w:p>
    <w:p>
      <w:r>
        <w:rPr>
          <w:i/>
          <w:color w:val="444444"/>
          <w:sz w:val="23"/>
        </w:rPr>
        <w:t>Documento técnico complementario a la metodología y resultados de la modelación SAE para la estimación municipal del IPM</w:t>
      </w:r>
    </w:p>
    <w:p/>
    <w:p>
      <w:r>
        <w:t>Este documento registra el proceso de verificación independiente de las estimaciones reportadas, las diferencias encontradas respecto a la implementación original y los aspectos que requieren atención antes de la versión final del trabajo. Su propósito es documentar la trazabilidad del proceso de validación, no sustituir el capítulo metodológico.</w:t>
      </w:r>
    </w:p>
    <w:p>
      <w:pPr>
        <w:pStyle w:val="Heading1"/>
      </w:pPr>
      <w:r>
        <w:t>1. Alcance de la verificación</w:t>
      </w:r>
    </w:p>
    <w:p>
      <w:r>
        <w:t>Se reimplementaron de forma independiente los dos modelos y se reestimaron todas las cantidades reportadas, partiendo de los mismos archivos de entrada. La reimplementación se realizó en un entorno distinto al original, de modo que la coincidencia de resultados constituye evidencia de que las cifras no dependen de detalles de implementación.</w:t>
      </w:r>
    </w:p>
    <w:tbl>
      <w:tblPr>
        <w:tblStyle w:val="TableGrid"/>
        <w:tblW w:type="auto" w:w="0"/>
        <w:jc w:val="center"/>
        <w:tblLook w:firstColumn="1" w:firstRow="1" w:lastColumn="0" w:lastRow="0" w:noHBand="0" w:noVBand="1" w:val="04A0"/>
      </w:tblPr>
      <w:tblGrid>
        <w:gridCol w:w="3173"/>
        <w:gridCol w:w="3173"/>
        <w:gridCol w:w="3173"/>
      </w:tblGrid>
      <w:tr>
        <w:tc>
          <w:tcPr>
            <w:tcW w:type="dxa" w:w="3515"/>
            <w:shd w:val="clear" w:fill="1F3564"/>
          </w:tcPr>
          <w:p>
            <w:pPr>
              <w:jc w:val="center"/>
            </w:pPr>
            <w:r/>
            <w:r>
              <w:rPr>
                <w:b/>
                <w:color w:val="FFFFFF"/>
                <w:sz w:val="18"/>
              </w:rPr>
              <w:t>Componente</w:t>
            </w:r>
          </w:p>
        </w:tc>
        <w:tc>
          <w:tcPr>
            <w:tcW w:type="dxa" w:w="1474"/>
            <w:shd w:val="clear" w:fill="1F3564"/>
          </w:tcPr>
          <w:p>
            <w:pPr>
              <w:jc w:val="center"/>
            </w:pPr>
            <w:r/>
            <w:r>
              <w:rPr>
                <w:b/>
                <w:color w:val="FFFFFF"/>
                <w:sz w:val="18"/>
              </w:rPr>
              <w:t>Estado</w:t>
            </w:r>
          </w:p>
        </w:tc>
        <w:tc>
          <w:tcPr>
            <w:tcW w:type="dxa" w:w="3969"/>
            <w:shd w:val="clear" w:fill="1F3564"/>
          </w:tcPr>
          <w:p>
            <w:pPr>
              <w:jc w:val="center"/>
            </w:pPr>
            <w:r/>
            <w:r>
              <w:rPr>
                <w:b/>
                <w:color w:val="FFFFFF"/>
                <w:sz w:val="18"/>
              </w:rPr>
              <w:t>Observación</w:t>
            </w:r>
          </w:p>
        </w:tc>
      </w:tr>
      <w:tr>
        <w:tc>
          <w:tcPr>
            <w:tcW w:type="dxa" w:w="3515"/>
          </w:tcPr>
          <w:p>
            <w:pPr>
              <w:jc w:val="left"/>
            </w:pPr>
            <w:r/>
            <w:r>
              <w:rPr>
                <w:sz w:val="18"/>
              </w:rPr>
              <w:t>Base analítica y criterio de completitud</w:t>
            </w:r>
          </w:p>
        </w:tc>
        <w:tc>
          <w:tcPr>
            <w:tcW w:type="dxa" w:w="1474"/>
          </w:tcPr>
          <w:p>
            <w:pPr>
              <w:jc w:val="center"/>
            </w:pPr>
            <w:r/>
            <w:r>
              <w:rPr>
                <w:sz w:val="18"/>
              </w:rPr>
              <w:t>Verificado</w:t>
            </w:r>
          </w:p>
        </w:tc>
        <w:tc>
          <w:tcPr>
            <w:tcW w:type="dxa" w:w="3969"/>
          </w:tcPr>
          <w:p>
            <w:pPr>
              <w:jc w:val="center"/>
            </w:pPr>
            <w:r/>
            <w:r>
              <w:rPr>
                <w:sz w:val="18"/>
              </w:rPr>
              <w:t>Coincide: 1.101 municipios de 1.122</w:t>
            </w:r>
          </w:p>
        </w:tc>
      </w:tr>
      <w:tr>
        <w:tc>
          <w:tcPr>
            <w:tcW w:type="dxa" w:w="3515"/>
            <w:shd w:val="clear" w:fill="EEF2F7"/>
          </w:tcPr>
          <w:p>
            <w:pPr>
              <w:jc w:val="left"/>
            </w:pPr>
            <w:r/>
            <w:r>
              <w:rPr>
                <w:sz w:val="18"/>
              </w:rPr>
              <w:t>Agregación ponderada al nivel departamental</w:t>
            </w:r>
          </w:p>
        </w:tc>
        <w:tc>
          <w:tcPr>
            <w:tcW w:type="dxa" w:w="1474"/>
            <w:shd w:val="clear" w:fill="EEF2F7"/>
          </w:tcPr>
          <w:p>
            <w:pPr>
              <w:jc w:val="center"/>
            </w:pPr>
            <w:r/>
            <w:r>
              <w:rPr>
                <w:sz w:val="18"/>
              </w:rPr>
              <w:t>Verificado</w:t>
            </w:r>
          </w:p>
        </w:tc>
        <w:tc>
          <w:tcPr>
            <w:tcW w:type="dxa" w:w="3969"/>
            <w:shd w:val="clear" w:fill="EEF2F7"/>
          </w:tcPr>
          <w:p>
            <w:pPr>
              <w:jc w:val="center"/>
            </w:pPr>
            <w:r/>
            <w:r>
              <w:rPr>
                <w:sz w:val="18"/>
              </w:rPr>
              <w:t>Coincide tras incorporar los denominadores</w:t>
            </w:r>
          </w:p>
        </w:tc>
      </w:tr>
      <w:tr>
        <w:tc>
          <w:tcPr>
            <w:tcW w:type="dxa" w:w="3515"/>
          </w:tcPr>
          <w:p>
            <w:pPr>
              <w:jc w:val="left"/>
            </w:pPr>
            <w:r/>
            <w:r>
              <w:rPr>
                <w:sz w:val="18"/>
              </w:rPr>
              <w:t>Diagnóstico por mínimos cuadrados</w:t>
            </w:r>
          </w:p>
        </w:tc>
        <w:tc>
          <w:tcPr>
            <w:tcW w:type="dxa" w:w="1474"/>
          </w:tcPr>
          <w:p>
            <w:pPr>
              <w:jc w:val="center"/>
            </w:pPr>
            <w:r/>
            <w:r>
              <w:rPr>
                <w:sz w:val="18"/>
              </w:rPr>
              <w:t>Verificado</w:t>
            </w:r>
          </w:p>
        </w:tc>
        <w:tc>
          <w:tcPr>
            <w:tcW w:type="dxa" w:w="3969"/>
          </w:tcPr>
          <w:p>
            <w:pPr>
              <w:jc w:val="center"/>
            </w:pPr>
            <w:r/>
            <w:r>
              <w:rPr>
                <w:sz w:val="18"/>
              </w:rPr>
              <w:t>Coeficientes, valores p y VIF reestimados</w:t>
            </w:r>
          </w:p>
        </w:tc>
      </w:tr>
      <w:tr>
        <w:tc>
          <w:tcPr>
            <w:tcW w:type="dxa" w:w="3515"/>
            <w:shd w:val="clear" w:fill="EEF2F7"/>
          </w:tcPr>
          <w:p>
            <w:pPr>
              <w:jc w:val="left"/>
            </w:pPr>
            <w:r/>
            <w:r>
              <w:rPr>
                <w:sz w:val="18"/>
              </w:rPr>
              <w:t>Modelo 1: ajuste y validación</w:t>
            </w:r>
          </w:p>
        </w:tc>
        <w:tc>
          <w:tcPr>
            <w:tcW w:type="dxa" w:w="1474"/>
            <w:shd w:val="clear" w:fill="EEF2F7"/>
          </w:tcPr>
          <w:p>
            <w:pPr>
              <w:jc w:val="center"/>
            </w:pPr>
            <w:r/>
            <w:r>
              <w:rPr>
                <w:sz w:val="18"/>
              </w:rPr>
              <w:t>Verificado</w:t>
            </w:r>
          </w:p>
        </w:tc>
        <w:tc>
          <w:tcPr>
            <w:tcW w:type="dxa" w:w="3969"/>
            <w:shd w:val="clear" w:fill="EEF2F7"/>
          </w:tcPr>
          <w:p>
            <w:pPr>
              <w:jc w:val="center"/>
            </w:pPr>
            <w:r/>
            <w:r>
              <w:rPr>
                <w:sz w:val="18"/>
              </w:rPr>
              <w:t>Diferencias inferiores a 0,4 puntos de RMSE</w:t>
            </w:r>
          </w:p>
        </w:tc>
      </w:tr>
      <w:tr>
        <w:tc>
          <w:tcPr>
            <w:tcW w:type="dxa" w:w="3515"/>
          </w:tcPr>
          <w:p>
            <w:pPr>
              <w:jc w:val="left"/>
            </w:pPr>
            <w:r/>
            <w:r>
              <w:rPr>
                <w:sz w:val="18"/>
              </w:rPr>
              <w:t>Modelo 1: predicciones fuera de rango</w:t>
            </w:r>
          </w:p>
        </w:tc>
        <w:tc>
          <w:tcPr>
            <w:tcW w:type="dxa" w:w="1474"/>
          </w:tcPr>
          <w:p>
            <w:pPr>
              <w:jc w:val="center"/>
            </w:pPr>
            <w:r/>
            <w:r>
              <w:rPr>
                <w:sz w:val="18"/>
              </w:rPr>
              <w:t>Verificado</w:t>
            </w:r>
          </w:p>
        </w:tc>
        <w:tc>
          <w:tcPr>
            <w:tcW w:type="dxa" w:w="3969"/>
          </w:tcPr>
          <w:p>
            <w:pPr>
              <w:jc w:val="center"/>
            </w:pPr>
            <w:r/>
            <w:r>
              <w:rPr>
                <w:sz w:val="18"/>
              </w:rPr>
              <w:t>Coincidencia exacta: 150, 115 y 95 municipios</w:t>
            </w:r>
          </w:p>
        </w:tc>
      </w:tr>
      <w:tr>
        <w:tc>
          <w:tcPr>
            <w:tcW w:type="dxa" w:w="3515"/>
            <w:shd w:val="clear" w:fill="EEF2F7"/>
          </w:tcPr>
          <w:p>
            <w:pPr>
              <w:jc w:val="left"/>
            </w:pPr>
            <w:r/>
            <w:r>
              <w:rPr>
                <w:sz w:val="18"/>
              </w:rPr>
              <w:t>Modelo 2: ajuste y benchmarking</w:t>
            </w:r>
          </w:p>
        </w:tc>
        <w:tc>
          <w:tcPr>
            <w:tcW w:type="dxa" w:w="1474"/>
            <w:shd w:val="clear" w:fill="EEF2F7"/>
          </w:tcPr>
          <w:p>
            <w:pPr>
              <w:jc w:val="center"/>
            </w:pPr>
            <w:r/>
            <w:r>
              <w:rPr>
                <w:sz w:val="18"/>
              </w:rPr>
              <w:t>Verificado</w:t>
            </w:r>
          </w:p>
        </w:tc>
        <w:tc>
          <w:tcPr>
            <w:tcW w:type="dxa" w:w="3969"/>
            <w:shd w:val="clear" w:fill="EEF2F7"/>
          </w:tcPr>
          <w:p>
            <w:pPr>
              <w:jc w:val="center"/>
            </w:pPr>
            <w:r/>
            <w:r>
              <w:rPr>
                <w:sz w:val="18"/>
              </w:rPr>
              <w:t>Coherencia departamental exacta confirmada</w:t>
            </w:r>
          </w:p>
        </w:tc>
      </w:tr>
      <w:tr>
        <w:tc>
          <w:tcPr>
            <w:tcW w:type="dxa" w:w="3515"/>
            <w:shd w:val="clear" w:fill="FDF0EE"/>
          </w:tcPr>
          <w:p>
            <w:pPr>
              <w:jc w:val="left"/>
            </w:pPr>
            <w:r/>
            <w:r>
              <w:rPr>
                <w:sz w:val="18"/>
              </w:rPr>
              <w:t>Modelo 2: validación por exclusión</w:t>
            </w:r>
          </w:p>
        </w:tc>
        <w:tc>
          <w:tcPr>
            <w:tcW w:type="dxa" w:w="1474"/>
            <w:shd w:val="clear" w:fill="FDF0EE"/>
          </w:tcPr>
          <w:p>
            <w:pPr>
              <w:jc w:val="center"/>
            </w:pPr>
            <w:r/>
            <w:r>
              <w:rPr>
                <w:sz w:val="18"/>
              </w:rPr>
              <w:t>Discrepancia</w:t>
            </w:r>
          </w:p>
        </w:tc>
        <w:tc>
          <w:tcPr>
            <w:tcW w:type="dxa" w:w="3969"/>
            <w:shd w:val="clear" w:fill="FDF0EE"/>
          </w:tcPr>
          <w:p>
            <w:pPr>
              <w:jc w:val="center"/>
            </w:pPr>
            <w:r/>
            <w:r>
              <w:rPr>
                <w:sz w:val="18"/>
              </w:rPr>
              <w:t>Diferencia sistemática; ver sección 3</w:t>
            </w:r>
          </w:p>
        </w:tc>
      </w:tr>
      <w:tr>
        <w:tc>
          <w:tcPr>
            <w:tcW w:type="dxa" w:w="3515"/>
            <w:shd w:val="clear" w:fill="EEF2F7"/>
          </w:tcPr>
          <w:p>
            <w:pPr>
              <w:jc w:val="left"/>
            </w:pPr>
            <w:r/>
            <w:r>
              <w:rPr>
                <w:sz w:val="18"/>
              </w:rPr>
              <w:t>Correlación municipal entre modelos</w:t>
            </w:r>
          </w:p>
        </w:tc>
        <w:tc>
          <w:tcPr>
            <w:tcW w:type="dxa" w:w="1474"/>
            <w:shd w:val="clear" w:fill="EEF2F7"/>
          </w:tcPr>
          <w:p>
            <w:pPr>
              <w:jc w:val="center"/>
            </w:pPr>
            <w:r/>
            <w:r>
              <w:rPr>
                <w:sz w:val="18"/>
              </w:rPr>
              <w:t>Verificado</w:t>
            </w:r>
          </w:p>
        </w:tc>
        <w:tc>
          <w:tcPr>
            <w:tcW w:type="dxa" w:w="3969"/>
            <w:shd w:val="clear" w:fill="EEF2F7"/>
          </w:tcPr>
          <w:p>
            <w:pPr>
              <w:jc w:val="center"/>
            </w:pPr>
            <w:r/>
            <w:r>
              <w:rPr>
                <w:sz w:val="18"/>
              </w:rPr>
              <w:t>Coincide: 0,949 en el escenario de referencia</w:t>
            </w:r>
          </w:p>
        </w:tc>
      </w:tr>
      <w:tr>
        <w:tc>
          <w:tcPr>
            <w:tcW w:type="dxa" w:w="3515"/>
          </w:tcPr>
          <w:p>
            <w:pPr>
              <w:jc w:val="left"/>
            </w:pPr>
            <w:r/>
            <w:r>
              <w:rPr>
                <w:sz w:val="18"/>
              </w:rPr>
              <w:t>Diagnóstico de Moran</w:t>
            </w:r>
          </w:p>
        </w:tc>
        <w:tc>
          <w:tcPr>
            <w:tcW w:type="dxa" w:w="1474"/>
          </w:tcPr>
          <w:p>
            <w:pPr>
              <w:jc w:val="center"/>
            </w:pPr>
            <w:r/>
            <w:r>
              <w:rPr>
                <w:sz w:val="18"/>
              </w:rPr>
              <w:t>Verificado</w:t>
            </w:r>
          </w:p>
        </w:tc>
        <w:tc>
          <w:tcPr>
            <w:tcW w:type="dxa" w:w="3969"/>
          </w:tcPr>
          <w:p>
            <w:pPr>
              <w:jc w:val="center"/>
            </w:pPr>
            <w:r/>
            <w:r>
              <w:rPr>
                <w:sz w:val="18"/>
              </w:rPr>
              <w:t>Confirma significancia en E2</w:t>
            </w:r>
          </w:p>
        </w:tc>
      </w:tr>
      <w:tr>
        <w:tc>
          <w:tcPr>
            <w:tcW w:type="dxa" w:w="3515"/>
            <w:shd w:val="clear" w:fill="EEF2F7"/>
          </w:tcPr>
          <w:p>
            <w:pPr>
              <w:jc w:val="left"/>
            </w:pPr>
            <w:r/>
            <w:r>
              <w:rPr>
                <w:sz w:val="18"/>
              </w:rPr>
              <w:t>Criterios de información espaciales</w:t>
            </w:r>
          </w:p>
        </w:tc>
        <w:tc>
          <w:tcPr>
            <w:tcW w:type="dxa" w:w="1474"/>
            <w:shd w:val="clear" w:fill="EEF2F7"/>
          </w:tcPr>
          <w:p>
            <w:pPr>
              <w:jc w:val="center"/>
            </w:pPr>
            <w:r/>
            <w:r>
              <w:rPr>
                <w:sz w:val="18"/>
              </w:rPr>
              <w:t>Verificado</w:t>
            </w:r>
          </w:p>
        </w:tc>
        <w:tc>
          <w:tcPr>
            <w:tcW w:type="dxa" w:w="3969"/>
            <w:shd w:val="clear" w:fill="EEF2F7"/>
          </w:tcPr>
          <w:p>
            <w:pPr>
              <w:jc w:val="center"/>
            </w:pPr>
            <w:r/>
            <w:r>
              <w:rPr>
                <w:sz w:val="18"/>
              </w:rPr>
              <w:t>Confirma superioridad del error espacial</w:t>
            </w:r>
          </w:p>
        </w:tc>
      </w:tr>
    </w:tbl>
    <w:p/>
    <w:p>
      <w:pPr>
        <w:spacing w:before="60"/>
      </w:pPr>
      <w:r>
        <w:rPr>
          <w:b/>
          <w:color w:val="1F3564"/>
          <w:sz w:val="18"/>
        </w:rPr>
        <w:t xml:space="preserve">Tabla 1. </w:t>
      </w:r>
      <w:r>
        <w:rPr>
          <w:color w:val="444444"/>
          <w:sz w:val="18"/>
        </w:rPr>
        <w:t>Estado de verificación por componente. La fila resaltada indica el único componente donde se identificó una diferencia sistemática que requiere revisión.</w:t>
      </w:r>
    </w:p>
    <w:p>
      <w:pPr>
        <w:pStyle w:val="Heading1"/>
      </w:pPr>
      <w:r>
        <w:t>2. Corrección aplicada a los datos de entrada</w:t>
      </w:r>
    </w:p>
    <w:p>
      <w:r>
        <w:rPr>
          <w:b/>
        </w:rPr>
        <w:t xml:space="preserve">Ponderadores de agregación. </w:t>
      </w:r>
      <w:r>
        <w:t>La primera versión de los archivos no incluía las columnas de nacidos vivos y población entre 5 y 16 años. Sin ellas, todas las covariables deben agregarse ponderando por población total, lo que produce coeficientes distintos para los indicadores educativos y de salud. Al incorporar los denominadores correctos, los conteos de predicciones fuera de rango pasaron a coincidir exactamente con los valores reportados, lo que confirma que la agregación quedó replicada.</w:t>
      </w:r>
    </w:p>
    <w:p>
      <w:r>
        <w:rPr>
          <w:b/>
          <w:color w:val="A8322D"/>
        </w:rPr>
        <w:t xml:space="preserve">Verificación de cruce por llave. </w:t>
      </w:r>
      <w:r>
        <w:t>Durante la revisión se detectó que las columnas de recaudo del impuesto de industria y comercio presentan una desalineación respecto al código municipal: los valores fueron incorporados siguiendo el orden de otra fuente en lugar de cruzarse por llave. La verificación consiste en contrastar la coherencia interna entre el recaudo total, la población y el recaudo per cápita. Esta situación no afecta los resultados actuales porque ninguna de las tres especificaciones utiliza esa variable, pero debe corregirse antes de considerar su incorporación.</w:t>
      </w:r>
    </w:p>
    <w:p>
      <w:r>
        <w:rPr>
          <w:b/>
        </w:rPr>
        <w:t xml:space="preserve">Implicación general. </w:t>
      </w:r>
      <w:r>
        <w:t>Una yuxtaposición posicional no genera errores de ejecución y puede pasar inadvertida durante todo el flujo de trabajo. Dado que la población opera como ponderador de agregación y de benchmarking, conviene incorporar una verificación sistemática de alineación como parte del procedimiento de preparación de datos.</w:t>
      </w:r>
    </w:p>
    <w:p>
      <w:pPr>
        <w:pStyle w:val="Heading1"/>
      </w:pPr>
      <w:r>
        <w:t>3. Diferencias identificadas respecto a la implementación original</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494"/>
            <w:shd w:val="clear" w:fill="1F3564"/>
          </w:tcPr>
          <w:p>
            <w:pPr>
              <w:jc w:val="center"/>
            </w:pPr>
            <w:r/>
            <w:r>
              <w:rPr>
                <w:b/>
                <w:color w:val="FFFFFF"/>
                <w:sz w:val="18"/>
              </w:rPr>
              <w:t>Escenario</w:t>
            </w:r>
          </w:p>
        </w:tc>
        <w:tc>
          <w:tcPr>
            <w:tcW w:type="dxa" w:w="1247"/>
            <w:shd w:val="clear" w:fill="1F3564"/>
          </w:tcPr>
          <w:p>
            <w:pPr>
              <w:jc w:val="center"/>
            </w:pPr>
            <w:r/>
            <w:r>
              <w:rPr>
                <w:b/>
                <w:color w:val="FFFFFF"/>
                <w:sz w:val="18"/>
              </w:rPr>
              <w:t>Modelo</w:t>
            </w:r>
          </w:p>
        </w:tc>
        <w:tc>
          <w:tcPr>
            <w:tcW w:type="dxa" w:w="1814"/>
            <w:shd w:val="clear" w:fill="1F3564"/>
          </w:tcPr>
          <w:p>
            <w:pPr>
              <w:jc w:val="center"/>
            </w:pPr>
            <w:r/>
            <w:r>
              <w:rPr>
                <w:b/>
                <w:color w:val="FFFFFF"/>
                <w:sz w:val="18"/>
              </w:rPr>
              <w:t>RMSE original</w:t>
            </w:r>
          </w:p>
        </w:tc>
        <w:tc>
          <w:tcPr>
            <w:tcW w:type="dxa" w:w="1814"/>
            <w:shd w:val="clear" w:fill="1F3564"/>
          </w:tcPr>
          <w:p>
            <w:pPr>
              <w:jc w:val="center"/>
            </w:pPr>
            <w:r/>
            <w:r>
              <w:rPr>
                <w:b/>
                <w:color w:val="FFFFFF"/>
                <w:sz w:val="18"/>
              </w:rPr>
              <w:t>RMSE verificado</w:t>
            </w:r>
          </w:p>
        </w:tc>
        <w:tc>
          <w:tcPr>
            <w:tcW w:type="dxa" w:w="1701"/>
            <w:shd w:val="clear" w:fill="1F3564"/>
          </w:tcPr>
          <w:p>
            <w:pPr>
              <w:jc w:val="center"/>
            </w:pPr>
            <w:r/>
            <w:r>
              <w:rPr>
                <w:b/>
                <w:color w:val="FFFFFF"/>
                <w:sz w:val="18"/>
              </w:rPr>
              <w:t>Diferencia</w:t>
            </w:r>
          </w:p>
        </w:tc>
      </w:tr>
      <w:tr>
        <w:tc>
          <w:tcPr>
            <w:tcW w:type="dxa" w:w="2494"/>
          </w:tcPr>
          <w:p>
            <w:pPr>
              <w:jc w:val="left"/>
            </w:pPr>
            <w:r/>
            <w:r>
              <w:rPr>
                <w:sz w:val="18"/>
              </w:rPr>
              <w:t>E1 completa</w:t>
            </w:r>
          </w:p>
        </w:tc>
        <w:tc>
          <w:tcPr>
            <w:tcW w:type="dxa" w:w="1247"/>
          </w:tcPr>
          <w:p>
            <w:pPr>
              <w:jc w:val="center"/>
            </w:pPr>
            <w:r/>
            <w:r>
              <w:rPr>
                <w:sz w:val="18"/>
              </w:rPr>
              <w:t>M1</w:t>
            </w:r>
          </w:p>
        </w:tc>
        <w:tc>
          <w:tcPr>
            <w:tcW w:type="dxa" w:w="1814"/>
          </w:tcPr>
          <w:p>
            <w:pPr>
              <w:jc w:val="center"/>
            </w:pPr>
            <w:r/>
            <w:r>
              <w:rPr>
                <w:sz w:val="18"/>
              </w:rPr>
              <w:t>7,53</w:t>
            </w:r>
          </w:p>
        </w:tc>
        <w:tc>
          <w:tcPr>
            <w:tcW w:type="dxa" w:w="1814"/>
          </w:tcPr>
          <w:p>
            <w:pPr>
              <w:jc w:val="center"/>
            </w:pPr>
            <w:r/>
            <w:r>
              <w:rPr>
                <w:sz w:val="18"/>
              </w:rPr>
              <w:t>7,91</w:t>
            </w:r>
          </w:p>
        </w:tc>
        <w:tc>
          <w:tcPr>
            <w:tcW w:type="dxa" w:w="1701"/>
          </w:tcPr>
          <w:p>
            <w:pPr>
              <w:jc w:val="center"/>
            </w:pPr>
            <w:r/>
            <w:r>
              <w:rPr>
                <w:sz w:val="18"/>
              </w:rPr>
              <w:t>+0,38</w:t>
            </w:r>
          </w:p>
        </w:tc>
      </w:tr>
      <w:tr>
        <w:tc>
          <w:tcPr>
            <w:tcW w:type="dxa" w:w="2494"/>
            <w:shd w:val="clear" w:fill="FDF0EE"/>
          </w:tcPr>
          <w:p>
            <w:pPr>
              <w:jc w:val="left"/>
            </w:pPr>
            <w:r/>
            <w:r>
              <w:rPr>
                <w:sz w:val="18"/>
              </w:rPr>
              <w:t>E1 completa</w:t>
            </w:r>
          </w:p>
        </w:tc>
        <w:tc>
          <w:tcPr>
            <w:tcW w:type="dxa" w:w="1247"/>
            <w:shd w:val="clear" w:fill="FDF0EE"/>
          </w:tcPr>
          <w:p>
            <w:pPr>
              <w:jc w:val="center"/>
            </w:pPr>
            <w:r/>
            <w:r>
              <w:rPr>
                <w:sz w:val="18"/>
              </w:rPr>
              <w:t>M2</w:t>
            </w:r>
          </w:p>
        </w:tc>
        <w:tc>
          <w:tcPr>
            <w:tcW w:type="dxa" w:w="1814"/>
            <w:shd w:val="clear" w:fill="FDF0EE"/>
          </w:tcPr>
          <w:p>
            <w:pPr>
              <w:jc w:val="center"/>
            </w:pPr>
            <w:r/>
            <w:r>
              <w:rPr>
                <w:sz w:val="18"/>
              </w:rPr>
              <w:t>13,01</w:t>
            </w:r>
          </w:p>
        </w:tc>
        <w:tc>
          <w:tcPr>
            <w:tcW w:type="dxa" w:w="1814"/>
            <w:shd w:val="clear" w:fill="FDF0EE"/>
          </w:tcPr>
          <w:p>
            <w:pPr>
              <w:jc w:val="center"/>
            </w:pPr>
            <w:r/>
            <w:r>
              <w:rPr>
                <w:sz w:val="18"/>
              </w:rPr>
              <w:t>12,04</w:t>
            </w:r>
          </w:p>
        </w:tc>
        <w:tc>
          <w:tcPr>
            <w:tcW w:type="dxa" w:w="1701"/>
            <w:shd w:val="clear" w:fill="FDF0EE"/>
          </w:tcPr>
          <w:p>
            <w:pPr>
              <w:jc w:val="center"/>
            </w:pPr>
            <w:r/>
            <w:r>
              <w:rPr>
                <w:sz w:val="18"/>
              </w:rPr>
              <w:t>-0,97</w:t>
            </w:r>
          </w:p>
        </w:tc>
      </w:tr>
      <w:tr>
        <w:tc>
          <w:tcPr>
            <w:tcW w:type="dxa" w:w="2494"/>
          </w:tcPr>
          <w:p>
            <w:pPr>
              <w:jc w:val="left"/>
            </w:pPr>
            <w:r/>
            <w:r>
              <w:rPr>
                <w:sz w:val="18"/>
              </w:rPr>
              <w:t>E2 parsimoniosa</w:t>
            </w:r>
          </w:p>
        </w:tc>
        <w:tc>
          <w:tcPr>
            <w:tcW w:type="dxa" w:w="1247"/>
          </w:tcPr>
          <w:p>
            <w:pPr>
              <w:jc w:val="center"/>
            </w:pPr>
            <w:r/>
            <w:r>
              <w:rPr>
                <w:sz w:val="18"/>
              </w:rPr>
              <w:t>M1</w:t>
            </w:r>
          </w:p>
        </w:tc>
        <w:tc>
          <w:tcPr>
            <w:tcW w:type="dxa" w:w="1814"/>
          </w:tcPr>
          <w:p>
            <w:pPr>
              <w:jc w:val="center"/>
            </w:pPr>
            <w:r/>
            <w:r>
              <w:rPr>
                <w:sz w:val="18"/>
              </w:rPr>
              <w:t>7,75</w:t>
            </w:r>
          </w:p>
        </w:tc>
        <w:tc>
          <w:tcPr>
            <w:tcW w:type="dxa" w:w="1814"/>
          </w:tcPr>
          <w:p>
            <w:pPr>
              <w:jc w:val="center"/>
            </w:pPr>
            <w:r/>
            <w:r>
              <w:rPr>
                <w:sz w:val="18"/>
              </w:rPr>
              <w:t>7,92</w:t>
            </w:r>
          </w:p>
        </w:tc>
        <w:tc>
          <w:tcPr>
            <w:tcW w:type="dxa" w:w="1701"/>
          </w:tcPr>
          <w:p>
            <w:pPr>
              <w:jc w:val="center"/>
            </w:pPr>
            <w:r/>
            <w:r>
              <w:rPr>
                <w:sz w:val="18"/>
              </w:rPr>
              <w:t>+0,17</w:t>
            </w:r>
          </w:p>
        </w:tc>
      </w:tr>
      <w:tr>
        <w:tc>
          <w:tcPr>
            <w:tcW w:type="dxa" w:w="2494"/>
            <w:shd w:val="clear" w:fill="FDF0EE"/>
          </w:tcPr>
          <w:p>
            <w:pPr>
              <w:jc w:val="left"/>
            </w:pPr>
            <w:r/>
            <w:r>
              <w:rPr>
                <w:sz w:val="18"/>
              </w:rPr>
              <w:t>E2 parsimoniosa</w:t>
            </w:r>
          </w:p>
        </w:tc>
        <w:tc>
          <w:tcPr>
            <w:tcW w:type="dxa" w:w="1247"/>
            <w:shd w:val="clear" w:fill="FDF0EE"/>
          </w:tcPr>
          <w:p>
            <w:pPr>
              <w:jc w:val="center"/>
            </w:pPr>
            <w:r/>
            <w:r>
              <w:rPr>
                <w:sz w:val="18"/>
              </w:rPr>
              <w:t>M2</w:t>
            </w:r>
          </w:p>
        </w:tc>
        <w:tc>
          <w:tcPr>
            <w:tcW w:type="dxa" w:w="1814"/>
            <w:shd w:val="clear" w:fill="FDF0EE"/>
          </w:tcPr>
          <w:p>
            <w:pPr>
              <w:jc w:val="center"/>
            </w:pPr>
            <w:r/>
            <w:r>
              <w:rPr>
                <w:sz w:val="18"/>
              </w:rPr>
              <w:t>9,46</w:t>
            </w:r>
          </w:p>
        </w:tc>
        <w:tc>
          <w:tcPr>
            <w:tcW w:type="dxa" w:w="1814"/>
            <w:shd w:val="clear" w:fill="FDF0EE"/>
          </w:tcPr>
          <w:p>
            <w:pPr>
              <w:jc w:val="center"/>
            </w:pPr>
            <w:r/>
            <w:r>
              <w:rPr>
                <w:sz w:val="18"/>
              </w:rPr>
              <w:t>8,89</w:t>
            </w:r>
          </w:p>
        </w:tc>
        <w:tc>
          <w:tcPr>
            <w:tcW w:type="dxa" w:w="1701"/>
            <w:shd w:val="clear" w:fill="FDF0EE"/>
          </w:tcPr>
          <w:p>
            <w:pPr>
              <w:jc w:val="center"/>
            </w:pPr>
            <w:r/>
            <w:r>
              <w:rPr>
                <w:sz w:val="18"/>
              </w:rPr>
              <w:t>-0,57</w:t>
            </w:r>
          </w:p>
        </w:tc>
      </w:tr>
      <w:tr>
        <w:tc>
          <w:tcPr>
            <w:tcW w:type="dxa" w:w="2494"/>
          </w:tcPr>
          <w:p>
            <w:pPr>
              <w:jc w:val="left"/>
            </w:pPr>
            <w:r/>
            <w:r>
              <w:rPr>
                <w:sz w:val="18"/>
              </w:rPr>
              <w:t>E3 alternativa</w:t>
            </w:r>
          </w:p>
        </w:tc>
        <w:tc>
          <w:tcPr>
            <w:tcW w:type="dxa" w:w="1247"/>
          </w:tcPr>
          <w:p>
            <w:pPr>
              <w:jc w:val="center"/>
            </w:pPr>
            <w:r/>
            <w:r>
              <w:rPr>
                <w:sz w:val="18"/>
              </w:rPr>
              <w:t>M1</w:t>
            </w:r>
          </w:p>
        </w:tc>
        <w:tc>
          <w:tcPr>
            <w:tcW w:type="dxa" w:w="1814"/>
          </w:tcPr>
          <w:p>
            <w:pPr>
              <w:jc w:val="center"/>
            </w:pPr>
            <w:r/>
            <w:r>
              <w:rPr>
                <w:sz w:val="18"/>
              </w:rPr>
              <w:t>7,13</w:t>
            </w:r>
          </w:p>
        </w:tc>
        <w:tc>
          <w:tcPr>
            <w:tcW w:type="dxa" w:w="1814"/>
          </w:tcPr>
          <w:p>
            <w:pPr>
              <w:jc w:val="center"/>
            </w:pPr>
            <w:r/>
            <w:r>
              <w:rPr>
                <w:sz w:val="18"/>
              </w:rPr>
              <w:t>7,41</w:t>
            </w:r>
          </w:p>
        </w:tc>
        <w:tc>
          <w:tcPr>
            <w:tcW w:type="dxa" w:w="1701"/>
          </w:tcPr>
          <w:p>
            <w:pPr>
              <w:jc w:val="center"/>
            </w:pPr>
            <w:r/>
            <w:r>
              <w:rPr>
                <w:sz w:val="18"/>
              </w:rPr>
              <w:t>+0,28</w:t>
            </w:r>
          </w:p>
        </w:tc>
      </w:tr>
      <w:tr>
        <w:tc>
          <w:tcPr>
            <w:tcW w:type="dxa" w:w="2494"/>
            <w:shd w:val="clear" w:fill="FDF0EE"/>
          </w:tcPr>
          <w:p>
            <w:pPr>
              <w:jc w:val="left"/>
            </w:pPr>
            <w:r/>
            <w:r>
              <w:rPr>
                <w:sz w:val="18"/>
              </w:rPr>
              <w:t>E3 alternativa</w:t>
            </w:r>
          </w:p>
        </w:tc>
        <w:tc>
          <w:tcPr>
            <w:tcW w:type="dxa" w:w="1247"/>
            <w:shd w:val="clear" w:fill="FDF0EE"/>
          </w:tcPr>
          <w:p>
            <w:pPr>
              <w:jc w:val="center"/>
            </w:pPr>
            <w:r/>
            <w:r>
              <w:rPr>
                <w:sz w:val="18"/>
              </w:rPr>
              <w:t>M2</w:t>
            </w:r>
          </w:p>
        </w:tc>
        <w:tc>
          <w:tcPr>
            <w:tcW w:type="dxa" w:w="1814"/>
            <w:shd w:val="clear" w:fill="FDF0EE"/>
          </w:tcPr>
          <w:p>
            <w:pPr>
              <w:jc w:val="center"/>
            </w:pPr>
            <w:r/>
            <w:r>
              <w:rPr>
                <w:sz w:val="18"/>
              </w:rPr>
              <w:t>7,77</w:t>
            </w:r>
          </w:p>
        </w:tc>
        <w:tc>
          <w:tcPr>
            <w:tcW w:type="dxa" w:w="1814"/>
            <w:shd w:val="clear" w:fill="FDF0EE"/>
          </w:tcPr>
          <w:p>
            <w:pPr>
              <w:jc w:val="center"/>
            </w:pPr>
            <w:r/>
            <w:r>
              <w:rPr>
                <w:sz w:val="18"/>
              </w:rPr>
              <w:t>7,37</w:t>
            </w:r>
          </w:p>
        </w:tc>
        <w:tc>
          <w:tcPr>
            <w:tcW w:type="dxa" w:w="1701"/>
            <w:shd w:val="clear" w:fill="FDF0EE"/>
          </w:tcPr>
          <w:p>
            <w:pPr>
              <w:jc w:val="center"/>
            </w:pPr>
            <w:r/>
            <w:r>
              <w:rPr>
                <w:sz w:val="18"/>
              </w:rPr>
              <w:t>-0,40</w:t>
            </w:r>
          </w:p>
        </w:tc>
      </w:tr>
    </w:tbl>
    <w:p/>
    <w:p>
      <w:pPr>
        <w:spacing w:before="60"/>
      </w:pPr>
      <w:r>
        <w:rPr>
          <w:b/>
          <w:color w:val="1F3564"/>
          <w:sz w:val="18"/>
        </w:rPr>
        <w:t xml:space="preserve">Tabla 2. </w:t>
      </w:r>
      <w:r>
        <w:rPr>
          <w:color w:val="444444"/>
          <w:sz w:val="18"/>
        </w:rPr>
        <w:t>Contraste entre el RMSE de validación reportado originalmente y el obtenido en la reimplementación independiente. Las filas resaltadas corresponden al modelo con diferencia sistemática.</w:t>
      </w:r>
    </w:p>
    <w:p>
      <w:r>
        <w:t>El modelo Fay-Herriot queda replicado con diferencias inferiores a 0,4 puntos, atribuibles a variaciones menores en el algoritmo de estimación de la varianza del efecto aleatorio. El modelo de desagregación no lineal, en cambio, presenta una diferencia sistemática y siempre en la misma dirección: la reimplementación obtiene mejor desempeño en los tres escenarios.</w:t>
      </w:r>
    </w:p>
    <w:p>
      <w:r>
        <w:rPr>
          <w:b/>
        </w:rPr>
        <w:t xml:space="preserve">Interpretación. </w:t>
      </w:r>
      <w:r>
        <w:t>Dado que ambas implementaciones parten de los mismos datos y que el primer modelo sí replica, la diferencia se ubica en la implementación del segundo modelo y no en la información utilizada.</w:t>
      </w:r>
    </w:p>
    <w:p>
      <w:r>
        <w:t>Se recomienda revisar tres aspectos del código:</w:t>
      </w:r>
    </w:p>
    <w:p>
      <w:pPr>
        <w:pStyle w:val="ListBullet"/>
        <w:spacing w:after="80"/>
      </w:pPr>
      <w:r>
        <w:t>El número de arranques del optimizador. Al tratarse de una verosimilitud no lineal, un número reducido de puntos iniciales puede converger a óptimos locales. La reimplementación emplea doce arranques con refinamiento posterior.</w:t>
      </w:r>
    </w:p>
    <w:p>
      <w:pPr>
        <w:pStyle w:val="ListBullet"/>
        <w:spacing w:after="80"/>
      </w:pPr>
      <w:r>
        <w:t>La reestandarización de covariables dentro del procedimiento de validación. Los parámetros de escala deben recalcularse en cada iteración usando exclusivamente los municipios del conjunto de entrenamiento.</w:t>
      </w:r>
    </w:p>
    <w:p>
      <w:pPr>
        <w:pStyle w:val="ListBullet"/>
        <w:spacing w:after="80"/>
      </w:pPr>
      <w:r>
        <w:t>La aplicación del benchmarking dentro de la validación. El dominio excluido no debe recibir ajuste de benchmarking, dado que dicho procedimiento utiliza precisamente la estimación directa que se busca predecir. De aplicarse, las métricas resultantes estarían contaminadas.</w:t>
      </w:r>
    </w:p>
    <w:p>
      <w:r>
        <w:rPr>
          <w:b/>
          <w:color w:val="A8322D"/>
        </w:rPr>
        <w:t xml:space="preserve">Prioridad. </w:t>
      </w:r>
      <w:r>
        <w:t>El tercer aspecto es el más relevante. Si el benchmarking se está aplicando al dominio excluido, las métricas del segundo modelo no serían comparables con las del primero y la conclusión sobre desempeño relativo quedaría comprometida.</w:t>
      </w:r>
    </w:p>
    <w:p>
      <w:pPr>
        <w:pStyle w:val="Heading1"/>
      </w:pPr>
      <w:r>
        <w:t>4. Hallazgos adicionales</w:t>
      </w:r>
    </w:p>
    <w:p>
      <w:pPr>
        <w:pStyle w:val="Heading2"/>
      </w:pPr>
      <w:r>
        <w:t>4.1. Comportamiento de la luminosidad nocturna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835"/>
            <w:shd w:val="clear" w:fill="1F3564"/>
          </w:tcPr>
          <w:p>
            <w:pPr>
              <w:jc w:val="center"/>
            </w:pPr>
            <w:r/>
            <w:r>
              <w:rPr>
                <w:b/>
                <w:color w:val="FFFFFF"/>
                <w:sz w:val="18"/>
              </w:rPr>
              <w:t>Escenario</w:t>
            </w:r>
          </w:p>
        </w:tc>
        <w:tc>
          <w:tcPr>
            <w:tcW w:type="dxa" w:w="2041"/>
            <w:shd w:val="clear" w:fill="1F3564"/>
          </w:tcPr>
          <w:p>
            <w:pPr>
              <w:jc w:val="center"/>
            </w:pPr>
            <w:r/>
            <w:r>
              <w:rPr>
                <w:b/>
                <w:color w:val="FFFFFF"/>
                <w:sz w:val="18"/>
              </w:rPr>
              <w:t>Coeficiente</w:t>
            </w:r>
          </w:p>
        </w:tc>
        <w:tc>
          <w:tcPr>
            <w:tcW w:type="dxa" w:w="1928"/>
            <w:shd w:val="clear" w:fill="1F3564"/>
          </w:tcPr>
          <w:p>
            <w:pPr>
              <w:jc w:val="center"/>
            </w:pPr>
            <w:r/>
            <w:r>
              <w:rPr>
                <w:b/>
                <w:color w:val="FFFFFF"/>
                <w:sz w:val="18"/>
              </w:rPr>
              <w:t>Valor p</w:t>
            </w:r>
          </w:p>
        </w:tc>
        <w:tc>
          <w:tcPr>
            <w:tcW w:type="dxa" w:w="1701"/>
            <w:shd w:val="clear" w:fill="1F3564"/>
          </w:tcPr>
          <w:p>
            <w:pPr>
              <w:jc w:val="center"/>
            </w:pPr>
            <w:r/>
            <w:r>
              <w:rPr>
                <w:b/>
                <w:color w:val="FFFFFF"/>
                <w:sz w:val="18"/>
              </w:rPr>
              <w:t>VIF</w:t>
            </w:r>
          </w:p>
        </w:tc>
      </w:tr>
      <w:tr>
        <w:tc>
          <w:tcPr>
            <w:tcW w:type="dxa" w:w="2835"/>
          </w:tcPr>
          <w:p>
            <w:pPr>
              <w:jc w:val="left"/>
            </w:pPr>
            <w:r/>
            <w:r>
              <w:rPr>
                <w:sz w:val="18"/>
              </w:rPr>
              <w:t>E1 completa</w:t>
            </w:r>
          </w:p>
        </w:tc>
        <w:tc>
          <w:tcPr>
            <w:tcW w:type="dxa" w:w="2041"/>
          </w:tcPr>
          <w:p>
            <w:pPr>
              <w:jc w:val="center"/>
            </w:pPr>
            <w:r/>
            <w:r>
              <w:rPr>
                <w:sz w:val="18"/>
              </w:rPr>
              <w:t>-1,20</w:t>
            </w:r>
          </w:p>
        </w:tc>
        <w:tc>
          <w:tcPr>
            <w:tcW w:type="dxa" w:w="1928"/>
          </w:tcPr>
          <w:p>
            <w:pPr>
              <w:jc w:val="center"/>
            </w:pPr>
            <w:r/>
            <w:r>
              <w:rPr>
                <w:sz w:val="18"/>
              </w:rPr>
              <w:t>0,500</w:t>
            </w:r>
          </w:p>
        </w:tc>
        <w:tc>
          <w:tcPr>
            <w:tcW w:type="dxa" w:w="1701"/>
          </w:tcPr>
          <w:p>
            <w:pPr>
              <w:jc w:val="center"/>
            </w:pPr>
            <w:r/>
            <w:r>
              <w:rPr>
                <w:sz w:val="18"/>
              </w:rPr>
              <w:t>1,77</w:t>
            </w:r>
          </w:p>
        </w:tc>
      </w:tr>
      <w:tr>
        <w:tc>
          <w:tcPr>
            <w:tcW w:type="dxa" w:w="2835"/>
            <w:shd w:val="clear" w:fill="EEF2F7"/>
          </w:tcPr>
          <w:p>
            <w:pPr>
              <w:jc w:val="left"/>
            </w:pPr>
            <w:r/>
            <w:r>
              <w:rPr>
                <w:sz w:val="18"/>
              </w:rPr>
              <w:t>E2 parsimoniosa</w:t>
            </w:r>
          </w:p>
        </w:tc>
        <w:tc>
          <w:tcPr>
            <w:tcW w:type="dxa" w:w="2041"/>
            <w:shd w:val="clear" w:fill="EEF2F7"/>
          </w:tcPr>
          <w:p>
            <w:pPr>
              <w:jc w:val="center"/>
            </w:pPr>
            <w:r/>
            <w:r>
              <w:rPr>
                <w:sz w:val="18"/>
              </w:rPr>
              <w:t>-0,70</w:t>
            </w:r>
          </w:p>
        </w:tc>
        <w:tc>
          <w:tcPr>
            <w:tcW w:type="dxa" w:w="1928"/>
            <w:shd w:val="clear" w:fill="EEF2F7"/>
          </w:tcPr>
          <w:p>
            <w:pPr>
              <w:jc w:val="center"/>
            </w:pPr>
            <w:r/>
            <w:r>
              <w:rPr>
                <w:sz w:val="18"/>
              </w:rPr>
              <w:t>0,706</w:t>
            </w:r>
          </w:p>
        </w:tc>
        <w:tc>
          <w:tcPr>
            <w:tcW w:type="dxa" w:w="1701"/>
            <w:shd w:val="clear" w:fill="EEF2F7"/>
          </w:tcPr>
          <w:p>
            <w:pPr>
              <w:jc w:val="center"/>
            </w:pPr>
            <w:r/>
            <w:r>
              <w:rPr>
                <w:sz w:val="18"/>
              </w:rPr>
              <w:t>1,69</w:t>
            </w:r>
          </w:p>
        </w:tc>
      </w:tr>
      <w:tr>
        <w:tc>
          <w:tcPr>
            <w:tcW w:type="dxa" w:w="2835"/>
          </w:tcPr>
          <w:p>
            <w:pPr>
              <w:jc w:val="left"/>
            </w:pPr>
            <w:r/>
            <w:r>
              <w:rPr>
                <w:sz w:val="18"/>
              </w:rPr>
              <w:t>E3 alternativa</w:t>
            </w:r>
          </w:p>
        </w:tc>
        <w:tc>
          <w:tcPr>
            <w:tcW w:type="dxa" w:w="2041"/>
          </w:tcPr>
          <w:p>
            <w:pPr>
              <w:jc w:val="center"/>
            </w:pPr>
            <w:r/>
            <w:r>
              <w:rPr>
                <w:sz w:val="18"/>
              </w:rPr>
              <w:t>-1,59</w:t>
            </w:r>
          </w:p>
        </w:tc>
        <w:tc>
          <w:tcPr>
            <w:tcW w:type="dxa" w:w="1928"/>
          </w:tcPr>
          <w:p>
            <w:pPr>
              <w:jc w:val="center"/>
            </w:pPr>
            <w:r/>
            <w:r>
              <w:rPr>
                <w:sz w:val="18"/>
              </w:rPr>
              <w:t>0,342</w:t>
            </w:r>
          </w:p>
        </w:tc>
        <w:tc>
          <w:tcPr>
            <w:tcW w:type="dxa" w:w="1701"/>
          </w:tcPr>
          <w:p>
            <w:pPr>
              <w:jc w:val="center"/>
            </w:pPr>
            <w:r/>
            <w:r>
              <w:rPr>
                <w:sz w:val="18"/>
              </w:rPr>
              <w:t>1,44</w:t>
            </w:r>
          </w:p>
        </w:tc>
      </w:tr>
    </w:tbl>
    <w:p/>
    <w:p>
      <w:pPr>
        <w:spacing w:before="60"/>
      </w:pPr>
      <w:r>
        <w:rPr>
          <w:b/>
          <w:color w:val="1F3564"/>
          <w:sz w:val="18"/>
        </w:rPr>
        <w:t xml:space="preserve">Tabla 3. </w:t>
      </w:r>
      <w:r>
        <w:rPr>
          <w:color w:val="444444"/>
          <w:sz w:val="18"/>
        </w:rPr>
        <w:t>Comportamiento de la covariable de luminosidad nocturna en las tres especificaciones evaluadas.</w:t>
      </w:r>
    </w:p>
    <w:p>
      <w:r>
        <w:t>La luminosidad nocturna no alcanza significancia estadística en ninguna especificación. Dado que participa en las tres y que en dos de ellas representa una de cuatro covariables, este comportamiento merece una decisión explícita. Existen tres alternativas: conservarla con justificación conceptual, sustituirla por una medida alternativa de actividad económica, o reducir las especificaciones parsimoniosas a tres covariables.</w:t>
      </w:r>
    </w:p>
    <w:p>
      <w:pPr>
        <w:pStyle w:val="Heading2"/>
      </w:pPr>
      <w:r>
        <w:t>4.2. Estabilidad frente a cambios en la especificación</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061"/>
            <w:shd w:val="clear" w:fill="1F3564"/>
          </w:tcPr>
          <w:p>
            <w:pPr>
              <w:jc w:val="center"/>
            </w:pPr>
            <w:r/>
            <w:r>
              <w:rPr>
                <w:b/>
                <w:color w:val="FFFFFF"/>
                <w:sz w:val="18"/>
              </w:rPr>
              <w:t>Modelo</w:t>
            </w:r>
          </w:p>
        </w:tc>
        <w:tc>
          <w:tcPr>
            <w:tcW w:type="dxa" w:w="1814"/>
            <w:shd w:val="clear" w:fill="1F3564"/>
          </w:tcPr>
          <w:p>
            <w:pPr>
              <w:jc w:val="center"/>
            </w:pPr>
            <w:r/>
            <w:r>
              <w:rPr>
                <w:b/>
                <w:color w:val="FFFFFF"/>
                <w:sz w:val="18"/>
              </w:rPr>
              <w:t>RMSE mínimo</w:t>
            </w:r>
          </w:p>
        </w:tc>
        <w:tc>
          <w:tcPr>
            <w:tcW w:type="dxa" w:w="1814"/>
            <w:shd w:val="clear" w:fill="1F3564"/>
          </w:tcPr>
          <w:p>
            <w:pPr>
              <w:jc w:val="center"/>
            </w:pPr>
            <w:r/>
            <w:r>
              <w:rPr>
                <w:b/>
                <w:color w:val="FFFFFF"/>
                <w:sz w:val="18"/>
              </w:rPr>
              <w:t>RMSE máximo</w:t>
            </w:r>
          </w:p>
        </w:tc>
        <w:tc>
          <w:tcPr>
            <w:tcW w:type="dxa" w:w="1814"/>
            <w:shd w:val="clear" w:fill="1F3564"/>
          </w:tcPr>
          <w:p>
            <w:pPr>
              <w:jc w:val="center"/>
            </w:pPr>
            <w:r/>
            <w:r>
              <w:rPr>
                <w:b/>
                <w:color w:val="FFFFFF"/>
                <w:sz w:val="18"/>
              </w:rPr>
              <w:t>Amplitud</w:t>
            </w:r>
          </w:p>
        </w:tc>
      </w:tr>
      <w:tr>
        <w:tc>
          <w:tcPr>
            <w:tcW w:type="dxa" w:w="3061"/>
          </w:tcPr>
          <w:p>
            <w:pPr>
              <w:jc w:val="left"/>
            </w:pPr>
            <w:r/>
            <w:r>
              <w:rPr>
                <w:sz w:val="18"/>
              </w:rPr>
              <w:t>M1 Fay-Herriot</w:t>
            </w:r>
          </w:p>
        </w:tc>
        <w:tc>
          <w:tcPr>
            <w:tcW w:type="dxa" w:w="1814"/>
          </w:tcPr>
          <w:p>
            <w:pPr>
              <w:jc w:val="center"/>
            </w:pPr>
            <w:r/>
            <w:r>
              <w:rPr>
                <w:sz w:val="18"/>
              </w:rPr>
              <w:t>7,41</w:t>
            </w:r>
          </w:p>
        </w:tc>
        <w:tc>
          <w:tcPr>
            <w:tcW w:type="dxa" w:w="1814"/>
          </w:tcPr>
          <w:p>
            <w:pPr>
              <w:jc w:val="center"/>
            </w:pPr>
            <w:r/>
            <w:r>
              <w:rPr>
                <w:sz w:val="18"/>
              </w:rPr>
              <w:t>7,92</w:t>
            </w:r>
          </w:p>
        </w:tc>
        <w:tc>
          <w:tcPr>
            <w:tcW w:type="dxa" w:w="1814"/>
          </w:tcPr>
          <w:p>
            <w:pPr>
              <w:jc w:val="center"/>
            </w:pPr>
            <w:r/>
            <w:r>
              <w:rPr>
                <w:sz w:val="18"/>
              </w:rPr>
              <w:t>0,52</w:t>
            </w:r>
          </w:p>
        </w:tc>
      </w:tr>
      <w:tr>
        <w:tc>
          <w:tcPr>
            <w:tcW w:type="dxa" w:w="3061"/>
            <w:shd w:val="clear" w:fill="EEF2F7"/>
          </w:tcPr>
          <w:p>
            <w:pPr>
              <w:jc w:val="left"/>
            </w:pPr>
            <w:r/>
            <w:r>
              <w:rPr>
                <w:sz w:val="18"/>
              </w:rPr>
              <w:t>M2 no lineal acotado</w:t>
            </w:r>
          </w:p>
        </w:tc>
        <w:tc>
          <w:tcPr>
            <w:tcW w:type="dxa" w:w="1814"/>
            <w:shd w:val="clear" w:fill="EEF2F7"/>
          </w:tcPr>
          <w:p>
            <w:pPr>
              <w:jc w:val="center"/>
            </w:pPr>
            <w:r/>
            <w:r>
              <w:rPr>
                <w:sz w:val="18"/>
              </w:rPr>
              <w:t>7,37</w:t>
            </w:r>
          </w:p>
        </w:tc>
        <w:tc>
          <w:tcPr>
            <w:tcW w:type="dxa" w:w="1814"/>
            <w:shd w:val="clear" w:fill="EEF2F7"/>
          </w:tcPr>
          <w:p>
            <w:pPr>
              <w:jc w:val="center"/>
            </w:pPr>
            <w:r/>
            <w:r>
              <w:rPr>
                <w:sz w:val="18"/>
              </w:rPr>
              <w:t>12,04</w:t>
            </w:r>
          </w:p>
        </w:tc>
        <w:tc>
          <w:tcPr>
            <w:tcW w:type="dxa" w:w="1814"/>
            <w:shd w:val="clear" w:fill="EEF2F7"/>
          </w:tcPr>
          <w:p>
            <w:pPr>
              <w:jc w:val="center"/>
            </w:pPr>
            <w:r/>
            <w:r>
              <w:rPr>
                <w:sz w:val="18"/>
              </w:rPr>
              <w:t>4,67</w:t>
            </w:r>
          </w:p>
        </w:tc>
      </w:tr>
    </w:tbl>
    <w:p/>
    <w:p>
      <w:pPr>
        <w:spacing w:before="60"/>
      </w:pPr>
      <w:r>
        <w:rPr>
          <w:b/>
          <w:color w:val="1F3564"/>
          <w:sz w:val="18"/>
        </w:rPr>
        <w:t xml:space="preserve">Tabla 4. </w:t>
      </w:r>
      <w:r>
        <w:rPr>
          <w:color w:val="444444"/>
          <w:sz w:val="18"/>
        </w:rPr>
        <w:t>Amplitud del RMSE de validación entre los tres escenarios. Una amplitud menor indica que el modelo es menos sensible a cambios en el conjunto de covariables.</w:t>
      </w:r>
    </w:p>
    <w:p>
      <w:r>
        <w:t>La amplitud del modelo no lineal es aproximadamente nueve veces mayor que la del modelo lineal. Esta cuantificación convierte una observación cualitativa sobre estabilidad en evidencia comparable, y constituye un argumento sustantivo a favor del primer modelo que es independiente de cuál obtenga menor error en un escenario particular.</w:t>
      </w:r>
    </w:p>
    <w:p>
      <w:pPr>
        <w:pStyle w:val="Heading2"/>
      </w:pPr>
      <w:r>
        <w:t>4.3. Restricción de grados de libertad</w:t>
      </w:r>
    </w:p>
    <w:p>
      <w:r>
        <w:t>La calibración dispone de 33 dominios departamentales. La especificación completa emplea siete covariables más intercepto, lo que equivale aproximadamente a cuatro observaciones por parámetro, muy por debajo de las diez a quince que suelen recomendarse. Este factor explica el deterioro sistemático del modelo no lineal en la especificación amplia y conviene mencionarlo explícitamente, dado que anticipa una observación previsible sobre la formulación E1.</w:t>
      </w:r>
    </w:p>
    <w:p>
      <w:pPr>
        <w:pStyle w:val="Heading2"/>
      </w:pPr>
      <w:r>
        <w:t>4.4. Dependencia espacial según el escenario</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608"/>
            <w:shd w:val="clear" w:fill="1F3564"/>
          </w:tcPr>
          <w:p>
            <w:pPr>
              <w:jc w:val="center"/>
            </w:pPr>
            <w:r/>
            <w:r>
              <w:rPr>
                <w:b/>
                <w:color w:val="FFFFFF"/>
                <w:sz w:val="18"/>
              </w:rPr>
              <w:t>Escenario</w:t>
            </w:r>
          </w:p>
        </w:tc>
        <w:tc>
          <w:tcPr>
            <w:tcW w:type="dxa" w:w="1928"/>
            <w:shd w:val="clear" w:fill="1F3564"/>
          </w:tcPr>
          <w:p>
            <w:pPr>
              <w:jc w:val="center"/>
            </w:pPr>
            <w:r/>
            <w:r>
              <w:rPr>
                <w:b/>
                <w:color w:val="FFFFFF"/>
                <w:sz w:val="18"/>
              </w:rPr>
              <w:t>Índice de Moran</w:t>
            </w:r>
          </w:p>
        </w:tc>
        <w:tc>
          <w:tcPr>
            <w:tcW w:type="dxa" w:w="1701"/>
            <w:shd w:val="clear" w:fill="1F3564"/>
          </w:tcPr>
          <w:p>
            <w:pPr>
              <w:jc w:val="center"/>
            </w:pPr>
            <w:r/>
            <w:r>
              <w:rPr>
                <w:b/>
                <w:color w:val="FFFFFF"/>
                <w:sz w:val="18"/>
              </w:rPr>
              <w:t>Valor p</w:t>
            </w:r>
          </w:p>
        </w:tc>
        <w:tc>
          <w:tcPr>
            <w:tcW w:type="dxa" w:w="2268"/>
            <w:shd w:val="clear" w:fill="1F3564"/>
          </w:tcPr>
          <w:p>
            <w:pPr>
              <w:jc w:val="center"/>
            </w:pPr>
            <w:r/>
            <w:r>
              <w:rPr>
                <w:b/>
                <w:color w:val="FFFFFF"/>
                <w:sz w:val="18"/>
              </w:rPr>
              <w:t>Significativo al 5 %</w:t>
            </w:r>
          </w:p>
        </w:tc>
      </w:tr>
      <w:tr>
        <w:tc>
          <w:tcPr>
            <w:tcW w:type="dxa" w:w="2608"/>
          </w:tcPr>
          <w:p>
            <w:pPr>
              <w:jc w:val="left"/>
            </w:pPr>
            <w:r/>
            <w:r>
              <w:rPr>
                <w:sz w:val="18"/>
              </w:rPr>
              <w:t>E1 completa</w:t>
            </w:r>
          </w:p>
        </w:tc>
        <w:tc>
          <w:tcPr>
            <w:tcW w:type="dxa" w:w="1928"/>
          </w:tcPr>
          <w:p>
            <w:pPr>
              <w:jc w:val="center"/>
            </w:pPr>
            <w:r/>
            <w:r>
              <w:rPr>
                <w:sz w:val="18"/>
              </w:rPr>
              <w:t>0,219</w:t>
            </w:r>
          </w:p>
        </w:tc>
        <w:tc>
          <w:tcPr>
            <w:tcW w:type="dxa" w:w="1701"/>
          </w:tcPr>
          <w:p>
            <w:pPr>
              <w:jc w:val="center"/>
            </w:pPr>
            <w:r/>
            <w:r>
              <w:rPr>
                <w:sz w:val="18"/>
              </w:rPr>
              <w:t>0,021</w:t>
            </w:r>
          </w:p>
        </w:tc>
        <w:tc>
          <w:tcPr>
            <w:tcW w:type="dxa" w:w="2268"/>
          </w:tcPr>
          <w:p>
            <w:pPr>
              <w:jc w:val="center"/>
            </w:pPr>
            <w:r/>
            <w:r>
              <w:rPr>
                <w:sz w:val="18"/>
              </w:rPr>
              <w:t>Sí</w:t>
            </w:r>
          </w:p>
        </w:tc>
      </w:tr>
      <w:tr>
        <w:tc>
          <w:tcPr>
            <w:tcW w:type="dxa" w:w="2608"/>
            <w:shd w:val="clear" w:fill="EEF2F7"/>
          </w:tcPr>
          <w:p>
            <w:pPr>
              <w:jc w:val="left"/>
            </w:pPr>
            <w:r/>
            <w:r>
              <w:rPr>
                <w:sz w:val="18"/>
              </w:rPr>
              <w:t>E2 parsimoniosa</w:t>
            </w:r>
          </w:p>
        </w:tc>
        <w:tc>
          <w:tcPr>
            <w:tcW w:type="dxa" w:w="1928"/>
            <w:shd w:val="clear" w:fill="EEF2F7"/>
          </w:tcPr>
          <w:p>
            <w:pPr>
              <w:jc w:val="center"/>
            </w:pPr>
            <w:r/>
            <w:r>
              <w:rPr>
                <w:sz w:val="18"/>
              </w:rPr>
              <w:t>0,311</w:t>
            </w:r>
          </w:p>
        </w:tc>
        <w:tc>
          <w:tcPr>
            <w:tcW w:type="dxa" w:w="1701"/>
            <w:shd w:val="clear" w:fill="EEF2F7"/>
          </w:tcPr>
          <w:p>
            <w:pPr>
              <w:jc w:val="center"/>
            </w:pPr>
            <w:r/>
            <w:r>
              <w:rPr>
                <w:sz w:val="18"/>
              </w:rPr>
              <w:t>0,001</w:t>
            </w:r>
          </w:p>
        </w:tc>
        <w:tc>
          <w:tcPr>
            <w:tcW w:type="dxa" w:w="2268"/>
            <w:shd w:val="clear" w:fill="EEF2F7"/>
          </w:tcPr>
          <w:p>
            <w:pPr>
              <w:jc w:val="center"/>
            </w:pPr>
            <w:r/>
            <w:r>
              <w:rPr>
                <w:sz w:val="18"/>
              </w:rPr>
              <w:t>Sí</w:t>
            </w:r>
          </w:p>
        </w:tc>
      </w:tr>
      <w:tr>
        <w:tc>
          <w:tcPr>
            <w:tcW w:type="dxa" w:w="2608"/>
          </w:tcPr>
          <w:p>
            <w:pPr>
              <w:jc w:val="left"/>
            </w:pPr>
            <w:r/>
            <w:r>
              <w:rPr>
                <w:sz w:val="18"/>
              </w:rPr>
              <w:t>E3 alternativa</w:t>
            </w:r>
          </w:p>
        </w:tc>
        <w:tc>
          <w:tcPr>
            <w:tcW w:type="dxa" w:w="1928"/>
          </w:tcPr>
          <w:p>
            <w:pPr>
              <w:jc w:val="center"/>
            </w:pPr>
            <w:r/>
            <w:r>
              <w:rPr>
                <w:sz w:val="18"/>
              </w:rPr>
              <w:t>0,176</w:t>
            </w:r>
          </w:p>
        </w:tc>
        <w:tc>
          <w:tcPr>
            <w:tcW w:type="dxa" w:w="1701"/>
          </w:tcPr>
          <w:p>
            <w:pPr>
              <w:jc w:val="center"/>
            </w:pPr>
            <w:r/>
            <w:r>
              <w:rPr>
                <w:sz w:val="18"/>
              </w:rPr>
              <w:t>0,073</w:t>
            </w:r>
          </w:p>
        </w:tc>
        <w:tc>
          <w:tcPr>
            <w:tcW w:type="dxa" w:w="2268"/>
          </w:tcPr>
          <w:p>
            <w:pPr>
              <w:jc w:val="center"/>
            </w:pPr>
            <w:r/>
            <w:r>
              <w:rPr>
                <w:sz w:val="18"/>
              </w:rPr>
              <w:t>No</w:t>
            </w:r>
          </w:p>
        </w:tc>
      </w:tr>
    </w:tbl>
    <w:p/>
    <w:p>
      <w:pPr>
        <w:spacing w:before="60"/>
      </w:pPr>
      <w:r>
        <w:rPr>
          <w:b/>
          <w:color w:val="1F3564"/>
          <w:sz w:val="18"/>
        </w:rPr>
        <w:t xml:space="preserve">Tabla 5. </w:t>
      </w:r>
      <w:r>
        <w:rPr>
          <w:color w:val="444444"/>
          <w:sz w:val="18"/>
        </w:rPr>
        <w:t>Autocorrelación espacial de los residuos departamentales en cada escenario, con matriz de cuatro vecinos más cercanos y contraste por permutaciones.</w:t>
      </w:r>
    </w:p>
    <w:p>
      <w:r>
        <w:t>La autocorrelación residual no se comporta de forma homogénea entre especificaciones. El escenario parsimonioso presenta la autocorrelación más alta y significativa con las tres matrices evaluadas, mientras que el escenario alternativo de vivienda no alcanza significancia con ninguna. Este contraste sugiere que la cobertura de energía eléctrica rural captura parte de la estructura territorial que el indicador compuesto de infraestructura no representa.</w:t>
      </w:r>
    </w:p>
    <w:p>
      <w:r>
        <w:rPr>
          <w:b/>
          <w:color w:val="1E6B52"/>
        </w:rPr>
        <w:t xml:space="preserve">Relevancia. </w:t>
      </w:r>
      <w:r>
        <w:t>Este hallazgo aporta un argumento sustantivo para conservar el tercer escenario, más allá de su función como simple variante. También matiza la justificación del componente espacial: la necesidad de modelar la dependencia depende de qué covariables se incluyan.</w:t>
      </w:r>
    </w:p>
    <w:p>
      <w:pPr>
        <w:pStyle w:val="Heading2"/>
      </w:pPr>
      <w:r>
        <w:t>4.5. Naturaleza de la dependencia espacial</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494"/>
            <w:shd w:val="clear" w:fill="1F3564"/>
          </w:tcPr>
          <w:p>
            <w:pPr>
              <w:jc w:val="center"/>
            </w:pPr>
            <w:r/>
            <w:r>
              <w:rPr>
                <w:b/>
                <w:color w:val="FFFFFF"/>
                <w:sz w:val="18"/>
              </w:rPr>
              <w:t>Matriz de vecindad</w:t>
            </w:r>
          </w:p>
        </w:tc>
        <w:tc>
          <w:tcPr>
            <w:tcW w:type="dxa" w:w="1644"/>
            <w:shd w:val="clear" w:fill="1F3564"/>
          </w:tcPr>
          <w:p>
            <w:pPr>
              <w:jc w:val="center"/>
            </w:pPr>
            <w:r/>
            <w:r>
              <w:rPr>
                <w:b/>
                <w:color w:val="FFFFFF"/>
                <w:sz w:val="18"/>
              </w:rPr>
              <w:t>AIC ordinario</w:t>
            </w:r>
          </w:p>
        </w:tc>
        <w:tc>
          <w:tcPr>
            <w:tcW w:type="dxa" w:w="1531"/>
            <w:shd w:val="clear" w:fill="1F3564"/>
          </w:tcPr>
          <w:p>
            <w:pPr>
              <w:jc w:val="center"/>
            </w:pPr>
            <w:r/>
            <w:r>
              <w:rPr>
                <w:b/>
                <w:color w:val="FFFFFF"/>
                <w:sz w:val="18"/>
              </w:rPr>
              <w:t>AIC rezago</w:t>
            </w:r>
          </w:p>
        </w:tc>
        <w:tc>
          <w:tcPr>
            <w:tcW w:type="dxa" w:w="1531"/>
            <w:shd w:val="clear" w:fill="1F3564"/>
          </w:tcPr>
          <w:p>
            <w:pPr>
              <w:jc w:val="center"/>
            </w:pPr>
            <w:r/>
            <w:r>
              <w:rPr>
                <w:b/>
                <w:color w:val="FFFFFF"/>
                <w:sz w:val="18"/>
              </w:rPr>
              <w:t>AIC error</w:t>
            </w:r>
          </w:p>
        </w:tc>
        <w:tc>
          <w:tcPr>
            <w:tcW w:type="dxa" w:w="1531"/>
            <w:shd w:val="clear" w:fill="1F3564"/>
          </w:tcPr>
          <w:p>
            <w:pPr>
              <w:jc w:val="center"/>
            </w:pPr>
            <w:r/>
            <w:r>
              <w:rPr>
                <w:b/>
                <w:color w:val="FFFFFF"/>
                <w:sz w:val="18"/>
              </w:rPr>
              <w:t>Parámetro λ</w:t>
            </w:r>
          </w:p>
        </w:tc>
      </w:tr>
      <w:tr>
        <w:tc>
          <w:tcPr>
            <w:tcW w:type="dxa" w:w="2494"/>
          </w:tcPr>
          <w:p>
            <w:pPr>
              <w:jc w:val="left"/>
            </w:pPr>
            <w:r/>
            <w:r>
              <w:rPr>
                <w:sz w:val="18"/>
              </w:rPr>
              <w:t>Vecinos más cercanos: 3</w:t>
            </w:r>
          </w:p>
        </w:tc>
        <w:tc>
          <w:tcPr>
            <w:tcW w:type="dxa" w:w="1644"/>
          </w:tcPr>
          <w:p>
            <w:pPr>
              <w:jc w:val="center"/>
            </w:pPr>
            <w:r/>
            <w:r>
              <w:rPr>
                <w:sz w:val="18"/>
              </w:rPr>
              <w:t>222,91</w:t>
            </w:r>
          </w:p>
        </w:tc>
        <w:tc>
          <w:tcPr>
            <w:tcW w:type="dxa" w:w="1531"/>
          </w:tcPr>
          <w:p>
            <w:pPr>
              <w:jc w:val="center"/>
            </w:pPr>
            <w:r/>
            <w:r>
              <w:rPr>
                <w:sz w:val="18"/>
              </w:rPr>
              <w:t>224,49</w:t>
            </w:r>
          </w:p>
        </w:tc>
        <w:tc>
          <w:tcPr>
            <w:tcW w:type="dxa" w:w="1531"/>
          </w:tcPr>
          <w:p>
            <w:pPr>
              <w:jc w:val="center"/>
            </w:pPr>
            <w:r/>
            <w:r>
              <w:rPr>
                <w:sz w:val="18"/>
              </w:rPr>
              <w:t>215,77</w:t>
            </w:r>
          </w:p>
        </w:tc>
        <w:tc>
          <w:tcPr>
            <w:tcW w:type="dxa" w:w="1531"/>
          </w:tcPr>
          <w:p>
            <w:pPr>
              <w:jc w:val="center"/>
            </w:pPr>
            <w:r/>
            <w:r>
              <w:rPr>
                <w:sz w:val="18"/>
              </w:rPr>
              <w:t>0,664</w:t>
            </w:r>
          </w:p>
        </w:tc>
      </w:tr>
      <w:tr>
        <w:tc>
          <w:tcPr>
            <w:tcW w:type="dxa" w:w="2494"/>
            <w:shd w:val="clear" w:fill="EEF2F7"/>
          </w:tcPr>
          <w:p>
            <w:pPr>
              <w:jc w:val="left"/>
            </w:pPr>
            <w:r/>
            <w:r>
              <w:rPr>
                <w:sz w:val="18"/>
              </w:rPr>
              <w:t>Vecinos más cercanos: 4</w:t>
            </w:r>
          </w:p>
        </w:tc>
        <w:tc>
          <w:tcPr>
            <w:tcW w:type="dxa" w:w="1644"/>
            <w:shd w:val="clear" w:fill="EEF2F7"/>
          </w:tcPr>
          <w:p>
            <w:pPr>
              <w:jc w:val="center"/>
            </w:pPr>
            <w:r/>
            <w:r>
              <w:rPr>
                <w:sz w:val="18"/>
              </w:rPr>
              <w:t>222,91</w:t>
            </w:r>
          </w:p>
        </w:tc>
        <w:tc>
          <w:tcPr>
            <w:tcW w:type="dxa" w:w="1531"/>
            <w:shd w:val="clear" w:fill="EEF2F7"/>
          </w:tcPr>
          <w:p>
            <w:pPr>
              <w:jc w:val="center"/>
            </w:pPr>
            <w:r/>
            <w:r>
              <w:rPr>
                <w:sz w:val="18"/>
              </w:rPr>
              <w:t>224,66</w:t>
            </w:r>
          </w:p>
        </w:tc>
        <w:tc>
          <w:tcPr>
            <w:tcW w:type="dxa" w:w="1531"/>
            <w:shd w:val="clear" w:fill="EEF2F7"/>
          </w:tcPr>
          <w:p>
            <w:pPr>
              <w:jc w:val="center"/>
            </w:pPr>
            <w:r/>
            <w:r>
              <w:rPr>
                <w:sz w:val="18"/>
              </w:rPr>
              <w:t>214,61</w:t>
            </w:r>
          </w:p>
        </w:tc>
        <w:tc>
          <w:tcPr>
            <w:tcW w:type="dxa" w:w="1531"/>
            <w:shd w:val="clear" w:fill="EEF2F7"/>
          </w:tcPr>
          <w:p>
            <w:pPr>
              <w:jc w:val="center"/>
            </w:pPr>
            <w:r/>
            <w:r>
              <w:rPr>
                <w:sz w:val="18"/>
              </w:rPr>
              <w:t>0,726</w:t>
            </w:r>
          </w:p>
        </w:tc>
      </w:tr>
      <w:tr>
        <w:tc>
          <w:tcPr>
            <w:tcW w:type="dxa" w:w="2494"/>
          </w:tcPr>
          <w:p>
            <w:pPr>
              <w:jc w:val="left"/>
            </w:pPr>
            <w:r/>
            <w:r>
              <w:rPr>
                <w:sz w:val="18"/>
              </w:rPr>
              <w:t>Vecinos más cercanos: 5</w:t>
            </w:r>
          </w:p>
        </w:tc>
        <w:tc>
          <w:tcPr>
            <w:tcW w:type="dxa" w:w="1644"/>
          </w:tcPr>
          <w:p>
            <w:pPr>
              <w:jc w:val="center"/>
            </w:pPr>
            <w:r/>
            <w:r>
              <w:rPr>
                <w:sz w:val="18"/>
              </w:rPr>
              <w:t>222,91</w:t>
            </w:r>
          </w:p>
        </w:tc>
        <w:tc>
          <w:tcPr>
            <w:tcW w:type="dxa" w:w="1531"/>
          </w:tcPr>
          <w:p>
            <w:pPr>
              <w:jc w:val="center"/>
            </w:pPr>
            <w:r/>
            <w:r>
              <w:rPr>
                <w:sz w:val="18"/>
              </w:rPr>
              <w:t>224,69</w:t>
            </w:r>
          </w:p>
        </w:tc>
        <w:tc>
          <w:tcPr>
            <w:tcW w:type="dxa" w:w="1531"/>
          </w:tcPr>
          <w:p>
            <w:pPr>
              <w:jc w:val="center"/>
            </w:pPr>
            <w:r/>
            <w:r>
              <w:rPr>
                <w:sz w:val="18"/>
              </w:rPr>
              <w:t>219,21</w:t>
            </w:r>
          </w:p>
        </w:tc>
        <w:tc>
          <w:tcPr>
            <w:tcW w:type="dxa" w:w="1531"/>
          </w:tcPr>
          <w:p>
            <w:pPr>
              <w:jc w:val="center"/>
            </w:pPr>
            <w:r/>
            <w:r>
              <w:rPr>
                <w:sz w:val="18"/>
              </w:rPr>
              <w:t>0,639</w:t>
            </w:r>
          </w:p>
        </w:tc>
      </w:tr>
    </w:tbl>
    <w:p/>
    <w:p>
      <w:pPr>
        <w:spacing w:before="60"/>
      </w:pPr>
      <w:r>
        <w:rPr>
          <w:b/>
          <w:color w:val="1F3564"/>
          <w:sz w:val="18"/>
        </w:rPr>
        <w:t xml:space="preserve">Tabla 6. </w:t>
      </w:r>
      <w:r>
        <w:rPr>
          <w:color w:val="444444"/>
          <w:sz w:val="18"/>
        </w:rPr>
        <w:t>Criterios de información de los modelos espaciales en el escenario parsimonioso, bajo tres definiciones de vecindad. El modelo de error espacial presenta el menor valor en todos los casos.</w:t>
      </w:r>
    </w:p>
    <w:p>
      <w:r>
        <w:t>El modelo de error espacial resulta preferido de manera consistente, con parámetros de dependencia elevados en el término de error frente a valores prácticamente nulos en la variable dependiente. Esto sugiere que la estructura espacial se asocia al componente no observado y no a un proceso de difusión entre dominios. La conclusión se mantiene al variar la definición de vecindad, lo que refuerza su robustez.</w:t>
      </w:r>
    </w:p>
    <w:p>
      <w:pPr>
        <w:pStyle w:val="Heading1"/>
      </w:pPr>
      <w:r>
        <w:t>5. Aspectos a resolver antes de la versión final</w:t>
      </w:r>
    </w:p>
    <w:tbl>
      <w:tblPr>
        <w:tblStyle w:val="TableGrid"/>
        <w:tblW w:type="auto" w:w="0"/>
        <w:jc w:val="center"/>
        <w:tblLook w:firstColumn="1" w:firstRow="1" w:lastColumn="0" w:lastRow="0" w:noHBand="0" w:noVBand="1" w:val="04A0"/>
      </w:tblPr>
      <w:tblGrid>
        <w:gridCol w:w="3173"/>
        <w:gridCol w:w="3173"/>
        <w:gridCol w:w="3173"/>
      </w:tblGrid>
      <w:tr>
        <w:tc>
          <w:tcPr>
            <w:tcW w:type="dxa" w:w="2835"/>
            <w:shd w:val="clear" w:fill="1F3564"/>
          </w:tcPr>
          <w:p>
            <w:pPr>
              <w:jc w:val="center"/>
            </w:pPr>
            <w:r/>
            <w:r>
              <w:rPr>
                <w:b/>
                <w:color w:val="FFFFFF"/>
                <w:sz w:val="18"/>
              </w:rPr>
              <w:t>Aspecto</w:t>
            </w:r>
          </w:p>
        </w:tc>
        <w:tc>
          <w:tcPr>
            <w:tcW w:type="dxa" w:w="4535"/>
            <w:shd w:val="clear" w:fill="1F3564"/>
          </w:tcPr>
          <w:p>
            <w:pPr>
              <w:jc w:val="center"/>
            </w:pPr>
            <w:r/>
            <w:r>
              <w:rPr>
                <w:b/>
                <w:color w:val="FFFFFF"/>
                <w:sz w:val="18"/>
              </w:rPr>
              <w:t>Acción requerida</w:t>
            </w:r>
          </w:p>
        </w:tc>
        <w:tc>
          <w:tcPr>
            <w:tcW w:type="dxa" w:w="1474"/>
            <w:shd w:val="clear" w:fill="1F3564"/>
          </w:tcPr>
          <w:p>
            <w:pPr>
              <w:jc w:val="center"/>
            </w:pPr>
            <w:r/>
            <w:r>
              <w:rPr>
                <w:b/>
                <w:color w:val="FFFFFF"/>
                <w:sz w:val="18"/>
              </w:rPr>
              <w:t>Prioridad</w:t>
            </w:r>
          </w:p>
        </w:tc>
      </w:tr>
      <w:tr>
        <w:tc>
          <w:tcPr>
            <w:tcW w:type="dxa" w:w="2835"/>
            <w:shd w:val="clear" w:fill="FDF0EE"/>
          </w:tcPr>
          <w:p>
            <w:pPr>
              <w:jc w:val="left"/>
            </w:pPr>
            <w:r/>
            <w:r>
              <w:rPr>
                <w:sz w:val="18"/>
              </w:rPr>
              <w:t>Validación del segundo modelo</w:t>
            </w:r>
          </w:p>
        </w:tc>
        <w:tc>
          <w:tcPr>
            <w:tcW w:type="dxa" w:w="4535"/>
            <w:shd w:val="clear" w:fill="FDF0EE"/>
          </w:tcPr>
          <w:p>
            <w:pPr>
              <w:jc w:val="center"/>
            </w:pPr>
            <w:r/>
            <w:r>
              <w:rPr>
                <w:sz w:val="18"/>
              </w:rPr>
              <w:t>Verificar el tratamiento del benchmarking en el dominio excluido</w:t>
            </w:r>
          </w:p>
        </w:tc>
        <w:tc>
          <w:tcPr>
            <w:tcW w:type="dxa" w:w="1474"/>
            <w:shd w:val="clear" w:fill="FDF0EE"/>
          </w:tcPr>
          <w:p>
            <w:pPr>
              <w:jc w:val="center"/>
            </w:pPr>
            <w:r/>
            <w:r>
              <w:rPr>
                <w:sz w:val="18"/>
              </w:rPr>
              <w:t>Alta</w:t>
            </w:r>
          </w:p>
        </w:tc>
      </w:tr>
      <w:tr>
        <w:tc>
          <w:tcPr>
            <w:tcW w:type="dxa" w:w="2835"/>
            <w:shd w:val="clear" w:fill="FDF0EE"/>
          </w:tcPr>
          <w:p>
            <w:pPr>
              <w:jc w:val="left"/>
            </w:pPr>
            <w:r/>
            <w:r>
              <w:rPr>
                <w:sz w:val="18"/>
              </w:rPr>
              <w:t>Alineación del recaudo de industria y comercio</w:t>
            </w:r>
          </w:p>
        </w:tc>
        <w:tc>
          <w:tcPr>
            <w:tcW w:type="dxa" w:w="4535"/>
            <w:shd w:val="clear" w:fill="FDF0EE"/>
          </w:tcPr>
          <w:p>
            <w:pPr>
              <w:jc w:val="center"/>
            </w:pPr>
            <w:r/>
            <w:r>
              <w:rPr>
                <w:sz w:val="18"/>
              </w:rPr>
              <w:t>Rehacer el cruce por código municipal y verificar coherencia</w:t>
            </w:r>
          </w:p>
        </w:tc>
        <w:tc>
          <w:tcPr>
            <w:tcW w:type="dxa" w:w="1474"/>
            <w:shd w:val="clear" w:fill="FDF0EE"/>
          </w:tcPr>
          <w:p>
            <w:pPr>
              <w:jc w:val="center"/>
            </w:pPr>
            <w:r/>
            <w:r>
              <w:rPr>
                <w:sz w:val="18"/>
              </w:rPr>
              <w:t>Alta</w:t>
            </w:r>
          </w:p>
        </w:tc>
      </w:tr>
      <w:tr>
        <w:tc>
          <w:tcPr>
            <w:tcW w:type="dxa" w:w="2835"/>
          </w:tcPr>
          <w:p>
            <w:pPr>
              <w:jc w:val="left"/>
            </w:pPr>
            <w:r/>
            <w:r>
              <w:rPr>
                <w:sz w:val="18"/>
              </w:rPr>
              <w:t>Decisión sobre luminosidad nocturna</w:t>
            </w:r>
          </w:p>
        </w:tc>
        <w:tc>
          <w:tcPr>
            <w:tcW w:type="dxa" w:w="4535"/>
          </w:tcPr>
          <w:p>
            <w:pPr>
              <w:jc w:val="center"/>
            </w:pPr>
            <w:r/>
            <w:r>
              <w:rPr>
                <w:sz w:val="18"/>
              </w:rPr>
              <w:t>Justificar su permanencia o sustituirla</w:t>
            </w:r>
          </w:p>
        </w:tc>
        <w:tc>
          <w:tcPr>
            <w:tcW w:type="dxa" w:w="1474"/>
          </w:tcPr>
          <w:p>
            <w:pPr>
              <w:jc w:val="center"/>
            </w:pPr>
            <w:r/>
            <w:r>
              <w:rPr>
                <w:sz w:val="18"/>
              </w:rPr>
              <w:t>Media</w:t>
            </w:r>
          </w:p>
        </w:tc>
      </w:tr>
      <w:tr>
        <w:tc>
          <w:tcPr>
            <w:tcW w:type="dxa" w:w="2835"/>
            <w:shd w:val="clear" w:fill="EEF2F7"/>
          </w:tcPr>
          <w:p>
            <w:pPr>
              <w:jc w:val="left"/>
            </w:pPr>
            <w:r/>
            <w:r>
              <w:rPr>
                <w:sz w:val="18"/>
              </w:rPr>
              <w:t>Dominios sin vecinos</w:t>
            </w:r>
          </w:p>
        </w:tc>
        <w:tc>
          <w:tcPr>
            <w:tcW w:type="dxa" w:w="4535"/>
            <w:shd w:val="clear" w:fill="EEF2F7"/>
          </w:tcPr>
          <w:p>
            <w:pPr>
              <w:jc w:val="center"/>
            </w:pPr>
            <w:r/>
            <w:r>
              <w:rPr>
                <w:sz w:val="18"/>
              </w:rPr>
              <w:t>Definir el tratamiento del archipiélago antes del modelo espacial</w:t>
            </w:r>
          </w:p>
        </w:tc>
        <w:tc>
          <w:tcPr>
            <w:tcW w:type="dxa" w:w="1474"/>
            <w:shd w:val="clear" w:fill="EEF2F7"/>
          </w:tcPr>
          <w:p>
            <w:pPr>
              <w:jc w:val="center"/>
            </w:pPr>
            <w:r/>
            <w:r>
              <w:rPr>
                <w:sz w:val="18"/>
              </w:rPr>
              <w:t>Media</w:t>
            </w:r>
          </w:p>
        </w:tc>
      </w:tr>
      <w:tr>
        <w:tc>
          <w:tcPr>
            <w:tcW w:type="dxa" w:w="2835"/>
          </w:tcPr>
          <w:p>
            <w:pPr>
              <w:jc w:val="left"/>
            </w:pPr>
            <w:r/>
            <w:r>
              <w:rPr>
                <w:sz w:val="18"/>
              </w:rPr>
              <w:t>Modelo espacial municipal</w:t>
            </w:r>
          </w:p>
        </w:tc>
        <w:tc>
          <w:tcPr>
            <w:tcW w:type="dxa" w:w="4535"/>
          </w:tcPr>
          <w:p>
            <w:pPr>
              <w:jc w:val="center"/>
            </w:pPr>
            <w:r/>
            <w:r>
              <w:rPr>
                <w:sz w:val="18"/>
              </w:rPr>
              <w:t>Evaluar identificabilidad con 33 restricciones agregadas</w:t>
            </w:r>
          </w:p>
        </w:tc>
        <w:tc>
          <w:tcPr>
            <w:tcW w:type="dxa" w:w="1474"/>
          </w:tcPr>
          <w:p>
            <w:pPr>
              <w:jc w:val="center"/>
            </w:pPr>
            <w:r/>
            <w:r>
              <w:rPr>
                <w:sz w:val="18"/>
              </w:rPr>
              <w:t>Media</w:t>
            </w:r>
          </w:p>
        </w:tc>
      </w:tr>
      <w:tr>
        <w:tc>
          <w:tcPr>
            <w:tcW w:type="dxa" w:w="2835"/>
            <w:shd w:val="clear" w:fill="EEF2F7"/>
          </w:tcPr>
          <w:p>
            <w:pPr>
              <w:jc w:val="left"/>
            </w:pPr>
            <w:r/>
            <w:r>
              <w:rPr>
                <w:sz w:val="18"/>
              </w:rPr>
              <w:t>Departamentos con mayor error</w:t>
            </w:r>
          </w:p>
        </w:tc>
        <w:tc>
          <w:tcPr>
            <w:tcW w:type="dxa" w:w="4535"/>
            <w:shd w:val="clear" w:fill="EEF2F7"/>
          </w:tcPr>
          <w:p>
            <w:pPr>
              <w:jc w:val="center"/>
            </w:pPr>
            <w:r/>
            <w:r>
              <w:rPr>
                <w:sz w:val="18"/>
              </w:rPr>
              <w:t>Definir cómo señalar su menor confiabilidad en la cartografía</w:t>
            </w:r>
          </w:p>
        </w:tc>
        <w:tc>
          <w:tcPr>
            <w:tcW w:type="dxa" w:w="1474"/>
            <w:shd w:val="clear" w:fill="EEF2F7"/>
          </w:tcPr>
          <w:p>
            <w:pPr>
              <w:jc w:val="center"/>
            </w:pPr>
            <w:r/>
            <w:r>
              <w:rPr>
                <w:sz w:val="18"/>
              </w:rPr>
              <w:t>Media</w:t>
            </w:r>
          </w:p>
        </w:tc>
      </w:tr>
    </w:tbl>
    <w:p/>
    <w:p>
      <w:pPr>
        <w:spacing w:before="60"/>
      </w:pPr>
      <w:r>
        <w:rPr>
          <w:b/>
          <w:color w:val="1F3564"/>
          <w:sz w:val="18"/>
        </w:rPr>
        <w:t xml:space="preserve">Tabla 7. </w:t>
      </w:r>
      <w:r>
        <w:rPr>
          <w:color w:val="444444"/>
          <w:sz w:val="18"/>
        </w:rPr>
        <w:t>Aspectos pendientes ordenados por prioridad. Las filas resaltadas corresponden a asuntos que pueden afectar la validez de los resultados reportados.</w:t>
      </w:r>
    </w:p>
    <w:p>
      <w:pPr>
        <w:pStyle w:val="Heading2"/>
      </w:pPr>
      <w:r>
        <w:t>5.1. Sobre el modelo espacial municipal</w:t>
      </w:r>
    </w:p>
    <w:p>
      <w:r>
        <w:t>Se construyó la matriz de contigüidad municipal a partir de la cartografía disponible, obteniendo una estructura de vecindad coherente con una teselación territorial: 1.101 municipios con un promedio de 5,89 vecinos y mediana de 6. Dos municipios resultaron sin vecinos por su condición insular o de frontera y fueron conectados a su unidad más próxima.</w:t>
      </w:r>
    </w:p>
    <w:p>
      <w:r>
        <w:t>El ajuste exploratorio de un modelo con efectos aleatorios municipales espacialmente estructurados mostró una limitación esperable: los efectos municipales se identifican únicamente a través de las restricciones agregadas departamentales disponibles, de modo que el problema resulta fuertemente subdeterminado. La desviación estándar del efecto espacial estimado fue cercana a cero, lo que indica que la información agregada no permite distinguir configuraciones municipales alternativas.</w:t>
      </w:r>
    </w:p>
    <w:p>
      <w:r>
        <w:rPr>
          <w:b/>
        </w:rPr>
        <w:t xml:space="preserve">Consecuencia. </w:t>
      </w:r>
      <w:r>
        <w:t>Este resultado no invalida la extensión espacial, pero indica que su formulación debe apoyarse en una penalización explícita o en información adicional a nivel municipal. Documentar esta limitación constituye en sí mismo un aporte, dado que delimita hasta dónde permite llegar la estructura de información disponible.</w:t>
      </w:r>
    </w:p>
    <w:p>
      <w:pPr>
        <w:pStyle w:val="Heading1"/>
      </w:pPr>
      <w:r>
        <w:t>6. Síntesis</w:t>
      </w:r>
    </w:p>
    <w:p>
      <w:r>
        <w:t>La verificación independiente confirma las conclusiones sustantivas del trabajo. El modelo lineal presenta mayor estabilidad entre especificaciones y menor error en dos de los tres escenarios. El modelo no lineal garantiza estimaciones dentro del rango válido del indicador y coherencia exacta con los agregados departamentales, propiedades que las métricas de error no capturan. La elevada correlación entre las estimaciones municipales de ambos métodos indica que las conclusiones territoriales no dependen críticamente de la elección entre ellos.</w:t>
      </w:r>
    </w:p>
    <w:p>
      <w:r>
        <w:t>El diagnóstico espacial confirma la presencia de dependencia significativa en el escenario de referencia y precisa su naturaleza: se asocia al componente no observado del modelo. Al mismo tiempo, la ausencia de significancia en el escenario alternativo de vivienda matiza esa conclusión y sugiere que parte de la estructura territorial puede capturarse mediante la selección de covariables.</w:t>
      </w:r>
    </w:p>
    <w:p>
      <w:r>
        <w:t>Queda pendiente resolver el tratamiento del benchmarking dentro del procedimiento de validación, dado que de ello depende la comparabilidad de las métricas entre ambos modelos.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jc w:val="left"/>
      <w:outlineLvl w:val="0"/>
    </w:pPr>
    <w:rPr>
      <w:rFonts w:asciiTheme="majorHAnsi" w:eastAsiaTheme="majorEastAsia" w:hAnsiTheme="majorHAnsi" w:cstheme="majorBidi" w:ascii="Calibri" w:hAnsi="Calibri"/>
      <w:b/>
      <w:bCs/>
      <w:color w:val="1F3564"/>
      <w:sz w:val="32"/>
      <w:szCs w:val="28"/>
    </w:rPr>
  </w:style>
  <w:style w:type="paragraph" w:styleId="Heading2">
    <w:name w:val="heading 2"/>
    <w:basedOn w:val="Normal"/>
    <w:next w:val="Normal"/>
    <w:link w:val="Heading2Char"/>
    <w:uiPriority w:val="9"/>
    <w:unhideWhenUsed/>
    <w:qFormat/>
    <w:rsid w:val="00FC693F"/>
    <w:pPr>
      <w:keepNext/>
      <w:keepLines/>
      <w:spacing w:before="220" w:after="100"/>
      <w:jc w:val="left"/>
      <w:outlineLvl w:val="1"/>
    </w:pPr>
    <w:rPr>
      <w:rFonts w:asciiTheme="majorHAnsi" w:eastAsiaTheme="majorEastAsia" w:hAnsiTheme="majorHAnsi" w:cstheme="majorBidi" w:ascii="Calibri" w:hAnsi="Calibri"/>
      <w:b/>
      <w:bCs/>
      <w:color w:val="1F3564"/>
      <w:sz w:val="25"/>
      <w:szCs w:val="26"/>
    </w:rPr>
  </w:style>
  <w:style w:type="paragraph" w:styleId="Heading3">
    <w:name w:val="heading 3"/>
    <w:basedOn w:val="Normal"/>
    <w:next w:val="Normal"/>
    <w:link w:val="Heading3Char"/>
    <w:uiPriority w:val="9"/>
    <w:unhideWhenUsed/>
    <w:qFormat/>
    <w:rsid w:val="00FC693F"/>
    <w:pPr>
      <w:keepNext/>
      <w:keepLines/>
      <w:spacing w:before="220" w:after="100"/>
      <w:jc w:val="left"/>
      <w:outlineLvl w:val="2"/>
    </w:pPr>
    <w:rPr>
      <w:rFonts w:asciiTheme="majorHAnsi" w:eastAsiaTheme="majorEastAsia" w:hAnsiTheme="majorHAnsi" w:cstheme="majorBidi" w:ascii="Calibri" w:hAnsi="Calibri"/>
      <w:b/>
      <w:bCs/>
      <w:color w:val="1F35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