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1000" w:before="2000"/>
        <w:jc w:val="center"/>
      </w:pPr>
      <w:r>
        <w:rPr>
          <w:b/>
          <w:bCs/>
          <w:color w:val="FFFFFF"/>
          <w:sz w:val="48"/>
          <w:szCs w:val="48"/>
        </w:rPr>
        <w:t xml:space="preserve">DACER S.A.C.</w:t>
      </w:r>
    </w:p>
    <w:p>
      <w:pPr>
        <w:spacing w:after="400" w:before="1000"/>
        <w:jc w:val="center"/>
      </w:pPr>
      <w:r>
        <w:rPr>
          <w:b/>
          <w:bCs/>
          <w:color w:val="1B3A6B"/>
          <w:sz w:val="56"/>
          <w:szCs w:val="56"/>
        </w:rPr>
        <w:t xml:space="preserve">Documento de Visión — AV-MCP Automator</w:t>
      </w:r>
    </w:p>
    <w:p>
      <w:pPr>
        <w:jc w:val="center"/>
      </w:pPr>
      <w:r>
        <w:t xml:space="preserve">Código: DOC-03
Fecha: Junio 2026
Versión: 1.0</w:t>
      </w:r>
    </w:p>
    <w:p>
      <w:r>
        <w:br/>
      </w:r>
    </w:p>
    <w:p>
      <w:r>
        <w:br/>
      </w:r>
    </w:p>
    <w:p>
      <w:pPr>
        <w:pStyle w:val="Heading1"/>
      </w:pPr>
      <w:r>
        <w:t xml:space="preserve">Documento de Visión — AV-MCP Automator</w:t>
      </w:r>
    </w:p>
    <w:p>
      <w:r>
        <w:rPr>
          <w:b/>
          <w:bCs/>
        </w:rPr>
        <w:t xml:space="preserve">Fase RUP:</w:t>
      </w:r>
      <w:r>
        <w:t xml:space="preserve"> Inicio</w:t>
      </w:r>
    </w:p>
    <w:p>
      <w:pPr>
        <w:pStyle w:val="Heading2"/>
      </w:pPr>
      <w:r>
        <w:t xml:space="preserve">1. Problema</w:t>
      </w:r>
    </w:p>
    <w:p>
      <w:r>
        <w:t xml:space="preserve">El desarrollo de interfaces gráficas en Crestron Construct consume una parte desproporcionada del tiempo del departamento de ingeniería de DACER S.A.C. Los especialistas AV deben maquetar manualmente cada pantalla táctil, arrastrando componentes, configurando colores y parámetros estándar de manera iterativa. Este proceso repetitivo impacta negativamente en los tiempos del proyecto general, creando cuellos de botella en la fase de programación e instalación de múltiples proyectos simultáneos.</w:t>
      </w:r>
    </w:p>
    <w:p>
      <w:pPr>
        <w:pStyle w:val="Heading2"/>
      </w:pPr>
      <w:r>
        <w:t xml:space="preserve">2. Propuesta de Solución</w:t>
      </w:r>
    </w:p>
    <w:p>
      <w:r>
        <w:t xml:space="preserve">La propuesta es desarrollar el </w:t>
      </w:r>
      <w:r>
        <w:rPr>
          <w:b/>
          <w:bCs/>
        </w:rPr>
        <w:t xml:space="preserve">AV-MCP Automator</w:t>
      </w:r>
      <w:r>
        <w:t xml:space="preserve">, un middleware que utiliza inteligencia artificial generativa (Gemini) para transformar descripciones de salas en lenguaje natural directamente en archivos nativos de diseño. A través del estándar Model Context Protocol (MCP), el sistema procesa los requerimientos espaciales del ingeniero, recupera plantillas de componentes (botones, sliders, texto) desde una base vectorial (LanceDB) y ensambla archivos </w:t>
      </w:r>
      <w:r>
        <w:rPr>
          <w:rFonts w:ascii="Courier New" w:cs="Courier New" w:eastAsia="Courier New" w:hAnsi="Courier New"/>
          <w:shd w:fill="F0F0F0" w:val="clear"/>
        </w:rPr>
        <w:t xml:space="preserve">.cuig</w:t>
      </w:r>
      <w:r>
        <w:t xml:space="preserve"> compatibles con el IDE Crestron Construct. El ingeniero simplemente abre la página generada y continúa su flujo de trabajo visual normal.</w:t>
      </w:r>
    </w:p>
    <w:p>
      <w:pPr>
        <w:pStyle w:val="Heading2"/>
      </w:pPr>
      <w:r>
        <w:t xml:space="preserve">3. Stakeholders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shd w:fill="1B3A6B" w:val="clear"/>
            <w:tcMar>
              <w:top w:type="dxa" w:w="100"/>
              <w:left w:type="dxa" w:w="100"/>
              <w:bottom w:type="dxa" w:w="100"/>
              <w:right w:type="dxa" w:w="100"/>
            </w:tcMar>
          </w:tcPr>
          <w:p>
            <w:pPr>
              <w:jc w:val="center"/>
            </w:pPr>
            <w:r>
              <w:rPr>
                <w:color w:val="FFFFFF"/>
              </w:rPr>
              <w:t xml:space="preserve">Stakeholder</w:t>
            </w:r>
          </w:p>
        </w:tc>
        <w:tc>
          <w:tcPr>
            <w:shd w:fill="1B3A6B" w:val="clear"/>
            <w:tcMar>
              <w:top w:type="dxa" w:w="100"/>
              <w:left w:type="dxa" w:w="100"/>
              <w:bottom w:type="dxa" w:w="100"/>
              <w:right w:type="dxa" w:w="100"/>
            </w:tcMar>
          </w:tcPr>
          <w:p>
            <w:pPr>
              <w:jc w:val="center"/>
            </w:pPr>
            <w:r>
              <w:rPr>
                <w:color w:val="FFFFFF"/>
              </w:rPr>
              <w:t xml:space="preserve">Rol</w:t>
            </w:r>
          </w:p>
        </w:tc>
        <w:tc>
          <w:tcPr>
            <w:shd w:fill="1B3A6B" w:val="clear"/>
            <w:tcMar>
              <w:top w:type="dxa" w:w="100"/>
              <w:left w:type="dxa" w:w="100"/>
              <w:bottom w:type="dxa" w:w="100"/>
              <w:right w:type="dxa" w:w="100"/>
            </w:tcMar>
          </w:tcPr>
          <w:p>
            <w:pPr>
              <w:jc w:val="center"/>
            </w:pPr>
            <w:r>
              <w:rPr>
                <w:color w:val="FFFFFF"/>
              </w:rPr>
              <w:t xml:space="preserve">Interés</w:t>
            </w:r>
          </w:p>
        </w:tc>
      </w:tr>
      <w:tr>
        <w:tc>
          <w:tcPr>
            <w:tcMar>
              <w:top w:type="dxa" w:w="100"/>
              <w:left w:type="dxa" w:w="100"/>
              <w:bottom w:type="dxa" w:w="100"/>
              <w:right w:type="dxa" w:w="100"/>
            </w:tcMar>
          </w:tcPr>
          <w:p>
            <w:r>
              <w:t xml:space="preserve">DACER S.A.C. (Empresa)</w:t>
            </w:r>
          </w:p>
        </w:tc>
        <w:tc>
          <w:tcPr>
            <w:tcMar>
              <w:top w:type="dxa" w:w="100"/>
              <w:left w:type="dxa" w:w="100"/>
              <w:bottom w:type="dxa" w:w="100"/>
              <w:right w:type="dxa" w:w="100"/>
            </w:tcMar>
          </w:tcPr>
          <w:p>
            <w:r>
              <w:t xml:space="preserve">Patrocinador / Beneficiario final</w:t>
            </w:r>
          </w:p>
        </w:tc>
        <w:tc>
          <w:tcPr>
            <w:tcMar>
              <w:top w:type="dxa" w:w="100"/>
              <w:left w:type="dxa" w:w="100"/>
              <w:bottom w:type="dxa" w:w="100"/>
              <w:right w:type="dxa" w:w="100"/>
            </w:tcMar>
          </w:tcPr>
          <w:p>
            <w:r>
              <w:t xml:space="preserve">Optimizar tiempos de ingeniería para poder atender más proyectos en paralelo; mantener costos operativos controlados.</w:t>
            </w:r>
          </w:p>
        </w:tc>
      </w:tr>
      <w:tr>
        <w:tc>
          <w:tcPr>
            <w:shd w:fill="D6E4F5" w:val="clear"/>
            <w:tcMar>
              <w:top w:type="dxa" w:w="100"/>
              <w:left w:type="dxa" w:w="100"/>
              <w:bottom w:type="dxa" w:w="100"/>
              <w:right w:type="dxa" w:w="100"/>
            </w:tcMar>
          </w:tcPr>
          <w:p>
            <w:r>
              <w:t xml:space="preserve">Ingenieros AV (Pro AV)</w:t>
            </w:r>
          </w:p>
        </w:tc>
        <w:tc>
          <w:tcPr>
            <w:shd w:fill="D6E4F5" w:val="clear"/>
            <w:tcMar>
              <w:top w:type="dxa" w:w="100"/>
              <w:left w:type="dxa" w:w="100"/>
              <w:bottom w:type="dxa" w:w="100"/>
              <w:right w:type="dxa" w:w="100"/>
            </w:tcMar>
          </w:tcPr>
          <w:p>
            <w:r>
              <w:t xml:space="preserve">Usuarios directos</w:t>
            </w:r>
          </w:p>
        </w:tc>
        <w:tc>
          <w:tcPr>
            <w:shd w:fill="D6E4F5" w:val="clear"/>
            <w:tcMar>
              <w:top w:type="dxa" w:w="100"/>
              <w:left w:type="dxa" w:w="100"/>
              <w:bottom w:type="dxa" w:w="100"/>
              <w:right w:type="dxa" w:w="100"/>
            </w:tcMar>
          </w:tcPr>
          <w:p>
            <w:r>
              <w:t xml:space="preserve">Reducir la carga de trabajo repetitiva en la creación de interfaces; mantener control total sobre el resultado final en su herramienta nativa.</w:t>
            </w:r>
          </w:p>
        </w:tc>
      </w:tr>
      <w:tr>
        <w:tc>
          <w:tcPr>
            <w:tcMar>
              <w:top w:type="dxa" w:w="100"/>
              <w:left w:type="dxa" w:w="100"/>
              <w:bottom w:type="dxa" w:w="100"/>
              <w:right w:type="dxa" w:w="100"/>
            </w:tcMar>
          </w:tcPr>
          <w:p>
            <w:r>
              <w:t xml:space="preserve">Tutora Universitaria</w:t>
            </w:r>
          </w:p>
        </w:tc>
        <w:tc>
          <w:tcPr>
            <w:tcMar>
              <w:top w:type="dxa" w:w="100"/>
              <w:left w:type="dxa" w:w="100"/>
              <w:bottom w:type="dxa" w:w="100"/>
              <w:right w:type="dxa" w:w="100"/>
            </w:tcMar>
          </w:tcPr>
          <w:p>
            <w:r>
              <w:t xml:space="preserve">Evaluadora académica</w:t>
            </w:r>
          </w:p>
        </w:tc>
        <w:tc>
          <w:tcPr>
            <w:tcMar>
              <w:top w:type="dxa" w:w="100"/>
              <w:left w:type="dxa" w:w="100"/>
              <w:bottom w:type="dxa" w:w="100"/>
              <w:right w:type="dxa" w:w="100"/>
            </w:tcMar>
          </w:tcPr>
          <w:p>
            <w:r>
              <w:t xml:space="preserve">Garantizar que el proyecto cumpla con los estándares metodológicos (RUP) y técnicos requeridos para la titulación del practicante.</w:t>
            </w:r>
          </w:p>
        </w:tc>
      </w:tr>
      <w:tr>
        <w:tc>
          <w:tcPr>
            <w:shd w:fill="D6E4F5" w:val="clear"/>
            <w:tcMar>
              <w:top w:type="dxa" w:w="100"/>
              <w:left w:type="dxa" w:w="100"/>
              <w:bottom w:type="dxa" w:w="100"/>
              <w:right w:type="dxa" w:w="100"/>
            </w:tcMar>
          </w:tcPr>
          <w:p>
            <w:r>
              <w:t xml:space="preserve">Brayan Delgado Oblitas</w:t>
            </w:r>
          </w:p>
        </w:tc>
        <w:tc>
          <w:tcPr>
            <w:shd w:fill="D6E4F5" w:val="clear"/>
            <w:tcMar>
              <w:top w:type="dxa" w:w="100"/>
              <w:left w:type="dxa" w:w="100"/>
              <w:bottom w:type="dxa" w:w="100"/>
              <w:right w:type="dxa" w:w="100"/>
            </w:tcMar>
          </w:tcPr>
          <w:p>
            <w:r>
              <w:t xml:space="preserve">Practicante / Desarrollador único</w:t>
            </w:r>
          </w:p>
        </w:tc>
        <w:tc>
          <w:tcPr>
            <w:shd w:fill="D6E4F5" w:val="clear"/>
            <w:tcMar>
              <w:top w:type="dxa" w:w="100"/>
              <w:left w:type="dxa" w:w="100"/>
              <w:bottom w:type="dxa" w:w="100"/>
              <w:right w:type="dxa" w:w="100"/>
            </w:tcMar>
          </w:tcPr>
          <w:p>
            <w:r>
              <w:t xml:space="preserve">Aplicar conocimientos en IA y desarrollo de software para resolver un problema empresarial real, cumpliendo con los objetivos académicos.</w:t>
            </w:r>
          </w:p>
        </w:tc>
      </w:tr>
    </w:tbl>
    <w:p>
      <w:pPr>
        <w:pStyle w:val="Heading2"/>
      </w:pPr>
      <w:r>
        <w:t xml:space="preserve">4. Objetivo Principal y Métricas de Éxito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shd w:fill="1B3A6B" w:val="clear"/>
            <w:tcMar>
              <w:top w:type="dxa" w:w="100"/>
              <w:left w:type="dxa" w:w="100"/>
              <w:bottom w:type="dxa" w:w="100"/>
              <w:right w:type="dxa" w:w="100"/>
            </w:tcMar>
          </w:tcPr>
          <w:p>
            <w:pPr>
              <w:jc w:val="center"/>
            </w:pPr>
            <w:r>
              <w:rPr>
                <w:color w:val="FFFFFF"/>
              </w:rPr>
              <w:t xml:space="preserve">Objetivo</w:t>
            </w:r>
          </w:p>
        </w:tc>
        <w:tc>
          <w:tcPr>
            <w:shd w:fill="1B3A6B" w:val="clear"/>
            <w:tcMar>
              <w:top w:type="dxa" w:w="100"/>
              <w:left w:type="dxa" w:w="100"/>
              <w:bottom w:type="dxa" w:w="100"/>
              <w:right w:type="dxa" w:w="100"/>
            </w:tcMar>
          </w:tcPr>
          <w:p>
            <w:pPr>
              <w:jc w:val="center"/>
            </w:pPr>
            <w:r>
              <w:rPr>
                <w:color w:val="FFFFFF"/>
              </w:rPr>
              <w:t xml:space="preserve">Métrica</w:t>
            </w:r>
          </w:p>
        </w:tc>
        <w:tc>
          <w:tcPr>
            <w:shd w:fill="1B3A6B" w:val="clear"/>
            <w:tcMar>
              <w:top w:type="dxa" w:w="100"/>
              <w:left w:type="dxa" w:w="100"/>
              <w:bottom w:type="dxa" w:w="100"/>
              <w:right w:type="dxa" w:w="100"/>
            </w:tcMar>
          </w:tcPr>
          <w:p>
            <w:pPr>
              <w:jc w:val="center"/>
            </w:pPr>
            <w:r>
              <w:rPr>
                <w:color w:val="FFFFFF"/>
              </w:rPr>
              <w:t xml:space="preserve">Valor Objetivo</w:t>
            </w:r>
          </w:p>
        </w:tc>
      </w:tr>
      <w:tr>
        <w:tc>
          <w:tcPr>
            <w:tcMar>
              <w:top w:type="dxa" w:w="100"/>
              <w:left w:type="dxa" w:w="100"/>
              <w:bottom w:type="dxa" w:w="100"/>
              <w:right w:type="dxa" w:w="100"/>
            </w:tcMar>
          </w:tcPr>
          <w:p>
            <w:r>
              <w:t xml:space="preserve">Eliminar el trabajo repetitivo de maquetación visual</w:t>
            </w:r>
          </w:p>
        </w:tc>
        <w:tc>
          <w:tcPr>
            <w:tcMar>
              <w:top w:type="dxa" w:w="100"/>
              <w:left w:type="dxa" w:w="100"/>
              <w:bottom w:type="dxa" w:w="100"/>
              <w:right w:type="dxa" w:w="100"/>
            </w:tcMar>
          </w:tcPr>
          <w:p>
            <w:r>
              <w:t xml:space="preserve">Reducción de tiempo de maquetación inicial</w:t>
            </w:r>
          </w:p>
        </w:tc>
        <w:tc>
          <w:tcPr>
            <w:tcMar>
              <w:top w:type="dxa" w:w="100"/>
              <w:left w:type="dxa" w:w="100"/>
              <w:bottom w:type="dxa" w:w="100"/>
              <w:right w:type="dxa" w:w="100"/>
            </w:tcMar>
          </w:tcPr>
          <w:p>
            <w:r>
              <w:t xml:space="preserve">40–60% de ahorro (generación en &lt; 10 seg vs ~45 min manual)</w:t>
            </w:r>
          </w:p>
        </w:tc>
      </w:tr>
      <w:tr>
        <w:tc>
          <w:tcPr>
            <w:shd w:fill="D6E4F5" w:val="clear"/>
            <w:tcMar>
              <w:top w:type="dxa" w:w="100"/>
              <w:left w:type="dxa" w:w="100"/>
              <w:bottom w:type="dxa" w:w="100"/>
              <w:right w:type="dxa" w:w="100"/>
            </w:tcMar>
          </w:tcPr>
          <w:p>
            <w:r>
              <w:t xml:space="preserve">Generar archivos compatibles con el IDE oficial</w:t>
            </w:r>
          </w:p>
        </w:tc>
        <w:tc>
          <w:tcPr>
            <w:shd w:fill="D6E4F5" w:val="clear"/>
            <w:tcMar>
              <w:top w:type="dxa" w:w="100"/>
              <w:left w:type="dxa" w:w="100"/>
              <w:bottom w:type="dxa" w:w="100"/>
              <w:right w:type="dxa" w:w="100"/>
            </w:tcMar>
          </w:tcPr>
          <w:p>
            <w:r>
              <w:t xml:space="preserve">Tasa de apertura sin errores en Crestron Construct</w:t>
            </w:r>
          </w:p>
        </w:tc>
        <w:tc>
          <w:tcPr>
            <w:shd w:fill="D6E4F5" w:val="clear"/>
            <w:tcMar>
              <w:top w:type="dxa" w:w="100"/>
              <w:left w:type="dxa" w:w="100"/>
              <w:bottom w:type="dxa" w:w="100"/>
              <w:right w:type="dxa" w:w="100"/>
            </w:tcMar>
          </w:tcPr>
          <w:p>
            <w:r>
              <w:t xml:space="preserve">100% de compatibilidad</w:t>
            </w:r>
          </w:p>
        </w:tc>
      </w:tr>
      <w:tr>
        <w:tc>
          <w:tcPr>
            <w:tcMar>
              <w:top w:type="dxa" w:w="100"/>
              <w:left w:type="dxa" w:w="100"/>
              <w:bottom w:type="dxa" w:w="100"/>
              <w:right w:type="dxa" w:w="100"/>
            </w:tcMar>
          </w:tcPr>
          <w:p>
            <w:r>
              <w:t xml:space="preserve">Mantener costo cero de licencias</w:t>
            </w:r>
          </w:p>
        </w:tc>
        <w:tc>
          <w:tcPr>
            <w:tcMar>
              <w:top w:type="dxa" w:w="100"/>
              <w:left w:type="dxa" w:w="100"/>
              <w:bottom w:type="dxa" w:w="100"/>
              <w:right w:type="dxa" w:w="100"/>
            </w:tcMar>
          </w:tcPr>
          <w:p>
            <w:r>
              <w:t xml:space="preserve">Presupuesto del proyecto</w:t>
            </w:r>
          </w:p>
        </w:tc>
        <w:tc>
          <w:tcPr>
            <w:tcMar>
              <w:top w:type="dxa" w:w="100"/>
              <w:left w:type="dxa" w:w="100"/>
              <w:bottom w:type="dxa" w:w="100"/>
              <w:right w:type="dxa" w:w="100"/>
            </w:tcMar>
          </w:tcPr>
          <w:p>
            <w:r>
              <w:t xml:space="preserve">S/. 0 (Capa gratuita y open source)</w:t>
            </w:r>
          </w:p>
        </w:tc>
      </w:tr>
    </w:tbl>
    <w:p>
      <w:pPr>
        <w:pStyle w:val="Heading2"/>
      </w:pPr>
      <w:r>
        <w:t xml:space="preserve">5. Alcance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shd w:fill="1B3A6B" w:val="clear"/>
            <w:tcMar>
              <w:top w:type="dxa" w:w="100"/>
              <w:left w:type="dxa" w:w="100"/>
              <w:bottom w:type="dxa" w:w="100"/>
              <w:right w:type="dxa" w:w="100"/>
            </w:tcMar>
          </w:tcPr>
          <w:p>
            <w:pPr>
              <w:jc w:val="center"/>
            </w:pPr>
            <w:r>
              <w:rPr>
                <w:color w:val="FFFFFF"/>
              </w:rPr>
              <w:t xml:space="preserve">In-Scope (Dentro del alcance)</w:t>
            </w:r>
          </w:p>
        </w:tc>
        <w:tc>
          <w:tcPr>
            <w:shd w:fill="1B3A6B" w:val="clear"/>
            <w:tcMar>
              <w:top w:type="dxa" w:w="100"/>
              <w:left w:type="dxa" w:w="100"/>
              <w:bottom w:type="dxa" w:w="100"/>
              <w:right w:type="dxa" w:w="100"/>
            </w:tcMar>
          </w:tcPr>
          <w:p>
            <w:pPr>
              <w:jc w:val="center"/>
            </w:pPr>
            <w:r>
              <w:rPr>
                <w:color w:val="FFFFFF"/>
              </w:rPr>
              <w:t xml:space="preserve">Out-of-Scope (Fuera del alcance)</w:t>
            </w:r>
          </w:p>
        </w:tc>
      </w:tr>
      <w:tr>
        <w:tc>
          <w:tcPr>
            <w:tcMar>
              <w:top w:type="dxa" w:w="100"/>
              <w:left w:type="dxa" w:w="100"/>
              <w:bottom w:type="dxa" w:w="100"/>
              <w:right w:type="dxa" w:w="100"/>
            </w:tcMar>
          </w:tcPr>
          <w:p>
            <w:r>
              <w:t xml:space="preserve">Generación de archivos nativos </w:t>
            </w:r>
            <w:r>
              <w:rPr>
                <w:rFonts w:ascii="Courier New" w:cs="Courier New" w:eastAsia="Courier New" w:hAnsi="Courier New"/>
                <w:shd w:fill="F0F0F0" w:val="clear"/>
              </w:rPr>
              <w:t xml:space="preserve">.cuig</w:t>
            </w:r>
            <w:r>
              <w:t xml:space="preserve"> mediante ensamblaje programático.</w:t>
            </w:r>
          </w:p>
        </w:tc>
        <w:tc>
          <w:tcPr>
            <w:tcMar>
              <w:top w:type="dxa" w:w="100"/>
              <w:left w:type="dxa" w:w="100"/>
              <w:bottom w:type="dxa" w:w="100"/>
              <w:right w:type="dxa" w:w="100"/>
            </w:tcMar>
          </w:tcPr>
          <w:p>
            <w:r>
              <w:t xml:space="preserve">Programación de la lógica de procesadores (SIMPL Windows, C#).</w:t>
            </w:r>
          </w:p>
        </w:tc>
      </w:tr>
      <w:tr>
        <w:tc>
          <w:tcPr>
            <w:shd w:fill="D6E4F5" w:val="clear"/>
            <w:tcMar>
              <w:top w:type="dxa" w:w="100"/>
              <w:left w:type="dxa" w:w="100"/>
              <w:bottom w:type="dxa" w:w="100"/>
              <w:right w:type="dxa" w:w="100"/>
            </w:tcMar>
          </w:tcPr>
          <w:p>
            <w:r>
              <w:t xml:space="preserve">Posicionamiento espacial calculado en CSS y asignación de atributos </w:t>
            </w:r>
            <w:r>
              <w:rPr>
                <w:rFonts w:ascii="Courier New" w:cs="Courier New" w:eastAsia="Courier New" w:hAnsi="Courier New"/>
                <w:shd w:fill="F0F0F0" w:val="clear"/>
              </w:rPr>
              <w:t xml:space="preserve">ccid_*</w:t>
            </w:r>
            <w:r>
              <w:t xml:space="preserve">.</w:t>
            </w:r>
          </w:p>
        </w:tc>
        <w:tc>
          <w:tcPr>
            <w:shd w:fill="D6E4F5" w:val="clear"/>
            <w:tcMar>
              <w:top w:type="dxa" w:w="100"/>
              <w:left w:type="dxa" w:w="100"/>
              <w:bottom w:type="dxa" w:w="100"/>
              <w:right w:type="dxa" w:w="100"/>
            </w:tcMar>
          </w:tcPr>
          <w:p>
            <w:r>
              <w:t xml:space="preserve">Asignación automática de Joins de control a hardware físico.</w:t>
            </w:r>
          </w:p>
        </w:tc>
      </w:tr>
      <w:tr>
        <w:tc>
          <w:tcPr>
            <w:tcMar>
              <w:top w:type="dxa" w:w="100"/>
              <w:left w:type="dxa" w:w="100"/>
              <w:bottom w:type="dxa" w:w="100"/>
              <w:right w:type="dxa" w:w="100"/>
            </w:tcMar>
          </w:tcPr>
          <w:p>
            <w:r>
              <w:t xml:space="preserve">Actualización del proyecto maestro (</w:t>
            </w:r>
            <w:r>
              <w:rPr>
                <w:rFonts w:ascii="Courier New" w:cs="Courier New" w:eastAsia="Courier New" w:hAnsi="Courier New"/>
                <w:shd w:fill="F0F0F0" w:val="clear"/>
              </w:rPr>
              <w:t xml:space="preserve">.cuib</w:t>
            </w:r>
            <w:r>
              <w:t xml:space="preserve">).</w:t>
            </w:r>
          </w:p>
        </w:tc>
        <w:tc>
          <w:tcPr>
            <w:tcMar>
              <w:top w:type="dxa" w:w="100"/>
              <w:left w:type="dxa" w:w="100"/>
              <w:bottom w:type="dxa" w:w="100"/>
              <w:right w:type="dxa" w:w="100"/>
            </w:tcMar>
          </w:tcPr>
          <w:p>
            <w:r>
              <w:t xml:space="preserve">Despliegue en los paneles táctiles físicos.</w:t>
            </w:r>
          </w:p>
        </w:tc>
      </w:tr>
      <w:tr>
        <w:tc>
          <w:tcPr>
            <w:shd w:fill="D6E4F5" w:val="clear"/>
            <w:tcMar>
              <w:top w:type="dxa" w:w="100"/>
              <w:left w:type="dxa" w:w="100"/>
              <w:bottom w:type="dxa" w:w="100"/>
              <w:right w:type="dxa" w:w="100"/>
            </w:tcMar>
          </w:tcPr>
          <w:p>
            <w:r>
              <w:t xml:space="preserve">Interfaz web en Streamlit para lenguaje natural y temas Pro AV.</w:t>
            </w:r>
          </w:p>
        </w:tc>
        <w:tc>
          <w:tcPr>
            <w:shd w:fill="D6E4F5" w:val="clear"/>
            <w:tcMar>
              <w:top w:type="dxa" w:w="100"/>
              <w:left w:type="dxa" w:w="100"/>
              <w:bottom w:type="dxa" w:w="100"/>
              <w:right w:type="dxa" w:w="100"/>
            </w:tcMar>
          </w:tcPr>
          <w:p>
            <w:r>
              <w:t xml:space="preserve">Interfaz para Extron o herramientas fuera del ecosistema Crestron.</w:t>
            </w:r>
          </w:p>
        </w:tc>
      </w:tr>
    </w:tbl>
    <w:p>
      <w:pPr>
        <w:pStyle w:val="Heading2"/>
      </w:pPr>
      <w:r>
        <w:t xml:space="preserve">6. Restricciones No Negociables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shd w:fill="1B3A6B" w:val="clear"/>
            <w:tcMar>
              <w:top w:type="dxa" w:w="100"/>
              <w:left w:type="dxa" w:w="100"/>
              <w:bottom w:type="dxa" w:w="100"/>
              <w:right w:type="dxa" w:w="100"/>
            </w:tcMar>
          </w:tcPr>
          <w:p>
            <w:pPr>
              <w:jc w:val="center"/>
            </w:pPr>
            <w:r>
              <w:rPr>
                <w:color w:val="FFFFFF"/>
              </w:rPr>
              <w:t xml:space="preserve">Restricción</w:t>
            </w:r>
          </w:p>
        </w:tc>
        <w:tc>
          <w:tcPr>
            <w:shd w:fill="1B3A6B" w:val="clear"/>
            <w:tcMar>
              <w:top w:type="dxa" w:w="100"/>
              <w:left w:type="dxa" w:w="100"/>
              <w:bottom w:type="dxa" w:w="100"/>
              <w:right w:type="dxa" w:w="100"/>
            </w:tcMar>
          </w:tcPr>
          <w:p>
            <w:pPr>
              <w:jc w:val="center"/>
            </w:pPr>
            <w:r>
              <w:rPr>
                <w:color w:val="FFFFFF"/>
              </w:rPr>
              <w:t xml:space="preserve">Tipo</w:t>
            </w:r>
          </w:p>
        </w:tc>
        <w:tc>
          <w:tcPr>
            <w:shd w:fill="1B3A6B" w:val="clear"/>
            <w:tcMar>
              <w:top w:type="dxa" w:w="100"/>
              <w:left w:type="dxa" w:w="100"/>
              <w:bottom w:type="dxa" w:w="100"/>
              <w:right w:type="dxa" w:w="100"/>
            </w:tcMar>
          </w:tcPr>
          <w:p>
            <w:pPr>
              <w:jc w:val="center"/>
            </w:pPr>
            <w:r>
              <w:rPr>
                <w:color w:val="FFFFFF"/>
              </w:rPr>
              <w:t xml:space="preserve">Impacto</w:t>
            </w:r>
          </w:p>
        </w:tc>
      </w:tr>
      <w:tr>
        <w:tc>
          <w:tcPr>
            <w:tcMar>
              <w:top w:type="dxa" w:w="100"/>
              <w:left w:type="dxa" w:w="100"/>
              <w:bottom w:type="dxa" w:w="100"/>
              <w:right w:type="dxa" w:w="100"/>
            </w:tcMar>
          </w:tcPr>
          <w:p>
            <w:r>
              <w:t xml:space="preserve">Hardware del practicante</w:t>
            </w:r>
          </w:p>
        </w:tc>
        <w:tc>
          <w:tcPr>
            <w:tcMar>
              <w:top w:type="dxa" w:w="100"/>
              <w:left w:type="dxa" w:w="100"/>
              <w:bottom w:type="dxa" w:w="100"/>
              <w:right w:type="dxa" w:w="100"/>
            </w:tcMar>
          </w:tcPr>
          <w:p>
            <w:r>
              <w:t xml:space="preserve">Técnica</w:t>
            </w:r>
          </w:p>
        </w:tc>
        <w:tc>
          <w:tcPr>
            <w:tcMar>
              <w:top w:type="dxa" w:w="100"/>
              <w:left w:type="dxa" w:w="100"/>
              <w:bottom w:type="dxa" w:w="100"/>
              <w:right w:type="dxa" w:w="100"/>
            </w:tcMar>
          </w:tcPr>
          <w:p>
            <w:r>
              <w:t xml:space="preserve">Máximo 16GB RAM compartida. Obliga al uso de modelos IA ligeros o APIs en la nube.</w:t>
            </w:r>
          </w:p>
        </w:tc>
      </w:tr>
      <w:tr>
        <w:tc>
          <w:tcPr>
            <w:shd w:fill="D6E4F5" w:val="clear"/>
            <w:tcMar>
              <w:top w:type="dxa" w:w="100"/>
              <w:left w:type="dxa" w:w="100"/>
              <w:bottom w:type="dxa" w:w="100"/>
              <w:right w:type="dxa" w:w="100"/>
            </w:tcMar>
          </w:tcPr>
          <w:p>
            <w:r>
              <w:t xml:space="preserve">Costo cero en licencias</w:t>
            </w:r>
          </w:p>
        </w:tc>
        <w:tc>
          <w:tcPr>
            <w:shd w:fill="D6E4F5" w:val="clear"/>
            <w:tcMar>
              <w:top w:type="dxa" w:w="100"/>
              <w:left w:type="dxa" w:w="100"/>
              <w:bottom w:type="dxa" w:w="100"/>
              <w:right w:type="dxa" w:w="100"/>
            </w:tcMar>
          </w:tcPr>
          <w:p>
            <w:r>
              <w:t xml:space="preserve">Presupuestaria</w:t>
            </w:r>
          </w:p>
        </w:tc>
        <w:tc>
          <w:tcPr>
            <w:shd w:fill="D6E4F5" w:val="clear"/>
            <w:tcMar>
              <w:top w:type="dxa" w:w="100"/>
              <w:left w:type="dxa" w:w="100"/>
              <w:bottom w:type="dxa" w:w="100"/>
              <w:right w:type="dxa" w:w="100"/>
            </w:tcMar>
          </w:tcPr>
          <w:p>
            <w:r>
              <w:t xml:space="preserve">Stack 100% open source y capas gratuitas (ej. Gemini Free Tier).</w:t>
            </w:r>
          </w:p>
        </w:tc>
      </w:tr>
      <w:tr>
        <w:tc>
          <w:tcPr>
            <w:tcMar>
              <w:top w:type="dxa" w:w="100"/>
              <w:left w:type="dxa" w:w="100"/>
              <w:bottom w:type="dxa" w:w="100"/>
              <w:right w:type="dxa" w:w="100"/>
            </w:tcMar>
          </w:tcPr>
          <w:p>
            <w:r>
              <w:t xml:space="preserve">Uso exclusivo en Frontend (CH5)</w:t>
            </w:r>
          </w:p>
        </w:tc>
        <w:tc>
          <w:tcPr>
            <w:tcMar>
              <w:top w:type="dxa" w:w="100"/>
              <w:left w:type="dxa" w:w="100"/>
              <w:bottom w:type="dxa" w:w="100"/>
              <w:right w:type="dxa" w:w="100"/>
            </w:tcMar>
          </w:tcPr>
          <w:p>
            <w:r>
              <w:t xml:space="preserve">Académica</w:t>
            </w:r>
          </w:p>
        </w:tc>
        <w:tc>
          <w:tcPr>
            <w:tcMar>
              <w:top w:type="dxa" w:w="100"/>
              <w:left w:type="dxa" w:w="100"/>
              <w:bottom w:type="dxa" w:w="100"/>
              <w:right w:type="dxa" w:w="100"/>
            </w:tcMar>
          </w:tcPr>
          <w:p>
            <w:r>
              <w:t xml:space="preserve">Todo el backend de procesadores físicos queda excluido del análisis.</w:t>
            </w:r>
          </w:p>
        </w:tc>
      </w:tr>
      <w:tr>
        <w:tc>
          <w:tcPr>
            <w:shd w:fill="D6E4F5" w:val="clear"/>
            <w:tcMar>
              <w:top w:type="dxa" w:w="100"/>
              <w:left w:type="dxa" w:w="100"/>
              <w:bottom w:type="dxa" w:w="100"/>
              <w:right w:type="dxa" w:w="100"/>
            </w:tcMar>
          </w:tcPr>
          <w:p>
            <w:r>
              <w:t xml:space="preserve">Límite de API (1,000 req/día)</w:t>
            </w:r>
          </w:p>
        </w:tc>
        <w:tc>
          <w:tcPr>
            <w:shd w:fill="D6E4F5" w:val="clear"/>
            <w:tcMar>
              <w:top w:type="dxa" w:w="100"/>
              <w:left w:type="dxa" w:w="100"/>
              <w:bottom w:type="dxa" w:w="100"/>
              <w:right w:type="dxa" w:w="100"/>
            </w:tcMar>
          </w:tcPr>
          <w:p>
            <w:r>
              <w:t xml:space="preserve">Técnica</w:t>
            </w:r>
          </w:p>
        </w:tc>
        <w:tc>
          <w:tcPr>
            <w:shd w:fill="D6E4F5" w:val="clear"/>
            <w:tcMar>
              <w:top w:type="dxa" w:w="100"/>
              <w:left w:type="dxa" w:w="100"/>
              <w:bottom w:type="dxa" w:w="100"/>
              <w:right w:type="dxa" w:w="100"/>
            </w:tcMar>
          </w:tcPr>
          <w:p>
            <w:r>
              <w:t xml:space="preserve">Arquitectura debe minimizar tamaño del payload (Patrón Compilador MCP).</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rPr>
      <w:t xml:space="preserve">AV-MCP Automator | DACER S.A.C.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B3A6B"/>
      <w:sz w:val="36"/>
      <w:szCs w:val="36"/>
    </w:rPr>
  </w:style>
  <w:style w:type="paragraph" w:styleId="Heading2">
    <w:name w:val="Heading 2"/>
    <w:basedOn w:val="Normal"/>
    <w:next w:val="Normal"/>
    <w:qFormat/>
    <w:pPr>
      <w:spacing w:after="150" w:before="300"/>
    </w:pPr>
    <w:rPr>
      <w:rFonts w:ascii="Calibri" w:cs="Calibri" w:eastAsia="Calibri" w:hAnsi="Calibri"/>
      <w:b/>
      <w:bCs/>
      <w:color w:val="1B3A6B"/>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2026-07-08T21:30:59.964Z</dcterms:created>
  <dcterms:modified xsi:type="dcterms:W3CDTF">2026-07-08T21:30:59.966Z</dcterms:modified>
</cp:coreProperties>
</file>

<file path=docProps/custom.xml><?xml version="1.0" encoding="utf-8"?>
<Properties xmlns="http://schemas.openxmlformats.org/officeDocument/2006/custom-properties" xmlns:vt="http://schemas.openxmlformats.org/officeDocument/2006/docPropsVTypes"/>
</file>