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ACTA DE SESIÓN DE CAPACITACIÓN</w:t>
      </w:r>
    </w:p>
    <w:p>
      <w:pPr>
        <w:jc w:val="center"/>
      </w:pPr>
      <w:r>
        <w:t xml:space="preserve">Código: ACTA-004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ACTA DE SESIÓN DE CAPACITACIÓN</w:t>
      </w:r>
    </w:p>
    <w:p>
      <w:r>
        <w:rPr>
          <w:b/>
          <w:bCs/>
        </w:rPr>
        <w:t xml:space="preserve">Código:</w:t>
      </w:r>
      <w:r>
        <w:t xml:space="preserve"> ACTA-004
</w:t>
      </w:r>
      <w:r>
        <w:rPr>
          <w:b/>
          <w:bCs/>
        </w:rPr>
        <w:t xml:space="preserve">Fecha:</w:t>
      </w:r>
      <w:r>
        <w:t xml:space="preserve"> 22 de junio de 2026
</w:t>
      </w:r>
      <w:r>
        <w:rPr>
          <w:b/>
          <w:bCs/>
        </w:rPr>
        <w:t xml:space="preserve">Lugar:</w:t>
      </w:r>
      <w:r>
        <w:t xml:space="preserve"> Oficinas de DACER S.A.C., Miraflores, Lima
</w:t>
      </w:r>
      <w:r>
        <w:rPr>
          <w:b/>
          <w:bCs/>
        </w:rPr>
        <w:t xml:space="preserve">Fase RUP:</w:t>
      </w:r>
      <w:r>
        <w:t xml:space="preserve"> Transición</w:t>
      </w:r>
    </w:p>
    <w:p>
      <w:pPr>
        <w:pStyle w:val="Heading2"/>
      </w:pPr>
      <w:r>
        <w:t xml:space="preserve">Asistentes</w:t>
      </w:r>
    </w:p>
    <w:p>
      <w:pPr>
        <w:pStyle w:val="ListParagraph"/>
        <w:numPr>
          <w:ilvl w:val="0"/>
          <w:numId w:val="1"/>
        </w:numPr>
      </w:pPr>
      <w:r>
        <w:t xml:space="preserve">Brayan Delgado Oblitas (Practicante / Capacitador)</w:t>
      </w:r>
    </w:p>
    <w:p>
      <w:pPr>
        <w:pStyle w:val="ListParagraph"/>
        <w:numPr>
          <w:ilvl w:val="0"/>
          <w:numId w:val="1"/>
        </w:numPr>
      </w:pPr>
      <w:r>
        <w:t xml:space="preserve">[Nombre del Ingeniero AV] (Ingeniero Pro AV / Capacitado)</w:t>
      </w:r>
    </w:p>
    <w:p>
      <w:pPr>
        <w:pStyle w:val="Heading2"/>
      </w:pPr>
      <w:r>
        <w:t xml:space="preserve">Objetivos de la sesión</w:t>
      </w:r>
    </w:p>
    <w:p>
      <w:r>
        <w:t xml:space="preserve">Transferir el conocimiento operativo del sistema AV-MCP Automator al personal de ingeniería de DACER S.A.C., permitiéndoles instalar, configurar y operar la herramienta para la generación diaria de interfaces visuales de control.</w:t>
      </w:r>
    </w:p>
    <w:p>
      <w:pPr>
        <w:pStyle w:val="Heading2"/>
      </w:pPr>
      <w:r>
        <w:t xml:space="preserve">Temas cubiertos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Instalación:</w:t>
      </w:r>
      <w:r>
        <w:t xml:space="preserve"> Despliegue del entorno virtual Python y ejecución de </w:t>
      </w:r>
      <w:r>
        <w:rPr>
          <w:rFonts w:ascii="Courier New" w:cs="Courier New" w:eastAsia="Courier New" w:hAnsi="Courier New"/>
          <w:shd w:fill="F0F0F0" w:val="clear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Configuración `.env`:</w:t>
      </w:r>
      <w:r>
        <w:t xml:space="preserve"> Asignación segura de la API Key de Gemini en el archivo de variables de entorno.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Selección de proyecto:</w:t>
      </w:r>
      <w:r>
        <w:t xml:space="preserve"> Uso del selector de directorios en Streamlit para apuntar a la carpeta del proyecto Crestron Construct activo.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Generación de página:</w:t>
      </w:r>
      <w:r>
        <w:t xml:space="preserve"> Redacción de prompts efectivos, selección de temas visuales Pro AV y elección de paneles táctiles.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Apertura en Construct:</w:t>
      </w:r>
      <w:r>
        <w:t xml:space="preserve"> Verificación del archivo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 recién generado en el IDE oficial y confirmación de editabilidad.</w:t>
      </w:r>
    </w:p>
    <w:p>
      <w:pPr>
        <w:pStyle w:val="Heading2"/>
      </w:pPr>
      <w:r>
        <w:t xml:space="preserve">Ejercicios realizados</w:t>
      </w:r>
    </w:p>
    <w:p>
      <w:r>
        <w:t xml:space="preserve">Durante la sesión, el ingeniero capacitado realizó las siguientes tareas de manera autónoma:</w:t>
      </w:r>
    </w:p>
    <w:p>
      <w:pPr>
        <w:pStyle w:val="ListParagraph"/>
        <w:numPr>
          <w:ilvl w:val="0"/>
          <w:numId w:val="1"/>
        </w:numPr>
      </w:pPr>
      <w:r>
        <w:t xml:space="preserve">Generación de una página de control de volumen para un panel TSW-770 usando la paleta "Corporate Blue".</w:t>
      </w:r>
    </w:p>
    <w:p>
      <w:pPr>
        <w:pStyle w:val="ListParagraph"/>
        <w:numPr>
          <w:ilvl w:val="0"/>
          <w:numId w:val="1"/>
        </w:numPr>
      </w:pPr>
      <w:r>
        <w:t xml:space="preserve">Generación de una página de control de proyector y pantalla motorizada para un panel TST-1080 usando la paleta "Dark Pro".</w:t>
      </w:r>
    </w:p>
    <w:p>
      <w:pPr>
        <w:pStyle w:val="Heading2"/>
      </w:pPr>
      <w:r>
        <w:t xml:space="preserve">Observaciones del capacitado</w:t>
      </w:r>
    </w:p>
    <w:p>
      <w:r>
        <w:t xml:space="preserve">El usuario destacó la rapidez del proceso (menos de 10 segundos por generación) y valoró positivamente que los elementos generados sean inmediatamente arrastrables y configurables dentro de su entorno de trabajo cotidiano, sin requerir conocimientos de código.</w:t>
      </w:r>
    </w:p>
    <w:p>
      <w:pPr>
        <w:pStyle w:val="Heading2"/>
      </w:pPr>
      <w:r>
        <w:t xml:space="preserve">Compromisos post-capacitación</w:t>
      </w:r>
    </w:p>
    <w:p>
      <w:pPr>
        <w:pStyle w:val="ListParagraph"/>
        <w:numPr>
          <w:ilvl w:val="0"/>
          <w:numId w:val="1"/>
        </w:numPr>
      </w:pPr>
      <w:r>
        <w:t xml:space="preserve">El practicante proveerá soporte de Nivel 1 durante la última semana del ciclo de prácticas ante cualquier duda operativa.</w:t>
      </w:r>
    </w:p>
    <w:p>
      <w:pPr>
        <w:pStyle w:val="ListParagraph"/>
        <w:numPr>
          <w:ilvl w:val="0"/>
          <w:numId w:val="1"/>
        </w:numPr>
      </w:pPr>
      <w:r>
        <w:t xml:space="preserve">El capacitado utilizará el Manual de Usuario y la Guía de Despliegue proporcionados como primer punto de consulta.</w:t>
      </w:r>
    </w:p>
    <w:p>
      <w:pPr>
        <w:pStyle w:val="Heading2"/>
      </w:pPr>
      <w:r>
        <w:t xml:space="preserve">Conformidad</w:t>
      </w:r>
    </w:p>
    <w:p>
      <w:r>
        <w:t xml:space="preserve">Mediante la firma de esta acta, se confirma la recepción satisfactoria de la capacitación y de los manuales operativos del sistema.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2026-07-08T21:29:41.528Z</dcterms:created>
  <dcterms:modified xsi:type="dcterms:W3CDTF">2026-07-08T21:29:41.528Z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