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Helm — Market Validation</w:t>
      </w:r>
    </w:p>
    <w:p>
      <w:pPr>
        <w:pStyle w:val="Subtitle"/>
      </w:pPr>
      <w:r>
        <w:t xml:space="preserve">Meeting-to-Governance Traceability: The Gap Nobody Has Filled</w:t>
      </w:r>
    </w:p>
    <w:p>
      <w:pPr>
        <w:pStyle w:val="Author"/>
      </w:pPr>
      <w:r>
        <w:t xml:space="preserve">Bryan Moyer</w:t>
      </w:r>
    </w:p>
    <w:p>
      <w:pPr>
        <w:pStyle w:val="Date"/>
      </w:pPr>
      <w:r>
        <w:t xml:space="preserve">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helm-market-validation"/>
    <w:p>
      <w:pPr>
        <w:pStyle w:val="Heading1"/>
      </w:pPr>
      <w:r>
        <w:t xml:space="preserve">Helm — Market Validation</w:t>
      </w:r>
    </w:p>
    <w:p>
      <w:pPr>
        <w:pStyle w:val="FirstParagraph"/>
      </w:pPr>
      <w:r>
        <w:rPr>
          <w:bCs/>
          <w:b/>
        </w:rPr>
        <w:t xml:space="preserve">The Case for Governance-First Portfolio Management</w:t>
      </w:r>
    </w:p>
    <w:p>
      <w:pPr>
        <w:pStyle w:val="BodyText"/>
      </w:pPr>
      <w:r>
        <w:rPr>
          <w:iCs/>
          <w:i/>
        </w:rPr>
        <w:t xml:space="preserve">v3.1 · 31 January 2026 · Compiled from 12 specialist research sub-agents across 3 rounds</w:t>
      </w:r>
    </w:p>
    <w:p>
      <w:pPr>
        <w:pStyle w:val="BlockText"/>
      </w:pPr>
      <w:r>
        <w:t xml:space="preserve">Currency convention: All figures in GBP (£) unless noted. Where data originates from USD-denominated sources, the original USD figure appears in parentheses. Conversion rate: £1 = $1.25 (Jan 2026 approximate).</w:t>
      </w:r>
    </w:p>
    <w:p>
      <w:r>
        <w:pict>
          <v:rect style="width:0;height:1.5pt" o:hralign="center" o:hrstd="t" o:hr="t"/>
        </w:pict>
      </w:r>
    </w:p>
    <w:bookmarkStart w:id="20" w:name="executive-summary"/>
    <w:p>
      <w:pPr>
        <w:pStyle w:val="Heading2"/>
      </w:pPr>
      <w:r>
        <w:t xml:space="preserve">1. Executive Summary</w:t>
      </w:r>
    </w:p>
    <w:p>
      <w:pPr>
        <w:pStyle w:val="FirstParagraph"/>
      </w:pPr>
      <w:r>
        <w:t xml:space="preserve">Eighty-two per cent of organisations now run a Project Management Office. Only thirty-seven per cent are satisfied with their project management maturity. Forty-two per cent spend a full working day — every week — manually collating project status reports.</w:t>
      </w:r>
    </w:p>
    <w:p>
      <w:pPr>
        <w:pStyle w:val="BodyText"/>
      </w:pPr>
      <w:r>
        <w:t xml:space="preserve">These numbers describe an industry that has adopted the</w:t>
      </w:r>
      <w:r>
        <w:t xml:space="preserve"> </w:t>
      </w:r>
      <w:r>
        <w:rPr>
          <w:iCs/>
          <w:i/>
        </w:rPr>
        <w:t xml:space="preserve">structure</w:t>
      </w:r>
      <w:r>
        <w:t xml:space="preserve"> </w:t>
      </w:r>
      <w:r>
        <w:t xml:space="preserve">of governance without adopting the</w:t>
      </w:r>
      <w:r>
        <w:t xml:space="preserve"> </w:t>
      </w:r>
      <w:r>
        <w:rPr>
          <w:iCs/>
          <w:i/>
        </w:rPr>
        <w:t xml:space="preserve">tools</w:t>
      </w:r>
      <w:r>
        <w:t xml:space="preserve"> </w:t>
      </w:r>
      <w:r>
        <w:t xml:space="preserve">to make it work.</w:t>
      </w:r>
    </w:p>
    <w:p>
      <w:pPr>
        <w:pStyle w:val="BodyText"/>
      </w:pPr>
      <w:r>
        <w:t xml:space="preserve">The PPM (Project Portfolio Management) software market is worth roughly £5.2 billion and growing at 12% annually. Enterprise vendors serve the top end well. Work management tools — Monday.com, Asana, Smartsheet — serve the bottom. But between them sits a gap: mid-market organisations with 50 to 500 employees who need real governance capability but cannot justify £80–160 per user per month for ServiceNow, and cannot force-fit a task tracker into a PMO framework.</w:t>
      </w:r>
    </w:p>
    <w:p>
      <w:pPr>
        <w:pStyle w:val="BodyText"/>
      </w:pPr>
      <w:r>
        <w:t xml:space="preserve">We analysed 16 PPM vendors across 10 governance capabilities. One column told the entire story.</w:t>
      </w:r>
    </w:p>
    <w:p>
      <w:pPr>
        <w:pStyle w:val="BodyText"/>
      </w:pPr>
      <w:r>
        <w:t xml:space="preserve">That column —</w:t>
      </w:r>
      <w:r>
        <w:t xml:space="preserve"> </w:t>
      </w:r>
      <w:r>
        <w:rPr>
          <w:iCs/>
          <w:i/>
        </w:rPr>
        <w:t xml:space="preserve">Meeting-to-Governance Traceability</w:t>
      </w:r>
      <w:r>
        <w:t xml:space="preserve"> </w:t>
      </w:r>
      <w:r>
        <w:t xml:space="preserve">— asked a simple question: does this tool extract structured governance artefacts from meetings and route them through approval workflows? Not tasks. Not action items. Governed, auditable RAID entries with ownership, severity ratings, review dates, and escalation paths.</w:t>
      </w:r>
    </w:p>
    <w:p>
      <w:pPr>
        <w:pStyle w:val="BodyText"/>
      </w:pPr>
      <w:r>
        <w:t xml:space="preserve">Fifteen vendors scored ❌. Microsoft scored ⚠️ — it extracts generic tasks from meetings via Copilot, but produces no governance artefacts. No vendor on the market does what Helm proposes to do.</w:t>
      </w:r>
    </w:p>
    <w:p>
      <w:pPr>
        <w:pStyle w:val="BodyText"/>
      </w:pPr>
      <w:r>
        <w:t xml:space="preserve">That is the white space. And the evidence behind it is what this document sets out to prove.</w:t>
      </w:r>
    </w:p>
    <w:p>
      <w:pPr>
        <w:pStyle w:val="BodyText"/>
      </w:pPr>
      <w:r>
        <w:rPr>
          <w:bCs/>
          <w:b/>
        </w:rPr>
        <w:t xml:space="preserve">What follows is built on:</w:t>
      </w:r>
      <w:r>
        <w:t xml:space="preserve"> </w:t>
      </w:r>
      <w:r>
        <w:t xml:space="preserve">- 16 PPM vendor analyses and 3 standalone meeting AI assessments</w:t>
      </w:r>
      <w:r>
        <w:t xml:space="preserve"> </w:t>
      </w:r>
      <w:r>
        <w:t xml:space="preserve">- 7 market research firms reconciled for sizing</w:t>
      </w:r>
      <w:r>
        <w:t xml:space="preserve"> </w:t>
      </w:r>
      <w:r>
        <w:t xml:space="preserve">- 6 industry surveys (PMI, Wellingtone, KPMG, Standish, and others)</w:t>
      </w:r>
      <w:r>
        <w:t xml:space="preserve"> </w:t>
      </w:r>
      <w:r>
        <w:t xml:space="preserve">- 40 sourced user complaints</w:t>
      </w:r>
      <w:r>
        <w:t xml:space="preserve"> </w:t>
      </w:r>
      <w:r>
        <w:t xml:space="preserve">- 5 regulatory frameworks assessed</w:t>
      </w:r>
      <w:r>
        <w:t xml:space="preserve"> </w:t>
      </w:r>
      <w:r>
        <w:t xml:space="preserve">- A 10-scenario SAM sensitivity analysis</w:t>
      </w:r>
      <w:r>
        <w:t xml:space="preserve"> </w:t>
      </w:r>
      <w:r>
        <w:t xml:space="preserve">- 23 citations with URLs and reliability ratings</w:t>
      </w:r>
    </w:p>
    <w:p>
      <w:pPr>
        <w:pStyle w:val="BodyText"/>
      </w:pPr>
      <w:r>
        <w:rPr>
          <w:bCs/>
          <w:b/>
        </w:rPr>
        <w:t xml:space="preserve">Our confidence in the key claims:</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Claim</w:t>
            </w:r>
          </w:p>
        </w:tc>
        <w:tc>
          <w:tcPr/>
          <w:p>
            <w:pPr>
              <w:pStyle w:val="Compact"/>
              <w:jc w:val="left"/>
            </w:pPr>
            <w:r>
              <w:t xml:space="preserve">Confidence</w:t>
            </w:r>
          </w:p>
        </w:tc>
        <w:tc>
          <w:tcPr/>
          <w:p>
            <w:pPr>
              <w:pStyle w:val="Compact"/>
              <w:jc w:val="left"/>
            </w:pPr>
            <w:r>
              <w:t xml:space="preserve">Evidence</w:t>
            </w:r>
          </w:p>
        </w:tc>
      </w:tr>
      <w:tr>
        <w:tc>
          <w:tcPr/>
          <w:p>
            <w:pPr>
              <w:pStyle w:val="Compact"/>
              <w:jc w:val="left"/>
            </w:pPr>
            <w:r>
              <w:t xml:space="preserve">Market size ~£5.2–5.9B ($6.5–7.4B)</w:t>
            </w:r>
          </w:p>
        </w:tc>
        <w:tc>
          <w:tcPr/>
          <w:p>
            <w:pPr>
              <w:pStyle w:val="Compact"/>
              <w:jc w:val="left"/>
            </w:pPr>
            <w:r>
              <w:rPr>
                <w:bCs/>
                <w:b/>
              </w:rPr>
              <w:t xml:space="preserve">HIGH</w:t>
            </w:r>
          </w:p>
        </w:tc>
        <w:tc>
          <w:tcPr/>
          <w:p>
            <w:pPr>
              <w:pStyle w:val="Compact"/>
              <w:jc w:val="left"/>
            </w:pPr>
            <w:r>
              <w:t xml:space="preserve">IDC vendor-reported revenue (bottom-up methodology)</w:t>
            </w:r>
          </w:p>
        </w:tc>
      </w:tr>
      <w:tr>
        <w:tc>
          <w:tcPr/>
          <w:p>
            <w:pPr>
              <w:pStyle w:val="Compact"/>
              <w:jc w:val="left"/>
            </w:pPr>
            <w:r>
              <w:t xml:space="preserve">Mid-market is underserved for governance</w:t>
            </w:r>
          </w:p>
        </w:tc>
        <w:tc>
          <w:tcPr/>
          <w:p>
            <w:pPr>
              <w:pStyle w:val="Compact"/>
              <w:jc w:val="left"/>
            </w:pPr>
            <w:r>
              <w:rPr>
                <w:bCs/>
                <w:b/>
              </w:rPr>
              <w:t xml:space="preserve">HIGH</w:t>
            </w:r>
          </w:p>
        </w:tc>
        <w:tc>
          <w:tcPr/>
          <w:p>
            <w:pPr>
              <w:pStyle w:val="Compact"/>
              <w:jc w:val="left"/>
            </w:pPr>
            <w:r>
              <w:t xml:space="preserve">40 sourced user complaints + Gartner/Wellingtone survey data</w:t>
            </w:r>
          </w:p>
        </w:tc>
      </w:tr>
      <w:tr>
        <w:tc>
          <w:tcPr/>
          <w:p>
            <w:pPr>
              <w:pStyle w:val="Compact"/>
              <w:jc w:val="left"/>
            </w:pPr>
            <w:r>
              <w:t xml:space="preserve">Meeting-to-governance traceability is white space</w:t>
            </w:r>
          </w:p>
        </w:tc>
        <w:tc>
          <w:tcPr/>
          <w:p>
            <w:pPr>
              <w:pStyle w:val="Compact"/>
              <w:jc w:val="left"/>
            </w:pPr>
            <w:r>
              <w:rPr>
                <w:bCs/>
                <w:b/>
              </w:rPr>
              <w:t xml:space="preserve">HIGH</w:t>
            </w:r>
          </w:p>
        </w:tc>
        <w:tc>
          <w:tcPr/>
          <w:p>
            <w:pPr>
              <w:pStyle w:val="Compact"/>
              <w:jc w:val="left"/>
            </w:pPr>
            <w:r>
              <w:t xml:space="preserve">❌ across all 16 vendors; basic meeting-to-task integrations acknowledged — gap is governance-grade extraction</w:t>
            </w:r>
          </w:p>
        </w:tc>
      </w:tr>
      <w:tr>
        <w:tc>
          <w:tcPr/>
          <w:p>
            <w:pPr>
              <w:pStyle w:val="Compact"/>
              <w:jc w:val="left"/>
            </w:pPr>
            <w:r>
              <w:t xml:space="preserve">Regulatory drivers force tool adoption</w:t>
            </w:r>
          </w:p>
        </w:tc>
        <w:tc>
          <w:tcPr/>
          <w:p>
            <w:pPr>
              <w:pStyle w:val="Compact"/>
              <w:jc w:val="left"/>
            </w:pPr>
            <w:r>
              <w:rPr>
                <w:bCs/>
                <w:b/>
              </w:rPr>
              <w:t xml:space="preserve">HIGH</w:t>
            </w:r>
          </w:p>
        </w:tc>
        <w:tc>
          <w:tcPr/>
          <w:p>
            <w:pPr>
              <w:pStyle w:val="Compact"/>
              <w:jc w:val="left"/>
            </w:pPr>
            <w:r>
              <w:t xml:space="preserve">FCA PS21/3 and EU DORA are mandatory compliance frameworks</w:t>
            </w:r>
          </w:p>
        </w:tc>
      </w:tr>
      <w:tr>
        <w:tc>
          <w:tcPr/>
          <w:p>
            <w:pPr>
              <w:pStyle w:val="Compact"/>
              <w:jc w:val="left"/>
            </w:pPr>
            <w:r>
              <w:t xml:space="preserve">AI is a top buyer priority</w:t>
            </w:r>
          </w:p>
        </w:tc>
        <w:tc>
          <w:tcPr/>
          <w:p>
            <w:pPr>
              <w:pStyle w:val="Compact"/>
              <w:jc w:val="left"/>
            </w:pPr>
            <w:r>
              <w:rPr>
                <w:bCs/>
                <w:b/>
              </w:rPr>
              <w:t xml:space="preserve">MEDIUM</w:t>
            </w:r>
          </w:p>
        </w:tc>
        <w:tc>
          <w:tcPr/>
          <w:p>
            <w:pPr>
              <w:pStyle w:val="Compact"/>
              <w:jc w:val="left"/>
            </w:pPr>
            <w:r>
              <w:t xml:space="preserve">82% executives expect AI impact (PMI), but not verified as</w:t>
            </w:r>
            <w:r>
              <w:t xml:space="preserve"> </w:t>
            </w:r>
            <w:r>
              <w:t xml:space="preserve">“</w:t>
            </w:r>
            <w:r>
              <w:t xml:space="preserve">#1</w:t>
            </w:r>
            <w:r>
              <w:t xml:space="preserve">”</w:t>
            </w:r>
          </w:p>
        </w:tc>
      </w:tr>
      <w:tr>
        <w:tc>
          <w:tcPr/>
          <w:p>
            <w:pPr>
              <w:pStyle w:val="Compact"/>
              <w:jc w:val="left"/>
            </w:pPr>
            <w:r>
              <w:t xml:space="preserve">Helm can capture £43–53M SAM</w:t>
            </w:r>
          </w:p>
        </w:tc>
        <w:tc>
          <w:tcPr/>
          <w:p>
            <w:pPr>
              <w:pStyle w:val="Compact"/>
              <w:jc w:val="left"/>
            </w:pPr>
            <w:r>
              <w:rPr>
                <w:bCs/>
                <w:b/>
              </w:rPr>
              <w:t xml:space="preserve">LOW-MEDIUM</w:t>
            </w:r>
          </w:p>
        </w:tc>
        <w:tc>
          <w:tcPr/>
          <w:p>
            <w:pPr>
              <w:pStyle w:val="Compact"/>
              <w:jc w:val="left"/>
            </w:pPr>
            <w:r>
              <w:t xml:space="preserve">Bottom-up estimate; realistic range £25M–£55M per sensitivity analysis</w:t>
            </w:r>
          </w:p>
        </w:tc>
      </w:tr>
    </w:tbl>
    <w:p>
      <w:pPr>
        <w:pStyle w:val="BodyText"/>
      </w:pPr>
      <w:r>
        <w:t xml:space="preserve">This is desk research — rigorous, multi-source, and independently critiqued, but desk research nonetheless. The path from A- to A runs through primary validation: customer interviews, willingness-to-pay testing, and beachhead verification. That work begins in February 2026.</w:t>
      </w:r>
    </w:p>
    <w:p>
      <w:pPr>
        <w:pStyle w:val="BodyText"/>
      </w:pPr>
      <w:r>
        <w:t xml:space="preserve">But the desk research alone tells a clear story. Read on.</w:t>
      </w:r>
    </w:p>
    <w:p>
      <w:r>
        <w:pict>
          <v:rect style="width:0;height:1.5pt" o:hralign="center" o:hrstd="t" o:hr="t"/>
        </w:pict>
      </w:r>
    </w:p>
    <w:bookmarkEnd w:id="20"/>
    <w:bookmarkStart w:id="21" w:name="Xcce5579505390b7df3f0ed4ce1194e2f3344d4e"/>
    <w:p>
      <w:pPr>
        <w:pStyle w:val="Heading2"/>
      </w:pPr>
      <w:r>
        <w:t xml:space="preserve">2. The Problem: A Paradox at the Heart of Every PMO</w:t>
      </w:r>
    </w:p>
    <w:p>
      <w:pPr>
        <w:pStyle w:val="FirstParagraph"/>
      </w:pPr>
      <w:r>
        <w:t xml:space="preserve">Here is the paradox: project management offices have never been more widespread, and they have never been more frustrated.</w:t>
      </w:r>
    </w:p>
    <w:p>
      <w:pPr>
        <w:pStyle w:val="BodyText"/>
      </w:pPr>
      <w:r>
        <w:t xml:space="preserve">The Wellingtone State of Project Management Survey — one of the most comprehensive annual studies of PMO practice — paints a picture of an industry running hard and going nowhere. Eighty-two per cent of organisations have a PMO. But satisfaction with project management maturity sits at just 37%. That is not a rounding error. That is a profession in which nearly two-thirds of practitioners feel their own discipline is underperforming.</w:t>
      </w:r>
    </w:p>
    <w:p>
      <w:pPr>
        <w:pStyle w:val="BodyText"/>
      </w:pPr>
      <w:r>
        <w:t xml:space="preserve">The problem is not a lack of effort. It is a lack of appropriate tooling.</w:t>
      </w:r>
    </w:p>
    <w:p>
      <w:pPr>
        <w:pStyle w:val="BodyText"/>
      </w:pPr>
      <w:r>
        <w:t xml:space="preserve">Consider what a mid-market PMO lead faces today. She manages a portfolio of 20 to 50 projects across three programmes. She needs RAID logs, decision records, escalation workflows, and board-ready governance reporting. She needs portfolio-level visibility — not just whether tasks are on track, but whether risks are being managed, decisions are being recorded, and accountability is clear.</w:t>
      </w:r>
    </w:p>
    <w:p>
      <w:pPr>
        <w:pStyle w:val="BodyText"/>
      </w:pPr>
      <w:r>
        <w:t xml:space="preserve">What does the market offer her?</w:t>
      </w:r>
    </w:p>
    <w:p>
      <w:pPr>
        <w:pStyle w:val="BodyText"/>
      </w:pPr>
      <w:r>
        <w:t xml:space="preserve">At the enterprise end: Planview, ServiceNow SPM, Clarity PPM, Planisware. Powerful tools with full governance capability. But they are designed for organisations with thousands of employees, dedicated PPM administrators, and IT departments that run six-month procurement cycles. They cost £40 to £160+ per user per month. For a 200-person organisation, even the low end means an annual software bill north of £100,000 — before implementation, training, or customisation.</w:t>
      </w:r>
    </w:p>
    <w:p>
      <w:pPr>
        <w:pStyle w:val="BodyText"/>
      </w:pPr>
      <w:r>
        <w:t xml:space="preserve">At the other end: Monday.com, Asana, Smartsheet. Elegant, modern, affordable. But fundamentally designed as work management tools, not governance platforms. They track tasks. They do not govern projects.</w:t>
      </w:r>
    </w:p>
    <w:p>
      <w:pPr>
        <w:pStyle w:val="BlockText"/>
      </w:pPr>
      <w:r>
        <w:rPr>
          <w:iCs/>
          <w:i/>
        </w:rPr>
        <w:t xml:space="preserve">“</w:t>
      </w:r>
      <w:r>
        <w:rPr>
          <w:iCs/>
          <w:i/>
        </w:rPr>
        <w:t xml:space="preserve">Asana for portfolio management lacks robust work intake, prioritisation scoring models, enterprise resource capacity planning, portfolio-level risk management.</w:t>
      </w:r>
      <w:r>
        <w:rPr>
          <w:iCs/>
          <w:i/>
        </w:rPr>
        <w:t xml:space="preserve">”</w:t>
      </w:r>
      <w:r>
        <w:t xml:space="preserve"> </w:t>
      </w:r>
      <w:r>
        <w:t xml:space="preserve">— Acuity PPM</w:t>
      </w:r>
    </w:p>
    <w:p>
      <w:pPr>
        <w:pStyle w:val="BlockText"/>
      </w:pPr>
      <w:r>
        <w:rPr>
          <w:iCs/>
          <w:i/>
        </w:rPr>
        <w:t xml:space="preserve">“</w:t>
      </w:r>
      <w:r>
        <w:rPr>
          <w:iCs/>
          <w:i/>
        </w:rPr>
        <w:t xml:space="preserve">The main request is to have some form of RAID logging.</w:t>
      </w:r>
      <w:r>
        <w:rPr>
          <w:iCs/>
          <w:i/>
        </w:rPr>
        <w:t xml:space="preserve">”</w:t>
      </w:r>
      <w:r>
        <w:t xml:space="preserve"> </w:t>
      </w:r>
      <w:r>
        <w:t xml:space="preserve">— Reddit r/projectmanagement</w:t>
      </w:r>
    </w:p>
    <w:p>
      <w:pPr>
        <w:pStyle w:val="BlockText"/>
      </w:pPr>
      <w:r>
        <w:rPr>
          <w:iCs/>
          <w:i/>
        </w:rPr>
        <w:t xml:space="preserve">“</w:t>
      </w:r>
      <w:r>
        <w:rPr>
          <w:iCs/>
          <w:i/>
        </w:rPr>
        <w:t xml:space="preserve">Managing the tool, not the project.</w:t>
      </w:r>
      <w:r>
        <w:rPr>
          <w:iCs/>
          <w:i/>
        </w:rPr>
        <w:t xml:space="preserve">”</w:t>
      </w:r>
      <w:r>
        <w:t xml:space="preserve"> </w:t>
      </w:r>
      <w:r>
        <w:t xml:space="preserve">— Reddit r/projectmanagement, on switching from Microsoft Project to Smartsheet</w:t>
      </w:r>
    </w:p>
    <w:p>
      <w:pPr>
        <w:pStyle w:val="FirstParagraph"/>
      </w:pPr>
      <w:r>
        <w:t xml:space="preserve">Between these two camps sits a gap. Not a theoretical gap. A gap you can hear in the voices of frustrated practitioners — and see in the data.</w:t>
      </w:r>
    </w:p>
    <w:p>
      <w:pPr>
        <w:pStyle w:val="BodyText"/>
      </w:pPr>
      <w:r>
        <w:t xml:space="preserve">Forty-two per cent of PMO professionals spend a full working day each week manually collating project reports. Roughly half have no access to real-time KPIs. Only 31% of projects are fully successful according to the Standish CHAOS report. And PMI estimates that poor project management wastes approximately £1.6 trillion globally per year.</w:t>
      </w:r>
    </w:p>
    <w:p>
      <w:pPr>
        <w:pStyle w:val="BodyText"/>
      </w:pPr>
      <w:r>
        <w:t xml:space="preserve">These are not the symptoms of a profession that has too many tools. They are the symptoms of a profession that has the</w:t>
      </w:r>
      <w:r>
        <w:t xml:space="preserve"> </w:t>
      </w:r>
      <w:r>
        <w:rPr>
          <w:iCs/>
          <w:i/>
        </w:rPr>
        <w:t xml:space="preserve">wrong</w:t>
      </w:r>
      <w:r>
        <w:t xml:space="preserve"> </w:t>
      </w:r>
      <w:r>
        <w:t xml:space="preserve">tools.</w:t>
      </w:r>
    </w:p>
    <w:p>
      <w:pPr>
        <w:pStyle w:val="BodyText"/>
      </w:pPr>
      <w:r>
        <w:t xml:space="preserve">The question is: what exactly is missing?</w:t>
      </w:r>
    </w:p>
    <w:p>
      <w:r>
        <w:pict>
          <v:rect style="width:0;height:1.5pt" o:hralign="center" o:hrstd="t" o:hr="t"/>
        </w:pict>
      </w:r>
    </w:p>
    <w:bookmarkEnd w:id="21"/>
    <w:bookmarkStart w:id="22" w:name="X7ac66c406cc2ee10713116ece8b12f4eb02ccb0"/>
    <w:p>
      <w:pPr>
        <w:pStyle w:val="Heading2"/>
      </w:pPr>
      <w:r>
        <w:t xml:space="preserve">3. The Gap: Meeting-to-Governance Traceability</w:t>
      </w:r>
    </w:p>
    <w:p>
      <w:pPr>
        <w:pStyle w:val="FirstParagraph"/>
      </w:pPr>
      <w:r>
        <w:t xml:space="preserve">Every important project decision begins in a meeting. Every significant risk surfaces in a conversation. Every critical escalation starts with someone saying</w:t>
      </w:r>
      <w:r>
        <w:t xml:space="preserve"> </w:t>
      </w:r>
      <w:r>
        <w:rPr>
          <w:iCs/>
          <w:i/>
        </w:rPr>
        <w:t xml:space="preserve">“</w:t>
      </w:r>
      <w:r>
        <w:rPr>
          <w:iCs/>
          <w:i/>
        </w:rPr>
        <w:t xml:space="preserve">we need to talk about this.</w:t>
      </w:r>
      <w:r>
        <w:rPr>
          <w:iCs/>
          <w:i/>
        </w:rPr>
        <w:t xml:space="preserve">”</w:t>
      </w:r>
    </w:p>
    <w:p>
      <w:pPr>
        <w:pStyle w:val="BodyText"/>
      </w:pPr>
      <w:r>
        <w:t xml:space="preserve">And then what happens?</w:t>
      </w:r>
    </w:p>
    <w:p>
      <w:pPr>
        <w:pStyle w:val="BodyText"/>
      </w:pPr>
      <w:r>
        <w:t xml:space="preserve">Someone takes notes. Someone else creates a task in Monday.com. A risk is mentioned and half-remembered. A decision is made and never formally recorded. Three weeks later, when a stakeholder asks</w:t>
      </w:r>
      <w:r>
        <w:t xml:space="preserve"> </w:t>
      </w:r>
      <w:r>
        <w:rPr>
          <w:iCs/>
          <w:i/>
        </w:rPr>
        <w:t xml:space="preserve">“</w:t>
      </w:r>
      <w:r>
        <w:rPr>
          <w:iCs/>
          <w:i/>
        </w:rPr>
        <w:t xml:space="preserve">who agreed to descope that requirement?</w:t>
      </w:r>
      <w:r>
        <w:rPr>
          <w:iCs/>
          <w:i/>
        </w:rPr>
        <w:t xml:space="preserve">”</w:t>
      </w:r>
      <w:r>
        <w:t xml:space="preserve">, nobody can say with certainty — because the meeting produced actions, but not governance.</w:t>
      </w:r>
    </w:p>
    <w:p>
      <w:pPr>
        <w:pStyle w:val="BodyText"/>
      </w:pPr>
      <w:r>
        <w:t xml:space="preserve">This is the specific gap Helm exists to close:</w:t>
      </w:r>
      <w:r>
        <w:t xml:space="preserve"> </w:t>
      </w:r>
      <w:r>
        <w:rPr>
          <w:bCs/>
          <w:b/>
        </w:rPr>
        <w:t xml:space="preserve">meeting-to-governance traceability</w:t>
      </w:r>
      <w:r>
        <w:t xml:space="preserve">.</w:t>
      </w:r>
    </w:p>
    <w:p>
      <w:pPr>
        <w:pStyle w:val="BodyText"/>
      </w:pPr>
      <w:r>
        <w:t xml:space="preserve">Let us be precise about what this means, because the definition matters.</w:t>
      </w:r>
    </w:p>
    <w:p>
      <w:pPr>
        <w:pStyle w:val="BodyText"/>
      </w:pPr>
      <w:r>
        <w:t xml:space="preserve">Several tools already connect meetings to tasks. Otter.ai and Fireflies.ai extract action items from transcripts and push them to Asana, Monday.com, or Jira. Microsoft Teams Premium generates AI meeting recaps with suggested follow-ups. These are useful products solving a real problem.</w:t>
      </w:r>
    </w:p>
    <w:p>
      <w:pPr>
        <w:pStyle w:val="BodyText"/>
      </w:pPr>
      <w:r>
        <w:t xml:space="preserve">But they operate at the</w:t>
      </w:r>
      <w:r>
        <w:t xml:space="preserve"> </w:t>
      </w:r>
      <w:r>
        <w:rPr>
          <w:iCs/>
          <w:i/>
        </w:rPr>
        <w:t xml:space="preserve">task</w:t>
      </w:r>
      <w:r>
        <w:t xml:space="preserve"> </w:t>
      </w:r>
      <w:r>
        <w:t xml:space="preserve">level.</w:t>
      </w:r>
    </w:p>
    <w:p>
      <w:pPr>
        <w:pStyle w:val="BodyText"/>
      </w:pPr>
      <w:r>
        <w:t xml:space="preserve">A task is a to-do:</w:t>
      </w:r>
      <w:r>
        <w:t xml:space="preserve"> </w:t>
      </w:r>
      <w:r>
        <w:t xml:space="preserve">“</w:t>
      </w:r>
      <w:r>
        <w:t xml:space="preserve">Sarah to update the budget spreadsheet by Friday.</w:t>
      </w:r>
      <w:r>
        <w:t xml:space="preserve">”</w:t>
      </w:r>
      <w:r>
        <w:t xml:space="preserve"> </w:t>
      </w:r>
      <w:r>
        <w:t xml:space="preserve">A task has an assignee and a deadline. That is its entire data model.</w:t>
      </w:r>
    </w:p>
    <w:p>
      <w:pPr>
        <w:pStyle w:val="BodyText"/>
      </w:pPr>
      <w:r>
        <w:t xml:space="preserve">A RAID entry is something fundamentally different. A risk has a severity, a probability, an owner, a review date, a mitigation strategy, and an escalation path. An issue has a classification against the project’s existing taxonomy, an impact assessment, and a resolution workflow. A decision has a rationale, a list of stakeholders consulted, an audit trail, and a formal record that can be retrieved two years later when a regulator asks</w:t>
      </w:r>
      <w:r>
        <w:t xml:space="preserve"> </w:t>
      </w:r>
      <w:r>
        <w:rPr>
          <w:iCs/>
          <w:i/>
        </w:rPr>
        <w:t xml:space="preserve">“</w:t>
      </w:r>
      <w:r>
        <w:rPr>
          <w:iCs/>
          <w:i/>
        </w:rPr>
        <w:t xml:space="preserve">why did you proceed with that approach?</w:t>
      </w:r>
      <w:r>
        <w:rPr>
          <w:iCs/>
          <w:i/>
        </w:rPr>
        <w:t xml:space="preserve">”</w:t>
      </w:r>
    </w:p>
    <w:p>
      <w:pPr>
        <w:pStyle w:val="BodyText"/>
      </w:pPr>
      <w:r>
        <w:t xml:space="preserve">Existing meeting AI tools create tasks. Helm’s white space is the automatic extraction of structured governance artefacts — RAID items, formal decision records, escalation triggers — from meeting transcripts, classified against a project’s existing risk and issue taxonomy, and routed through approval workflows before becoming first-class entities in the PPM system.</w:t>
      </w:r>
    </w:p>
    <w:p>
      <w:pPr>
        <w:pStyle w:val="BodyText"/>
      </w:pPr>
      <w:r>
        <w:t xml:space="preserve">No one does this. That claim is strong. The evidence is stronger.</w:t>
      </w:r>
    </w:p>
    <w:p>
      <w:r>
        <w:pict>
          <v:rect style="width:0;height:1.5pt" o:hralign="center" o:hrstd="t" o:hr="t"/>
        </w:pict>
      </w:r>
    </w:p>
    <w:bookmarkEnd w:id="22"/>
    <w:bookmarkStart w:id="23" w:name="Xe754edb09943b946b28937680c352c2d7ac8145"/>
    <w:p>
      <w:pPr>
        <w:pStyle w:val="Heading2"/>
      </w:pPr>
      <w:r>
        <w:t xml:space="preserve">4. The Evidence: Sixteen Vendors, One Devastating Column</w:t>
      </w:r>
    </w:p>
    <w:p>
      <w:pPr>
        <w:pStyle w:val="FirstParagraph"/>
      </w:pPr>
      <w:r>
        <w:t xml:space="preserve">We analysed 16 PPM vendors across 10 governance capabilities. The vendors span the full market: enterprise heavyweights (Planview, ServiceNow, Clarity PPM), mid-market players (Celoxis, Completix, Sciforma), and the dominant work management platforms (Monday.com, Asana, Smartsheet). We added Microsoft — the elephant in the room — as the 16th.</w:t>
      </w:r>
    </w:p>
    <w:p>
      <w:pPr>
        <w:pStyle w:val="BodyText"/>
      </w:pPr>
      <w:r>
        <w:t xml:space="preserve">Most columns in the matrix show a healthy spread. RAID management? Five vendors score ✅, several more ⚠️. Governance reporting? Nearly universal. API access? Standard. AI capabilities? Increasingly common.</w:t>
      </w:r>
    </w:p>
    <w:p>
      <w:pPr>
        <w:pStyle w:val="BodyText"/>
      </w:pPr>
      <w:r>
        <w:t xml:space="preserve">Then there is the Meeting-to-Governance Traceability column.</w:t>
      </w:r>
    </w:p>
    <w:tbl>
      <w:tblPr>
        <w:tblStyle w:val="Table"/>
        <w:tblW w:type="pct" w:w="5000"/>
        <w:tblLook w:firstRow="1" w:lastRow="0" w:firstColumn="0" w:lastColumn="0" w:noHBand="0" w:noVBand="0" w:val="0020"/>
        <w:jc w:val="start"/>
      </w:tblPr>
      <w:tblGrid>
        <w:gridCol w:w="653"/>
        <w:gridCol w:w="489"/>
        <w:gridCol w:w="979"/>
        <w:gridCol w:w="1143"/>
        <w:gridCol w:w="408"/>
        <w:gridCol w:w="1061"/>
        <w:gridCol w:w="1306"/>
        <w:gridCol w:w="326"/>
        <w:gridCol w:w="326"/>
        <w:gridCol w:w="571"/>
        <w:gridCol w:w="653"/>
      </w:tblGrid>
      <w:tr>
        <w:trPr>
          <w:tblHeader w:val="true"/>
        </w:trPr>
        <w:tc>
          <w:tcPr/>
          <w:p>
            <w:pPr>
              <w:pStyle w:val="Compact"/>
              <w:jc w:val="left"/>
            </w:pPr>
            <w:r>
              <w:t xml:space="preserve">Vendor</w:t>
            </w:r>
          </w:p>
        </w:tc>
        <w:tc>
          <w:tcPr/>
          <w:p>
            <w:pPr>
              <w:pStyle w:val="Compact"/>
              <w:jc w:val="left"/>
            </w:pPr>
            <w:r>
              <w:t xml:space="preserve">RAID</w:t>
            </w:r>
          </w:p>
        </w:tc>
        <w:tc>
          <w:tcPr/>
          <w:p>
            <w:pPr>
              <w:pStyle w:val="Compact"/>
              <w:jc w:val="left"/>
            </w:pPr>
            <w:r>
              <w:t xml:space="preserve">Escalation</w:t>
            </w:r>
          </w:p>
        </w:tc>
        <w:tc>
          <w:tcPr/>
          <w:p>
            <w:pPr>
              <w:pStyle w:val="Compact"/>
              <w:jc w:val="left"/>
            </w:pPr>
            <w:r>
              <w:t xml:space="preserve">Decision Log</w:t>
            </w:r>
          </w:p>
        </w:tc>
        <w:tc>
          <w:tcPr/>
          <w:p>
            <w:pPr>
              <w:pStyle w:val="Compact"/>
              <w:jc w:val="left"/>
            </w:pPr>
            <w:r>
              <w:t xml:space="preserve">P3O</w:t>
            </w:r>
          </w:p>
        </w:tc>
        <w:tc>
          <w:tcPr/>
          <w:p>
            <w:pPr>
              <w:pStyle w:val="Compact"/>
              <w:jc w:val="left"/>
            </w:pPr>
            <w:r>
              <w:t xml:space="preserve">Meeting→Gov†</w:t>
            </w:r>
          </w:p>
        </w:tc>
        <w:tc>
          <w:tcPr/>
          <w:p>
            <w:pPr>
              <w:pStyle w:val="Compact"/>
              <w:jc w:val="left"/>
            </w:pPr>
            <w:r>
              <w:t xml:space="preserve">Gov. Reporting</w:t>
            </w:r>
          </w:p>
        </w:tc>
        <w:tc>
          <w:tcPr/>
          <w:p>
            <w:pPr>
              <w:pStyle w:val="Compact"/>
              <w:jc w:val="left"/>
            </w:pPr>
            <w:r>
              <w:t xml:space="preserve">AI</w:t>
            </w:r>
          </w:p>
        </w:tc>
        <w:tc>
          <w:tcPr/>
          <w:p>
            <w:pPr>
              <w:pStyle w:val="Compact"/>
              <w:jc w:val="left"/>
            </w:pPr>
            <w:r>
              <w:t xml:space="preserve">API</w:t>
            </w:r>
          </w:p>
        </w:tc>
        <w:tc>
          <w:tcPr/>
          <w:p>
            <w:pPr>
              <w:pStyle w:val="Compact"/>
              <w:jc w:val="left"/>
            </w:pPr>
            <w:r>
              <w:t xml:space="preserve">Price</w:t>
            </w:r>
          </w:p>
        </w:tc>
        <w:tc>
          <w:tcPr/>
          <w:p>
            <w:pPr>
              <w:pStyle w:val="Compact"/>
              <w:jc w:val="left"/>
            </w:pPr>
            <w:r>
              <w:t xml:space="preserve">Target</w:t>
            </w:r>
          </w:p>
        </w:tc>
      </w:tr>
      <w:tr>
        <w:tc>
          <w:tcPr/>
          <w:p>
            <w:pPr>
              <w:pStyle w:val="Compact"/>
              <w:jc w:val="left"/>
            </w:pPr>
            <w:r>
              <w:rPr>
                <w:bCs/>
                <w:b/>
              </w:rPr>
              <w:t xml:space="preserve">Planview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~£15–20/u/m ($19–25)</w:t>
            </w:r>
          </w:p>
        </w:tc>
        <w:tc>
          <w:tcPr/>
          <w:p>
            <w:pPr>
              <w:pStyle w:val="Compact"/>
              <w:jc w:val="left"/>
            </w:pPr>
            <w:r>
              <w:t xml:space="preserve">Enterprise</w:t>
            </w:r>
          </w:p>
        </w:tc>
      </w:tr>
      <w:tr>
        <w:tc>
          <w:tcPr/>
          <w:p>
            <w:pPr>
              <w:pStyle w:val="Compact"/>
              <w:jc w:val="left"/>
            </w:pPr>
            <w:r>
              <w:rPr>
                <w:bCs/>
                <w:b/>
              </w:rPr>
              <w:t xml:space="preserve">ServiceNow SPM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~£80–160+/u/m ($100–200+)</w:t>
            </w:r>
          </w:p>
        </w:tc>
        <w:tc>
          <w:tcPr/>
          <w:p>
            <w:pPr>
              <w:pStyle w:val="Compact"/>
              <w:jc w:val="left"/>
            </w:pPr>
            <w:r>
              <w:t xml:space="preserve">Enterprise</w:t>
            </w:r>
          </w:p>
        </w:tc>
      </w:tr>
      <w:tr>
        <w:tc>
          <w:tcPr/>
          <w:p>
            <w:pPr>
              <w:pStyle w:val="Compact"/>
              <w:jc w:val="left"/>
            </w:pPr>
            <w:r>
              <w:rPr>
                <w:bCs/>
                <w:b/>
              </w:rPr>
              <w:t xml:space="preserve">Clarity PPM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~£23–48/u/m ($29–60)</w:t>
            </w:r>
          </w:p>
        </w:tc>
        <w:tc>
          <w:tcPr/>
          <w:p>
            <w:pPr>
              <w:pStyle w:val="Compact"/>
              <w:jc w:val="left"/>
            </w:pPr>
            <w:r>
              <w:t xml:space="preserve">Enterprise/Gov</w:t>
            </w:r>
          </w:p>
        </w:tc>
      </w:tr>
      <w:tr>
        <w:tc>
          <w:tcPr/>
          <w:p>
            <w:pPr>
              <w:pStyle w:val="Compact"/>
              <w:jc w:val="left"/>
            </w:pPr>
            <w:r>
              <w:rPr>
                <w:bCs/>
                <w:b/>
              </w:rPr>
              <w:t xml:space="preserve">Planisware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w:t>
            </w:r>
          </w:p>
        </w:tc>
        <w:tc>
          <w:tcPr/>
          <w:p>
            <w:pPr>
              <w:pStyle w:val="Compact"/>
              <w:jc w:val="left"/>
            </w:pPr>
            <w:r>
              <w:t xml:space="preserve">Enterprise</w:t>
            </w:r>
          </w:p>
        </w:tc>
      </w:tr>
      <w:tr>
        <w:tc>
          <w:tcPr/>
          <w:p>
            <w:pPr>
              <w:pStyle w:val="Compact"/>
              <w:jc w:val="left"/>
            </w:pPr>
            <w:r>
              <w:rPr>
                <w:bCs/>
                <w:b/>
              </w:rPr>
              <w:t xml:space="preserve">Microsoft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Free–£44/u/m ($0–55+$30 Copilot)</w:t>
            </w:r>
          </w:p>
        </w:tc>
        <w:tc>
          <w:tcPr/>
          <w:p>
            <w:pPr>
              <w:pStyle w:val="Compact"/>
              <w:jc w:val="left"/>
            </w:pPr>
            <w:r>
              <w:t xml:space="preserve">All sizes</w:t>
            </w:r>
          </w:p>
        </w:tc>
      </w:tr>
      <w:tr>
        <w:tc>
          <w:tcPr/>
          <w:p>
            <w:pPr>
              <w:pStyle w:val="Compact"/>
              <w:jc w:val="left"/>
            </w:pPr>
            <w:r>
              <w:rPr>
                <w:bCs/>
                <w:b/>
              </w:rPr>
              <w:t xml:space="preserve">Smartsheet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~£7–15/u/m ($9–19)</w:t>
            </w:r>
          </w:p>
        </w:tc>
        <w:tc>
          <w:tcPr/>
          <w:p>
            <w:pPr>
              <w:pStyle w:val="Compact"/>
              <w:jc w:val="left"/>
            </w:pPr>
            <w:r>
              <w:t xml:space="preserve">Mid→Ent</w:t>
            </w:r>
          </w:p>
        </w:tc>
      </w:tr>
      <w:tr>
        <w:tc>
          <w:tcPr/>
          <w:p>
            <w:pPr>
              <w:pStyle w:val="Compact"/>
              <w:jc w:val="left"/>
            </w:pPr>
            <w:r>
              <w:rPr>
                <w:bCs/>
                <w:b/>
              </w:rPr>
              <w:t xml:space="preserve">Monday.com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~£7–24/u/m ($9–30)</w:t>
            </w:r>
          </w:p>
        </w:tc>
        <w:tc>
          <w:tcPr/>
          <w:p>
            <w:pPr>
              <w:pStyle w:val="Compact"/>
              <w:jc w:val="left"/>
            </w:pPr>
            <w:r>
              <w:t xml:space="preserve">SMB→Mid</w:t>
            </w:r>
          </w:p>
        </w:tc>
      </w:tr>
      <w:tr>
        <w:tc>
          <w:tcPr/>
          <w:p>
            <w:pPr>
              <w:pStyle w:val="Compact"/>
              <w:jc w:val="left"/>
            </w:pPr>
            <w:r>
              <w:rPr>
                <w:bCs/>
                <w:b/>
              </w:rPr>
              <w:t xml:space="preserve">Asana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~£9–20/u/m ($11–25)</w:t>
            </w:r>
          </w:p>
        </w:tc>
        <w:tc>
          <w:tcPr/>
          <w:p>
            <w:pPr>
              <w:pStyle w:val="Compact"/>
              <w:jc w:val="left"/>
            </w:pPr>
            <w:r>
              <w:t xml:space="preserve">SMB→Ent</w:t>
            </w:r>
          </w:p>
        </w:tc>
      </w:tr>
      <w:tr>
        <w:tc>
          <w:tcPr/>
          <w:p>
            <w:pPr>
              <w:pStyle w:val="Compact"/>
              <w:jc w:val="left"/>
            </w:pPr>
            <w:r>
              <w:rPr>
                <w:bCs/>
                <w:b/>
              </w:rPr>
              <w:t xml:space="preserve">Celoxis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~£12–20/u/m ($15–25)</w:t>
            </w:r>
          </w:p>
        </w:tc>
        <w:tc>
          <w:tcPr/>
          <w:p>
            <w:pPr>
              <w:pStyle w:val="Compact"/>
              <w:jc w:val="left"/>
            </w:pPr>
            <w:r>
              <w:t xml:space="preserve">SMB→Mid</w:t>
            </w:r>
          </w:p>
        </w:tc>
      </w:tr>
      <w:tr>
        <w:tc>
          <w:tcPr/>
          <w:p>
            <w:pPr>
              <w:pStyle w:val="Compact"/>
              <w:jc w:val="left"/>
            </w:pPr>
            <w:r>
              <w:rPr>
                <w:bCs/>
                <w:b/>
              </w:rPr>
              <w:t xml:space="preserve">Completix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~£10/u/m ($12.50)</w:t>
            </w:r>
          </w:p>
        </w:tc>
        <w:tc>
          <w:tcPr/>
          <w:p>
            <w:pPr>
              <w:pStyle w:val="Compact"/>
              <w:jc w:val="left"/>
            </w:pPr>
            <w:r>
              <w:t xml:space="preserve">SMB→Mid</w:t>
            </w:r>
          </w:p>
        </w:tc>
      </w:tr>
      <w:tr>
        <w:tc>
          <w:tcPr/>
          <w:p>
            <w:pPr>
              <w:pStyle w:val="Compact"/>
              <w:jc w:val="left"/>
            </w:pPr>
            <w:r>
              <w:rPr>
                <w:bCs/>
                <w:b/>
              </w:rPr>
              <w:t xml:space="preserve">Tempo (Jira)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~£2–4/u/m ($2–5)</w:t>
            </w:r>
          </w:p>
        </w:tc>
        <w:tc>
          <w:tcPr/>
          <w:p>
            <w:pPr>
              <w:pStyle w:val="Compact"/>
              <w:jc w:val="left"/>
            </w:pPr>
            <w:r>
              <w:t xml:space="preserve">Mid (Jira)</w:t>
            </w:r>
          </w:p>
        </w:tc>
      </w:tr>
      <w:tr>
        <w:tc>
          <w:tcPr/>
          <w:p>
            <w:pPr>
              <w:pStyle w:val="Compact"/>
              <w:jc w:val="left"/>
            </w:pPr>
            <w:r>
              <w:rPr>
                <w:bCs/>
                <w:b/>
              </w:rPr>
              <w:t xml:space="preserve">Targetprocess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~£24–40/u/m ($30–50 est.)</w:t>
            </w:r>
          </w:p>
        </w:tc>
        <w:tc>
          <w:tcPr/>
          <w:p>
            <w:pPr>
              <w:pStyle w:val="Compact"/>
              <w:jc w:val="left"/>
            </w:pPr>
            <w:r>
              <w:t xml:space="preserve">Enterprise</w:t>
            </w:r>
          </w:p>
        </w:tc>
      </w:tr>
      <w:tr>
        <w:tc>
          <w:tcPr/>
          <w:p>
            <w:pPr>
              <w:pStyle w:val="Compact"/>
              <w:jc w:val="left"/>
            </w:pPr>
            <w:r>
              <w:rPr>
                <w:bCs/>
                <w:b/>
              </w:rPr>
              <w:t xml:space="preserve">Aha!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~£47–119/u/m ($59–149)</w:t>
            </w:r>
          </w:p>
        </w:tc>
        <w:tc>
          <w:tcPr/>
          <w:p>
            <w:pPr>
              <w:pStyle w:val="Compact"/>
              <w:jc w:val="left"/>
            </w:pPr>
            <w:r>
              <w:t xml:space="preserve">Mid→Ent</w:t>
            </w:r>
          </w:p>
        </w:tc>
      </w:tr>
      <w:tr>
        <w:tc>
          <w:tcPr/>
          <w:p>
            <w:pPr>
              <w:pStyle w:val="Compact"/>
              <w:jc w:val="left"/>
            </w:pPr>
            <w:r>
              <w:rPr>
                <w:bCs/>
                <w:b/>
              </w:rPr>
              <w:t xml:space="preserve">Productboard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~£15–47/u/m ($19–59)</w:t>
            </w:r>
          </w:p>
        </w:tc>
        <w:tc>
          <w:tcPr/>
          <w:p>
            <w:pPr>
              <w:pStyle w:val="Compact"/>
              <w:jc w:val="left"/>
            </w:pPr>
            <w:r>
              <w:t xml:space="preserve">Mid (Product)</w:t>
            </w:r>
          </w:p>
        </w:tc>
      </w:tr>
      <w:tr>
        <w:tc>
          <w:tcPr/>
          <w:p>
            <w:pPr>
              <w:pStyle w:val="Compact"/>
              <w:jc w:val="left"/>
            </w:pPr>
            <w:r>
              <w:rPr>
                <w:bCs/>
                <w:b/>
              </w:rPr>
              <w:t xml:space="preserve">Sciforma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~£12–72/u/m ($15–90)</w:t>
            </w:r>
          </w:p>
        </w:tc>
        <w:tc>
          <w:tcPr/>
          <w:p>
            <w:pPr>
              <w:pStyle w:val="Compact"/>
              <w:jc w:val="left"/>
            </w:pPr>
            <w:r>
              <w:t xml:space="preserve">Mid→Ent</w:t>
            </w:r>
          </w:p>
        </w:tc>
      </w:tr>
      <w:tr>
        <w:tc>
          <w:tcPr/>
          <w:p>
            <w:pPr>
              <w:pStyle w:val="Compact"/>
              <w:jc w:val="left"/>
            </w:pPr>
            <w:r>
              <w:rPr>
                <w:bCs/>
                <w:b/>
              </w:rPr>
              <w:t xml:space="preserve">KeyedIn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~£20/u/m ($25)</w:t>
            </w:r>
          </w:p>
        </w:tc>
        <w:tc>
          <w:tcPr/>
          <w:p>
            <w:pPr>
              <w:pStyle w:val="Compact"/>
              <w:jc w:val="left"/>
            </w:pPr>
            <w:r>
              <w:t xml:space="preserve">Mid→Ent</w:t>
            </w:r>
          </w:p>
        </w:tc>
      </w:tr>
    </w:tbl>
    <w:p>
      <w:pPr>
        <w:pStyle w:val="BodyText"/>
      </w:pPr>
      <w:r>
        <w:rPr>
          <w:bCs/>
          <w:b/>
        </w:rPr>
        <w:t xml:space="preserve">Legend:</w:t>
      </w:r>
      <w:r>
        <w:t xml:space="preserve"> </w:t>
      </w:r>
      <w:r>
        <w:t xml:space="preserve">✅ Native | ⚠️ Partial | ❌ Not available | ✅✅ Industry-leading</w:t>
      </w:r>
    </w:p>
    <w:p>
      <w:pPr>
        <w:pStyle w:val="BodyText"/>
      </w:pPr>
      <w:r>
        <w:rPr>
          <w:bCs/>
          <w:b/>
        </w:rPr>
        <w:t xml:space="preserve">† Meeting→Gov</w:t>
      </w:r>
      <w:r>
        <w:t xml:space="preserve"> </w:t>
      </w:r>
      <w:r>
        <w:t xml:space="preserve">assesses whether the vendor natively extracts</w:t>
      </w:r>
      <w:r>
        <w:t xml:space="preserve"> </w:t>
      </w:r>
      <w:r>
        <w:rPr>
          <w:iCs/>
          <w:i/>
        </w:rPr>
        <w:t xml:space="preserve">structured governance artefacts</w:t>
      </w:r>
      <w:r>
        <w:t xml:space="preserve"> </w:t>
      </w:r>
      <w:r>
        <w:t xml:space="preserve">— RAID items, formal decision records, escalation triggers — from meeting content and routes them through approval workflows. Does</w:t>
      </w:r>
      <w:r>
        <w:t xml:space="preserve"> </w:t>
      </w:r>
      <w:r>
        <w:rPr>
          <w:bCs/>
          <w:b/>
        </w:rPr>
        <w:t xml:space="preserve">not</w:t>
      </w:r>
      <w:r>
        <w:t xml:space="preserve"> </w:t>
      </w:r>
      <w:r>
        <w:t xml:space="preserve">assess basic meeting-to-task integration (Otter.ai, Fireflies.ai, Teams Premium). The ❌ across 15 vendors reflects the absence of governance-grade meeting extraction.</w:t>
      </w:r>
    </w:p>
    <w:p>
      <w:pPr>
        <w:pStyle w:val="BodyText"/>
      </w:pPr>
      <w:r>
        <w:t xml:space="preserve">*</w:t>
      </w:r>
      <w:r>
        <w:rPr>
          <w:bCs/>
          <w:b/>
        </w:rPr>
        <w:t xml:space="preserve">Microsoft</w:t>
      </w:r>
      <w:r>
        <w:t xml:space="preserve"> </w:t>
      </w:r>
      <w:r>
        <w:t xml:space="preserve">is the only vendor scoring ⚠️. Its Facilitator + Project Manager Agent creates tasks from meetings — but generic tasks, not RAID entries, decision records, or governance artefacts.</w:t>
      </w:r>
    </w:p>
    <w:p>
      <w:pPr>
        <w:pStyle w:val="BodyText"/>
      </w:pPr>
      <w:r>
        <w:t xml:space="preserve">Fifteen ❌ symbols and one ⚠️. That is not a competitive landscape with a gap in it. That is a capability that does not exist.</w:t>
      </w:r>
    </w:p>
    <w:p>
      <w:pPr>
        <w:pStyle w:val="BodyText"/>
      </w:pPr>
      <w:r>
        <w:t xml:space="preserve">It is worth pausing on the AI columns, too. Planview has Anvi for risk detection and sentiment analysis. ServiceNow has Now Assist for demand creation. Planisware has Oscar for Monte Carlo simulation. Monday.com and Asana both have AI content generation. These are not unsophisticated vendors — they are investing heavily in artificial intelligence. They have simply pointed their AI in different directions: resource optimisation, content generation, IT workflow automation. None of them have pointed it at the governance pipeline. None have built an AI that takes a meeting transcript and produces a classified, governed, auditable RAID entry.</w:t>
      </w:r>
    </w:p>
    <w:p>
      <w:pPr>
        <w:pStyle w:val="BodyText"/>
      </w:pPr>
      <w:r>
        <w:t xml:space="preserve">Every one of these vendors</w:t>
      </w:r>
      <w:r>
        <w:t xml:space="preserve"> </w:t>
      </w:r>
      <w:r>
        <w:rPr>
          <w:iCs/>
          <w:i/>
        </w:rPr>
        <w:t xml:space="preserve">could</w:t>
      </w:r>
      <w:r>
        <w:t xml:space="preserve"> </w:t>
      </w:r>
      <w:r>
        <w:t xml:space="preserve">build this capability. But they would need to retrofit it onto architectures designed for a different purpose — and sell it to buyer personas they already serve with different products. That is not a trivial pivot. It is a product strategy decision, and after reviewing 16 vendors, not one has made it.</w:t>
      </w:r>
    </w:p>
    <w:p>
      <w:pPr>
        <w:pStyle w:val="BodyText"/>
      </w:pPr>
      <w:r>
        <w:t xml:space="preserve">That is the evidence. Now let us talk about the size of the opportunity.</w:t>
      </w:r>
    </w:p>
    <w:p>
      <w:r>
        <w:pict>
          <v:rect style="width:0;height:1.5pt" o:hralign="center" o:hrstd="t" o:hr="t"/>
        </w:pict>
      </w:r>
    </w:p>
    <w:bookmarkEnd w:id="23"/>
    <w:bookmarkStart w:id="26" w:name="the-market-5.2-billion-and-growing"/>
    <w:p>
      <w:pPr>
        <w:pStyle w:val="Heading2"/>
      </w:pPr>
      <w:r>
        <w:t xml:space="preserve">5. The Market: £5.2 Billion and Growing</w:t>
      </w:r>
    </w:p>
    <w:p>
      <w:pPr>
        <w:pStyle w:val="FirstParagraph"/>
      </w:pPr>
      <w:r>
        <w:t xml:space="preserve">Market sizing can be a confidence trick. Stack enough research reports and you can make almost any number appear defensible. So let us be transparent about what we did, and where the uncertainty lies.</w:t>
      </w:r>
    </w:p>
    <w:p>
      <w:pPr>
        <w:pStyle w:val="BodyText"/>
      </w:pPr>
      <w:r>
        <w:t xml:space="preserve">We reconciled seven independent research firms covering the PPM software market. Their estimates range from £4.0 billion to £6.2 billion, depending on what they count.</w:t>
      </w:r>
    </w:p>
    <w:p>
      <w:pPr>
        <w:pStyle w:val="BodyText"/>
      </w:pPr>
      <w:r>
        <w:t xml:space="preserve">The range exists for legitimate reasons. MarketsandMarkets includes consulting and integration services alongside software — hence their higher figure of £6.2 billion. Grand View Research and Fortune Business Insights use narrower software-only definitions. IDC uses vendor-reported financials — the most defensible methodology for software market sizing, because it counts actual revenue rather than modelling potential spend.</w:t>
      </w:r>
    </w:p>
    <w:p>
      <w:pPr>
        <w:pStyle w:val="BodyText"/>
      </w:pPr>
      <w:r>
        <w:rPr>
          <w:bCs/>
          <w:b/>
        </w:rPr>
        <w:t xml:space="preserve">Our recommended anchor: IDC’s ~£5.2B ($6.5B, 2023)</w:t>
      </w:r>
      <w:r>
        <w:t xml:space="preserve">, estimated at ~£5.9B ($7.4B) for 2024 at 13.3% year-on-year growth.</w:t>
      </w:r>
    </w:p>
    <w:p>
      <w:pPr>
        <w:pStyle w:val="BodyText"/>
      </w:pPr>
      <w:r>
        <w:t xml:space="preserve">The growth trajectory is equally important. Overall PPM CAGR sits at 11.6–14.2% across multiple sources. Cloud PPM is growing faster at 16.85%, and now represents 69.45% of the market. The sector is not mature — it is accelerating, driven by AI adoption and the continued digitisation of project governance.</w:t>
      </w:r>
    </w:p>
    <w:bookmarkStart w:id="24" w:name="where-the-money-sits-and-where-it-doesnt"/>
    <w:p>
      <w:pPr>
        <w:pStyle w:val="Heading3"/>
      </w:pPr>
      <w:r>
        <w:t xml:space="preserve">Where the money sits — and where it doesn’t</w:t>
      </w:r>
    </w:p>
    <w:p>
      <w:pPr>
        <w:pStyle w:val="FirstParagraph"/>
      </w:pPr>
      <w:r>
        <w:t xml:space="preserve">The market’s structure reveals Helm’s opportunity more clearly than its size does.</w:t>
      </w:r>
    </w:p>
    <w:p>
      <w:pPr>
        <w:pStyle w:val="BodyText"/>
      </w:pPr>
      <w:r>
        <w:t xml:space="preserve">The top 10 vendors command 60.5% of spend, with Oracle leading at just 8.5% — a fragmented market by software standards. Large enterprises account for approximately 60–61% of total spend (cross-verified between Mordor Intelligence at 60.30% and Grand View Research at 61.0%).</w:t>
      </w:r>
    </w:p>
    <w:p>
      <w:pPr>
        <w:pStyle w:val="BodyText"/>
      </w:pPr>
      <w:r>
        <w:t xml:space="preserve">That leaves roughly 40% — approximately £2.1 billion — serving SMB and mid-market organisations. This is where governance tooling is weakest, buyer frustration is highest, and Helm is aimed.</w:t>
      </w:r>
    </w:p>
    <w:bookmarkEnd w:id="24"/>
    <w:bookmarkStart w:id="25" w:name="sizing-helms-opportunity"/>
    <w:p>
      <w:pPr>
        <w:pStyle w:val="Heading3"/>
      </w:pPr>
      <w:r>
        <w:t xml:space="preserve">Sizing Helm’s opportunity</w:t>
      </w:r>
    </w:p>
    <w:p>
      <w:pPr>
        <w:pStyle w:val="FirstParagraph"/>
      </w:pPr>
      <w:r>
        <w:t xml:space="preserve">The global figure matters for context, but Helm’s starting market is more specific. We built the SAM (Serviceable Addressable Market) bottom-up from UK business population data:</w:t>
      </w:r>
    </w:p>
    <w:p>
      <w:pPr>
        <w:numPr>
          <w:ilvl w:val="0"/>
          <w:numId w:val="1001"/>
        </w:numPr>
        <w:pStyle w:val="Compact"/>
      </w:pPr>
      <w:r>
        <w:t xml:space="preserve">Approximately 42,000 UK businesses have 50–500 employees (UK BPE 2024 — a firm number)</w:t>
      </w:r>
    </w:p>
    <w:p>
      <w:pPr>
        <w:numPr>
          <w:ilvl w:val="0"/>
          <w:numId w:val="1001"/>
        </w:numPr>
        <w:pStyle w:val="Compact"/>
      </w:pPr>
      <w:r>
        <w:t xml:space="preserve">Of those, an estimated 35–45% have formal programme governance needs</w:t>
      </w:r>
    </w:p>
    <w:p>
      <w:pPr>
        <w:numPr>
          <w:ilvl w:val="0"/>
          <w:numId w:val="1001"/>
        </w:numPr>
        <w:pStyle w:val="Compact"/>
      </w:pPr>
      <w:r>
        <w:t xml:space="preserve">Approximately 60% sit in target sectors (financial services, government, healthcare)</w:t>
      </w:r>
    </w:p>
    <w:p>
      <w:pPr>
        <w:numPr>
          <w:ilvl w:val="0"/>
          <w:numId w:val="1001"/>
        </w:numPr>
        <w:pStyle w:val="Compact"/>
      </w:pPr>
      <w:r>
        <w:t xml:space="preserve">That yields roughly 9,000–11,000 addressable firms</w:t>
      </w:r>
    </w:p>
    <w:p>
      <w:pPr>
        <w:numPr>
          <w:ilvl w:val="0"/>
          <w:numId w:val="1001"/>
        </w:numPr>
        <w:pStyle w:val="Compact"/>
      </w:pPr>
      <w:r>
        <w:t xml:space="preserve">At £400/month average revenue per account:</w:t>
      </w:r>
      <w:r>
        <w:t xml:space="preserve"> </w:t>
      </w:r>
      <w:r>
        <w:rPr>
          <w:bCs/>
          <w:b/>
        </w:rPr>
        <w:t xml:space="preserve">SAM ≈ £43M–53M per year</w:t>
      </w:r>
    </w:p>
    <w:p>
      <w:pPr>
        <w:pStyle w:val="FirstParagraph"/>
      </w:pPr>
      <w:r>
        <w:t xml:space="preserve">These numbers rest on three multiplied assumptions, and errors compound. Two of the three variables — the governance needs filter and the sector filter — are author estimates awaiting validation. We built a 10-scenario sensitivity analysis to show what the SAM looks like when those assumptions shift: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Gov. Needs</w:t>
            </w:r>
          </w:p>
        </w:tc>
        <w:tc>
          <w:tcPr/>
          <w:p>
            <w:pPr>
              <w:pStyle w:val="Compact"/>
              <w:jc w:val="left"/>
            </w:pPr>
            <w:r>
              <w:t xml:space="preserve">Sector</w:t>
            </w:r>
          </w:p>
        </w:tc>
        <w:tc>
          <w:tcPr/>
          <w:p>
            <w:pPr>
              <w:pStyle w:val="Compact"/>
              <w:jc w:val="left"/>
            </w:pPr>
            <w:r>
              <w:t xml:space="preserve">ARPU/mo</w:t>
            </w:r>
          </w:p>
        </w:tc>
        <w:tc>
          <w:tcPr/>
          <w:p>
            <w:pPr>
              <w:pStyle w:val="Compact"/>
              <w:jc w:val="left"/>
            </w:pPr>
            <w:r>
              <w:t xml:space="preserve">SAM (£M/yr)</w:t>
            </w:r>
          </w:p>
        </w:tc>
      </w:tr>
      <w:tr>
        <w:tc>
          <w:tcPr/>
          <w:p>
            <w:pPr>
              <w:pStyle w:val="Compact"/>
              <w:jc w:val="left"/>
            </w:pPr>
            <w:r>
              <w:t xml:space="preserve">1</w:t>
            </w:r>
          </w:p>
        </w:tc>
        <w:tc>
          <w:tcPr/>
          <w:p>
            <w:pPr>
              <w:pStyle w:val="Compact"/>
              <w:jc w:val="left"/>
            </w:pPr>
            <w:r>
              <w:t xml:space="preserve">Pessimistic floor</w:t>
            </w:r>
          </w:p>
        </w:tc>
        <w:tc>
          <w:tcPr/>
          <w:p>
            <w:pPr>
              <w:pStyle w:val="Compact"/>
              <w:jc w:val="left"/>
            </w:pPr>
            <w:r>
              <w:t xml:space="preserve">25%</w:t>
            </w:r>
          </w:p>
        </w:tc>
        <w:tc>
          <w:tcPr/>
          <w:p>
            <w:pPr>
              <w:pStyle w:val="Compact"/>
              <w:jc w:val="left"/>
            </w:pPr>
            <w:r>
              <w:t xml:space="preserve">40%</w:t>
            </w:r>
          </w:p>
        </w:tc>
        <w:tc>
          <w:tcPr/>
          <w:p>
            <w:pPr>
              <w:pStyle w:val="Compact"/>
              <w:jc w:val="left"/>
            </w:pPr>
            <w:r>
              <w:t xml:space="preserve">£200</w:t>
            </w:r>
          </w:p>
        </w:tc>
        <w:tc>
          <w:tcPr/>
          <w:p>
            <w:pPr>
              <w:pStyle w:val="Compact"/>
              <w:jc w:val="left"/>
            </w:pPr>
            <w:r>
              <w:rPr>
                <w:bCs/>
                <w:b/>
              </w:rPr>
              <w:t xml:space="preserve">£10.1M</w:t>
            </w:r>
          </w:p>
        </w:tc>
      </w:tr>
      <w:tr>
        <w:tc>
          <w:tcPr/>
          <w:p>
            <w:pPr>
              <w:pStyle w:val="Compact"/>
              <w:jc w:val="left"/>
            </w:pPr>
            <w:r>
              <w:t xml:space="preserve">2</w:t>
            </w:r>
          </w:p>
        </w:tc>
        <w:tc>
          <w:tcPr/>
          <w:p>
            <w:pPr>
              <w:pStyle w:val="Compact"/>
              <w:jc w:val="left"/>
            </w:pPr>
            <w:r>
              <w:t xml:space="preserve">Low-conservative</w:t>
            </w:r>
          </w:p>
        </w:tc>
        <w:tc>
          <w:tcPr/>
          <w:p>
            <w:pPr>
              <w:pStyle w:val="Compact"/>
              <w:jc w:val="left"/>
            </w:pPr>
            <w:r>
              <w:t xml:space="preserve">25%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£25.2M</w:t>
            </w:r>
          </w:p>
        </w:tc>
      </w:tr>
      <w:tr>
        <w:tc>
          <w:tcPr/>
          <w:p>
            <w:pPr>
              <w:pStyle w:val="Compact"/>
              <w:jc w:val="left"/>
            </w:pPr>
            <w:r>
              <w:t xml:space="preserve">3</w:t>
            </w:r>
          </w:p>
        </w:tc>
        <w:tc>
          <w:tcPr/>
          <w:p>
            <w:pPr>
              <w:pStyle w:val="Compact"/>
              <w:jc w:val="left"/>
            </w:pPr>
            <w:r>
              <w:t xml:space="preserve">Low gov, broad sector</w:t>
            </w:r>
          </w:p>
        </w:tc>
        <w:tc>
          <w:tcPr/>
          <w:p>
            <w:pPr>
              <w:pStyle w:val="Compact"/>
              <w:jc w:val="left"/>
            </w:pPr>
            <w:r>
              <w:t xml:space="preserve">25%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£35.3M</w:t>
            </w:r>
          </w:p>
        </w:tc>
      </w:tr>
      <w:tr>
        <w:tc>
          <w:tcPr/>
          <w:p>
            <w:pPr>
              <w:pStyle w:val="Compact"/>
              <w:jc w:val="left"/>
            </w:pPr>
            <w:r>
              <w:t xml:space="preserve">4</w:t>
            </w:r>
          </w:p>
        </w:tc>
        <w:tc>
          <w:tcPr/>
          <w:p>
            <w:pPr>
              <w:pStyle w:val="Compact"/>
              <w:jc w:val="left"/>
            </w:pPr>
            <w:r>
              <w:t xml:space="preserve">Base case (low)</w:t>
            </w:r>
          </w:p>
        </w:tc>
        <w:tc>
          <w:tcPr/>
          <w:p>
            <w:pPr>
              <w:pStyle w:val="Compact"/>
              <w:jc w:val="left"/>
            </w:pPr>
            <w:r>
              <w:t xml:space="preserve">35%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£42.3M</w:t>
            </w:r>
          </w:p>
        </w:tc>
      </w:tr>
      <w:tr>
        <w:tc>
          <w:tcPr/>
          <w:p>
            <w:pPr>
              <w:pStyle w:val="Compact"/>
              <w:jc w:val="left"/>
            </w:pPr>
            <w:r>
              <w:t xml:space="preserve">5</w:t>
            </w:r>
          </w:p>
        </w:tc>
        <w:tc>
          <w:tcPr/>
          <w:p>
            <w:pPr>
              <w:pStyle w:val="Compact"/>
              <w:jc w:val="left"/>
            </w:pPr>
            <w:r>
              <w:t xml:space="preserve">Base case (high)</w:t>
            </w:r>
          </w:p>
        </w:tc>
        <w:tc>
          <w:tcPr/>
          <w:p>
            <w:pPr>
              <w:pStyle w:val="Compact"/>
              <w:jc w:val="left"/>
            </w:pPr>
            <w:r>
              <w:t xml:space="preserve">45%</w:t>
            </w:r>
          </w:p>
        </w:tc>
        <w:tc>
          <w:tcPr/>
          <w:p>
            <w:pPr>
              <w:pStyle w:val="Compact"/>
              <w:jc w:val="left"/>
            </w:pPr>
            <w:r>
              <w:t xml:space="preserve">60%</w:t>
            </w:r>
          </w:p>
        </w:tc>
        <w:tc>
          <w:tcPr/>
          <w:p>
            <w:pPr>
              <w:pStyle w:val="Compact"/>
              <w:jc w:val="left"/>
            </w:pPr>
            <w:r>
              <w:t xml:space="preserve">£400</w:t>
            </w:r>
          </w:p>
        </w:tc>
        <w:tc>
          <w:tcPr/>
          <w:p>
            <w:pPr>
              <w:pStyle w:val="Compact"/>
              <w:jc w:val="left"/>
            </w:pPr>
            <w:r>
              <w:rPr>
                <w:bCs/>
                <w:b/>
              </w:rPr>
              <w:t xml:space="preserve">£54.4M</w:t>
            </w:r>
          </w:p>
        </w:tc>
      </w:tr>
      <w:tr>
        <w:tc>
          <w:tcPr/>
          <w:p>
            <w:pPr>
              <w:pStyle w:val="Compact"/>
              <w:jc w:val="left"/>
            </w:pPr>
            <w:r>
              <w:t xml:space="preserve">6</w:t>
            </w:r>
          </w:p>
        </w:tc>
        <w:tc>
          <w:tcPr/>
          <w:p>
            <w:pPr>
              <w:pStyle w:val="Compact"/>
              <w:jc w:val="left"/>
            </w:pPr>
            <w:r>
              <w:t xml:space="preserve">Higher gov, narrow sector</w:t>
            </w:r>
          </w:p>
        </w:tc>
        <w:tc>
          <w:tcPr/>
          <w:p>
            <w:pPr>
              <w:pStyle w:val="Compact"/>
              <w:jc w:val="left"/>
            </w:pPr>
            <w:r>
              <w:t xml:space="preserve">45%</w:t>
            </w:r>
          </w:p>
        </w:tc>
        <w:tc>
          <w:tcPr/>
          <w:p>
            <w:pPr>
              <w:pStyle w:val="Compact"/>
              <w:jc w:val="left"/>
            </w:pPr>
            <w:r>
              <w:t xml:space="preserve">50%</w:t>
            </w:r>
          </w:p>
        </w:tc>
        <w:tc>
          <w:tcPr/>
          <w:p>
            <w:pPr>
              <w:pStyle w:val="Compact"/>
              <w:jc w:val="left"/>
            </w:pPr>
            <w:r>
              <w:t xml:space="preserve">£400</w:t>
            </w:r>
          </w:p>
        </w:tc>
        <w:tc>
          <w:tcPr/>
          <w:p>
            <w:pPr>
              <w:pStyle w:val="Compact"/>
              <w:jc w:val="left"/>
            </w:pPr>
            <w:r>
              <w:rPr>
                <w:bCs/>
                <w:b/>
              </w:rPr>
              <w:t xml:space="preserve">£45.4M</w:t>
            </w:r>
          </w:p>
        </w:tc>
      </w:tr>
      <w:tr>
        <w:tc>
          <w:tcPr/>
          <w:p>
            <w:pPr>
              <w:pStyle w:val="Compact"/>
              <w:jc w:val="left"/>
            </w:pPr>
            <w:r>
              <w:t xml:space="preserve">7</w:t>
            </w:r>
          </w:p>
        </w:tc>
        <w:tc>
          <w:tcPr/>
          <w:p>
            <w:pPr>
              <w:pStyle w:val="Compact"/>
              <w:jc w:val="left"/>
            </w:pPr>
            <w:r>
              <w:t xml:space="preserve">Mid gov, premium ARPU</w:t>
            </w:r>
          </w:p>
        </w:tc>
        <w:tc>
          <w:tcPr/>
          <w:p>
            <w:pPr>
              <w:pStyle w:val="Compact"/>
              <w:jc w:val="left"/>
            </w:pPr>
            <w:r>
              <w:t xml:space="preserve">35%</w:t>
            </w:r>
          </w:p>
        </w:tc>
        <w:tc>
          <w:tcPr/>
          <w:p>
            <w:pPr>
              <w:pStyle w:val="Compact"/>
              <w:jc w:val="left"/>
            </w:pPr>
            <w:r>
              <w:t xml:space="preserve">50%</w:t>
            </w:r>
          </w:p>
        </w:tc>
        <w:tc>
          <w:tcPr/>
          <w:p>
            <w:pPr>
              <w:pStyle w:val="Compact"/>
              <w:jc w:val="left"/>
            </w:pPr>
            <w:r>
              <w:t xml:space="preserve">£600</w:t>
            </w:r>
          </w:p>
        </w:tc>
        <w:tc>
          <w:tcPr/>
          <w:p>
            <w:pPr>
              <w:pStyle w:val="Compact"/>
              <w:jc w:val="left"/>
            </w:pPr>
            <w:r>
              <w:rPr>
                <w:bCs/>
                <w:b/>
              </w:rPr>
              <w:t xml:space="preserve">£52.9M</w:t>
            </w:r>
          </w:p>
        </w:tc>
      </w:tr>
      <w:tr>
        <w:tc>
          <w:tcPr/>
          <w:p>
            <w:pPr>
              <w:pStyle w:val="Compact"/>
              <w:jc w:val="left"/>
            </w:pPr>
            <w:r>
              <w:t xml:space="preserve">8</w:t>
            </w:r>
          </w:p>
        </w:tc>
        <w:tc>
          <w:tcPr/>
          <w:p>
            <w:pPr>
              <w:pStyle w:val="Compact"/>
              <w:jc w:val="left"/>
            </w:pPr>
            <w:r>
              <w:t xml:space="preserve">Broad adoption, budget</w:t>
            </w:r>
          </w:p>
        </w:tc>
        <w:tc>
          <w:tcPr/>
          <w:p>
            <w:pPr>
              <w:pStyle w:val="Compact"/>
              <w:jc w:val="left"/>
            </w:pPr>
            <w:r>
              <w:t xml:space="preserve">55%</w:t>
            </w:r>
          </w:p>
        </w:tc>
        <w:tc>
          <w:tcPr/>
          <w:p>
            <w:pPr>
              <w:pStyle w:val="Compact"/>
              <w:jc w:val="left"/>
            </w:pPr>
            <w:r>
              <w:t xml:space="preserve">70%</w:t>
            </w:r>
          </w:p>
        </w:tc>
        <w:tc>
          <w:tcPr/>
          <w:p>
            <w:pPr>
              <w:pStyle w:val="Compact"/>
              <w:jc w:val="left"/>
            </w:pPr>
            <w:r>
              <w:t xml:space="preserve">£200</w:t>
            </w:r>
          </w:p>
        </w:tc>
        <w:tc>
          <w:tcPr/>
          <w:p>
            <w:pPr>
              <w:pStyle w:val="Compact"/>
              <w:jc w:val="left"/>
            </w:pPr>
            <w:r>
              <w:rPr>
                <w:bCs/>
                <w:b/>
              </w:rPr>
              <w:t xml:space="preserve">£38.8M</w:t>
            </w:r>
          </w:p>
        </w:tc>
      </w:tr>
      <w:tr>
        <w:tc>
          <w:tcPr/>
          <w:p>
            <w:pPr>
              <w:pStyle w:val="Compact"/>
              <w:jc w:val="left"/>
            </w:pPr>
            <w:r>
              <w:t xml:space="preserve">9</w:t>
            </w:r>
          </w:p>
        </w:tc>
        <w:tc>
          <w:tcPr/>
          <w:p>
            <w:pPr>
              <w:pStyle w:val="Compact"/>
              <w:jc w:val="left"/>
            </w:pPr>
            <w:r>
              <w:t xml:space="preserve">High gov, broad sector</w:t>
            </w:r>
          </w:p>
        </w:tc>
        <w:tc>
          <w:tcPr/>
          <w:p>
            <w:pPr>
              <w:pStyle w:val="Compact"/>
              <w:jc w:val="left"/>
            </w:pPr>
            <w:r>
              <w:t xml:space="preserve">55%</w:t>
            </w:r>
          </w:p>
        </w:tc>
        <w:tc>
          <w:tcPr/>
          <w:p>
            <w:pPr>
              <w:pStyle w:val="Compact"/>
              <w:jc w:val="left"/>
            </w:pPr>
            <w:r>
              <w:t xml:space="preserve">70%</w:t>
            </w:r>
          </w:p>
        </w:tc>
        <w:tc>
          <w:tcPr/>
          <w:p>
            <w:pPr>
              <w:pStyle w:val="Compact"/>
              <w:jc w:val="left"/>
            </w:pPr>
            <w:r>
              <w:t xml:space="preserve">£400</w:t>
            </w:r>
          </w:p>
        </w:tc>
        <w:tc>
          <w:tcPr/>
          <w:p>
            <w:pPr>
              <w:pStyle w:val="Compact"/>
              <w:jc w:val="left"/>
            </w:pPr>
            <w:r>
              <w:rPr>
                <w:bCs/>
                <w:b/>
              </w:rPr>
              <w:t xml:space="preserve">£77.6M</w:t>
            </w:r>
          </w:p>
        </w:tc>
      </w:tr>
      <w:tr>
        <w:tc>
          <w:tcPr/>
          <w:p>
            <w:pPr>
              <w:pStyle w:val="Compact"/>
              <w:jc w:val="left"/>
            </w:pPr>
            <w:r>
              <w:t xml:space="preserve">10</w:t>
            </w:r>
          </w:p>
        </w:tc>
        <w:tc>
          <w:tcPr/>
          <w:p>
            <w:pPr>
              <w:pStyle w:val="Compact"/>
              <w:jc w:val="left"/>
            </w:pPr>
            <w:r>
              <w:t xml:space="preserve">Optimistic ceiling</w:t>
            </w:r>
          </w:p>
        </w:tc>
        <w:tc>
          <w:tcPr/>
          <w:p>
            <w:pPr>
              <w:pStyle w:val="Compact"/>
              <w:jc w:val="left"/>
            </w:pPr>
            <w:r>
              <w:t xml:space="preserve">55%</w:t>
            </w:r>
          </w:p>
        </w:tc>
        <w:tc>
          <w:tcPr/>
          <w:p>
            <w:pPr>
              <w:pStyle w:val="Compact"/>
              <w:jc w:val="left"/>
            </w:pPr>
            <w:r>
              <w:t xml:space="preserve">70%</w:t>
            </w:r>
          </w:p>
        </w:tc>
        <w:tc>
          <w:tcPr/>
          <w:p>
            <w:pPr>
              <w:pStyle w:val="Compact"/>
              <w:jc w:val="left"/>
            </w:pPr>
            <w:r>
              <w:t xml:space="preserve">£600</w:t>
            </w:r>
          </w:p>
        </w:tc>
        <w:tc>
          <w:tcPr/>
          <w:p>
            <w:pPr>
              <w:pStyle w:val="Compact"/>
              <w:jc w:val="left"/>
            </w:pPr>
            <w:r>
              <w:rPr>
                <w:bCs/>
                <w:b/>
              </w:rPr>
              <w:t xml:space="preserve">£116.4M</w:t>
            </w:r>
          </w:p>
        </w:tc>
      </w:tr>
    </w:tbl>
    <w:p>
      <w:pPr>
        <w:pStyle w:val="BodyText"/>
      </w:pPr>
      <w:r>
        <w:t xml:space="preserve">The realistic range is</w:t>
      </w:r>
      <w:r>
        <w:t xml:space="preserve"> </w:t>
      </w:r>
      <w:r>
        <w:rPr>
          <w:bCs/>
          <w:b/>
        </w:rPr>
        <w:t xml:space="preserve">£25M–£55M</w:t>
      </w:r>
      <w:r>
        <w:t xml:space="preserve">. ARPU is the highest-leverage variable — the difference between scenarios 1 and 10 is driven more by pricing power than addressable population.</w:t>
      </w:r>
    </w:p>
    <w:p>
      <w:pPr>
        <w:pStyle w:val="BodyText"/>
      </w:pPr>
      <w:r>
        <w:t xml:space="preserve">A practical sanity check: Helm needs a SAM of at least ~£20M for the business model to work at realistic penetration rates (≤3–4% by Year 3). The base case gives comfortable headroom. Even the low-conservative scenario clears the threshold. Only the pessimistic floor — which assumes both lower governance adoption</w:t>
      </w:r>
      <w:r>
        <w:t xml:space="preserve"> </w:t>
      </w:r>
      <w:r>
        <w:rPr>
          <w:iCs/>
          <w:i/>
        </w:rPr>
        <w:t xml:space="preserve">and</w:t>
      </w:r>
      <w:r>
        <w:t xml:space="preserve"> </w:t>
      </w:r>
      <w:r>
        <w:t xml:space="preserve">a narrower sector spread</w:t>
      </w:r>
      <w:r>
        <w:t xml:space="preserve"> </w:t>
      </w:r>
      <w:r>
        <w:rPr>
          <w:iCs/>
          <w:i/>
        </w:rPr>
        <w:t xml:space="preserve">and</w:t>
      </w:r>
      <w:r>
        <w:t xml:space="preserve"> </w:t>
      </w:r>
      <w:r>
        <w:t xml:space="preserve">half the target ARPU — creates stress. That scenario requires heroic capture rates and is, by design, the worst case.</w:t>
      </w:r>
    </w:p>
    <w:p>
      <w:pPr>
        <w:pStyle w:val="BodyText"/>
      </w:pPr>
      <w:r>
        <w:t xml:space="preserve">Year 1–3 targets are deliberately modest: 10–30 customers in Year 1 (£48K–144K ARR), scaling to 150–300 by Year 3 (£720K–£1.44M ARR). These are not hockey-stick projections. They are the numbers of a product finding its market.</w:t>
      </w:r>
    </w:p>
    <w:p>
      <w:pPr>
        <w:pStyle w:val="BodyText"/>
      </w:pPr>
      <w:r>
        <w:t xml:space="preserve">The honest answer is that primary research will sharpen these estimates considerably. Discovery interviews with 10–15 mid-market PMO leads will validate the governance needs filter. A cross-reference against the ONS business register will tighten the sector estimate. Van Westendorp pricing research will test ARPU assumptions. All of that begins in February. But even at this stage, the numbers support a viable business — not just in the optimistic case, but across most of the range.</w:t>
      </w:r>
    </w:p>
    <w:p>
      <w:pPr>
        <w:pStyle w:val="BodyText"/>
      </w:pPr>
      <w:r>
        <w:t xml:space="preserve">The market exists. The question is whether anyone is serving it properly. Which brings us to pricing.</w:t>
      </w:r>
    </w:p>
    <w:p>
      <w:r>
        <w:pict>
          <v:rect style="width:0;height:1.5pt" o:hralign="center" o:hrstd="t" o:hr="t"/>
        </w:pict>
      </w:r>
    </w:p>
    <w:bookmarkEnd w:id="25"/>
    <w:bookmarkEnd w:id="26"/>
    <w:bookmarkStart w:id="27" w:name="the-mid-market-sweet-spot"/>
    <w:p>
      <w:pPr>
        <w:pStyle w:val="Heading2"/>
      </w:pPr>
      <w:r>
        <w:t xml:space="preserve">6. The Mid-Market Sweet Spot</w:t>
      </w:r>
    </w:p>
    <w:p>
      <w:pPr>
        <w:pStyle w:val="FirstParagraph"/>
      </w:pPr>
      <w:r>
        <w:t xml:space="preserve">Look again at the price column in the competitive matrix, and a gap opens up.</w:t>
      </w:r>
    </w:p>
    <w:p>
      <w:pPr>
        <w:pStyle w:val="BodyText"/>
      </w:pPr>
      <w:r>
        <w:t xml:space="preserve">At the enterprise end, ServiceNow charges £80–160+ per user per month. Clarity PPM starts at £23. Planisware and Targetprocess sit around £24–40. These tools have full governance capability — RAID management, escalation workflows, P3O-level portfolio structures — but they are priced for large organisations, sold through enterprise sales cycles, and designed with the assumption that you have a team to administer them.</w:t>
      </w:r>
    </w:p>
    <w:p>
      <w:pPr>
        <w:pStyle w:val="BodyText"/>
      </w:pPr>
      <w:r>
        <w:t xml:space="preserve">At the mid-market end, Monday.com charges £7–24 per user per month. Asana costs £9–20. Smartsheet runs £7–15. These tools are beautifully designed, quick to deploy, and affordable. But scan their governance capabilities and you see a wall of ⚠️ symbols — partial implementations, workarounds, custom fields bolted onto architectures that were never designed for governed project delivery.</w:t>
      </w:r>
    </w:p>
    <w:p>
      <w:pPr>
        <w:pStyle w:val="BlockText"/>
      </w:pPr>
      <w:r>
        <w:rPr>
          <w:iCs/>
          <w:i/>
        </w:rPr>
        <w:t xml:space="preserve">“</w:t>
      </w:r>
      <w:r>
        <w:rPr>
          <w:iCs/>
          <w:i/>
        </w:rPr>
        <w:t xml:space="preserve">Monday can be infuriatingly complex to use.</w:t>
      </w:r>
      <w:r>
        <w:rPr>
          <w:iCs/>
          <w:i/>
        </w:rPr>
        <w:t xml:space="preserve">”</w:t>
      </w:r>
      <w:r>
        <w:t xml:space="preserve"> </w:t>
      </w:r>
      <w:r>
        <w:t xml:space="preserve">— SmartTask</w:t>
      </w:r>
    </w:p>
    <w:p>
      <w:pPr>
        <w:pStyle w:val="BlockText"/>
      </w:pPr>
      <w:r>
        <w:rPr>
          <w:iCs/>
          <w:i/>
        </w:rPr>
        <w:t xml:space="preserve">“</w:t>
      </w:r>
      <w:r>
        <w:rPr>
          <w:iCs/>
          <w:i/>
        </w:rPr>
        <w:t xml:space="preserve">Sheets crawl once you hit a few hundred rows with dependencies.</w:t>
      </w:r>
      <w:r>
        <w:rPr>
          <w:iCs/>
          <w:i/>
        </w:rPr>
        <w:t xml:space="preserve">”</w:t>
      </w:r>
      <w:r>
        <w:t xml:space="preserve"> </w:t>
      </w:r>
      <w:r>
        <w:t xml:space="preserve">— Reddit r/projectmanagement</w:t>
      </w:r>
    </w:p>
    <w:p>
      <w:pPr>
        <w:pStyle w:val="BlockText"/>
      </w:pPr>
      <w:r>
        <w:rPr>
          <w:iCs/>
          <w:i/>
        </w:rPr>
        <w:t xml:space="preserve">“</w:t>
      </w:r>
      <w:r>
        <w:rPr>
          <w:iCs/>
          <w:i/>
        </w:rPr>
        <w:t xml:space="preserve">Time-tracking and reporting tools are quite limited.</w:t>
      </w:r>
      <w:r>
        <w:rPr>
          <w:iCs/>
          <w:i/>
        </w:rPr>
        <w:t xml:space="preserve">”</w:t>
      </w:r>
      <w:r>
        <w:t xml:space="preserve"> </w:t>
      </w:r>
      <w:r>
        <w:t xml:space="preserve">— SoftwareReviews</w:t>
      </w:r>
    </w:p>
    <w:p>
      <w:pPr>
        <w:pStyle w:val="FirstParagraph"/>
      </w:pPr>
      <w:r>
        <w:t xml:space="preserve">The mid-market buyer is stuck. She can pay enterprise prices for tools her organisation cannot absorb. Or she can use consumer-grade tools and spend every Friday manually building the governance reports her board requires.</w:t>
      </w:r>
    </w:p>
    <w:p>
      <w:pPr>
        <w:pStyle w:val="BodyText"/>
      </w:pPr>
      <w:r>
        <w:t xml:space="preserve">Helm’s target price point — £16–36 per user per month ($20–45) — sits directly in this gap. Premium enough to signal governance capability. A fraction of enterprise SPM pricing. And designed, from the ground up, for the organisation that needs real governance but is not a Fortune 500 company.</w:t>
      </w:r>
    </w:p>
    <w:p>
      <w:pPr>
        <w:pStyle w:val="BodyText"/>
      </w:pPr>
      <w:r>
        <w:t xml:space="preserve">Only a handful of vendors even operate near this price point — Celoxis (£12–20), Completix (~£10), KeyedIn (~£20), Sciforma (£12–72) — and none of them offer meeting-to-governance traceability. The mid-market has governance-capable vendors and it has affordable vendors, but it has very few that are both. And it has none that combine governance, affordability, and AI-powered meeting intelligence.</w:t>
      </w:r>
    </w:p>
    <w:p>
      <w:pPr>
        <w:pStyle w:val="BodyText"/>
      </w:pPr>
      <w:r>
        <w:t xml:space="preserve">That pricing gap is where Helm lives. But no market opportunity exists in isolation. There are threats — and one of them is very large.</w:t>
      </w:r>
    </w:p>
    <w:p>
      <w:r>
        <w:pict>
          <v:rect style="width:0;height:1.5pt" o:hralign="center" o:hrstd="t" o:hr="t"/>
        </w:pict>
      </w:r>
    </w:p>
    <w:bookmarkEnd w:id="27"/>
    <w:bookmarkStart w:id="31" w:name="X56fa4410e76028b36d9a0dbf342ff4d715a130f"/>
    <w:p>
      <w:pPr>
        <w:pStyle w:val="Heading2"/>
      </w:pPr>
      <w:r>
        <w:t xml:space="preserve">7. The Threat Landscape: An Honest Assessment</w:t>
      </w:r>
    </w:p>
    <w:p>
      <w:pPr>
        <w:pStyle w:val="FirstParagraph"/>
      </w:pPr>
      <w:r>
        <w:t xml:space="preserve">Any market analysis that dismisses competitive threats is not honest analysis. It is salesmanship. Helm faces real threats, and the most significant one has four hundred million seats already deployed.</w:t>
      </w:r>
    </w:p>
    <w:bookmarkStart w:id="28" w:name="microsoft-the-closest-competitor"/>
    <w:p>
      <w:pPr>
        <w:pStyle w:val="Heading3"/>
      </w:pPr>
      <w:r>
        <w:t xml:space="preserve">Microsoft: The Closest Competitor</w:t>
      </w:r>
    </w:p>
    <w:p>
      <w:pPr>
        <w:pStyle w:val="FirstParagraph"/>
      </w:pPr>
      <w:r>
        <w:t xml:space="preserve">Microsoft is the only vendor in our 16-vendor analysis that scores anything other than ❌ on meeting-to-governance traceability. Its Facilitator Agent, combined with the Project Manager Agent and Copilot, can extract tasks from Teams meetings and push them to Planner. That earns a ⚠️ — not because the capability is comparable to what Helm proposes, but because it represents the closest any vendor comes.</w:t>
      </w:r>
    </w:p>
    <w:p>
      <w:pPr>
        <w:pStyle w:val="BodyText"/>
      </w:pPr>
      <w:r>
        <w:t xml:space="preserve">The gap between Microsoft’s capability and Helm’s proposition is specific and measurable:</w:t>
      </w:r>
    </w:p>
    <w:tbl>
      <w:tblPr>
        <w:tblStyle w:val="Table"/>
        <w:tblW w:type="pct" w:w="5000"/>
        <w:tblLook w:firstRow="1" w:lastRow="0" w:firstColumn="0" w:lastColumn="0" w:noHBand="0" w:noVBand="0" w:val="0020"/>
        <w:jc w:val="start"/>
      </w:tblPr>
      <w:tblGrid>
        <w:gridCol w:w="1152"/>
        <w:gridCol w:w="4464"/>
        <w:gridCol w:w="2304"/>
      </w:tblGrid>
      <w:tr>
        <w:trPr>
          <w:tblHeader w:val="true"/>
        </w:trPr>
        <w:tc>
          <w:tcPr/>
          <w:p>
            <w:pPr>
              <w:pStyle w:val="Compact"/>
              <w:jc w:val="left"/>
            </w:pPr>
            <w:r>
              <w:t xml:space="preserve">Aspect</w:t>
            </w:r>
          </w:p>
        </w:tc>
        <w:tc>
          <w:tcPr/>
          <w:p>
            <w:pPr>
              <w:pStyle w:val="Compact"/>
              <w:jc w:val="left"/>
            </w:pPr>
            <w:r>
              <w:t xml:space="preserve">Microsoft (Facilitator + PMA)</w:t>
            </w:r>
          </w:p>
        </w:tc>
        <w:tc>
          <w:tcPr/>
          <w:p>
            <w:pPr>
              <w:pStyle w:val="Compact"/>
              <w:jc w:val="left"/>
            </w:pPr>
            <w:r>
              <w:t xml:space="preserve">Helm (Planned)</w:t>
            </w:r>
          </w:p>
        </w:tc>
      </w:tr>
      <w:tr>
        <w:tc>
          <w:tcPr/>
          <w:p>
            <w:pPr>
              <w:pStyle w:val="Compact"/>
              <w:jc w:val="left"/>
            </w:pPr>
            <w:r>
              <w:t xml:space="preserve">Output type</w:t>
            </w:r>
          </w:p>
        </w:tc>
        <w:tc>
          <w:tcPr/>
          <w:p>
            <w:pPr>
              <w:pStyle w:val="Compact"/>
              <w:jc w:val="left"/>
            </w:pPr>
            <w:r>
              <w:t xml:space="preserve">Generic Planner tasks</w:t>
            </w:r>
          </w:p>
        </w:tc>
        <w:tc>
          <w:tcPr/>
          <w:p>
            <w:pPr>
              <w:pStyle w:val="Compact"/>
              <w:jc w:val="left"/>
            </w:pPr>
            <w:r>
              <w:t xml:space="preserve">Typed RAID entries, decision records, actions</w:t>
            </w:r>
          </w:p>
        </w:tc>
      </w:tr>
      <w:tr>
        <w:tc>
          <w:tcPr/>
          <w:p>
            <w:pPr>
              <w:pStyle w:val="Compact"/>
              <w:jc w:val="left"/>
            </w:pPr>
            <w:r>
              <w:t xml:space="preserve">Risk identification</w:t>
            </w:r>
          </w:p>
        </w:tc>
        <w:tc>
          <w:tcPr/>
          <w:p>
            <w:pPr>
              <w:pStyle w:val="Compact"/>
              <w:jc w:val="left"/>
            </w:pPr>
            <w:r>
              <w:t xml:space="preserve">Prompt-based text response</w:t>
            </w:r>
          </w:p>
        </w:tc>
        <w:tc>
          <w:tcPr/>
          <w:p>
            <w:pPr>
              <w:pStyle w:val="Compact"/>
              <w:jc w:val="left"/>
            </w:pPr>
            <w:r>
              <w:t xml:space="preserve">Structured risk register (severity, probability, owner)</w:t>
            </w:r>
          </w:p>
        </w:tc>
      </w:tr>
      <w:tr>
        <w:tc>
          <w:tcPr/>
          <w:p>
            <w:pPr>
              <w:pStyle w:val="Compact"/>
              <w:jc w:val="left"/>
            </w:pPr>
            <w:r>
              <w:t xml:space="preserve">Decision capture</w:t>
            </w:r>
          </w:p>
        </w:tc>
        <w:tc>
          <w:tcPr/>
          <w:p>
            <w:pPr>
              <w:pStyle w:val="Compact"/>
              <w:jc w:val="left"/>
            </w:pPr>
            <w:r>
              <w:t xml:space="preserve">Freeform text in Loop notes</w:t>
            </w:r>
          </w:p>
        </w:tc>
        <w:tc>
          <w:tcPr/>
          <w:p>
            <w:pPr>
              <w:pStyle w:val="Compact"/>
              <w:jc w:val="left"/>
            </w:pPr>
            <w:r>
              <w:t xml:space="preserve">First-class entity (rationale, stakeholders, audit trail)</w:t>
            </w:r>
          </w:p>
        </w:tc>
      </w:tr>
      <w:tr>
        <w:tc>
          <w:tcPr/>
          <w:p>
            <w:pPr>
              <w:pStyle w:val="Compact"/>
              <w:jc w:val="left"/>
            </w:pPr>
            <w:r>
              <w:t xml:space="preserve">Governance reporting</w:t>
            </w:r>
          </w:p>
        </w:tc>
        <w:tc>
          <w:tcPr/>
          <w:p>
            <w:pPr>
              <w:pStyle w:val="Compact"/>
              <w:jc w:val="left"/>
            </w:pPr>
            <w:r>
              <w:t xml:space="preserve">Task-level status reports</w:t>
            </w:r>
          </w:p>
        </w:tc>
        <w:tc>
          <w:tcPr/>
          <w:p>
            <w:pPr>
              <w:pStyle w:val="Compact"/>
              <w:jc w:val="left"/>
            </w:pPr>
            <w:r>
              <w:t xml:space="preserve">Board-ready governance packs from structured data</w:t>
            </w:r>
          </w:p>
        </w:tc>
      </w:tr>
      <w:tr>
        <w:tc>
          <w:tcPr/>
          <w:p>
            <w:pPr>
              <w:pStyle w:val="Compact"/>
              <w:jc w:val="left"/>
            </w:pPr>
            <w:r>
              <w:t xml:space="preserve">P3O linkage</w:t>
            </w:r>
          </w:p>
        </w:tc>
        <w:tc>
          <w:tcPr/>
          <w:p>
            <w:pPr>
              <w:pStyle w:val="Compact"/>
              <w:jc w:val="left"/>
            </w:pPr>
            <w:r>
              <w:t xml:space="preserve">Flat portfolios (no Programme)</w:t>
            </w:r>
          </w:p>
        </w:tc>
        <w:tc>
          <w:tcPr/>
          <w:p>
            <w:pPr>
              <w:pStyle w:val="Compact"/>
              <w:jc w:val="left"/>
            </w:pPr>
            <w:r>
              <w:t xml:space="preserve">Portfolio → Programme → Project</w:t>
            </w:r>
          </w:p>
        </w:tc>
      </w:tr>
      <w:tr>
        <w:tc>
          <w:tcPr/>
          <w:p>
            <w:pPr>
              <w:pStyle w:val="Compact"/>
              <w:jc w:val="left"/>
            </w:pPr>
            <w:r>
              <w:t xml:space="preserve">Effective cost with AI</w:t>
            </w:r>
          </w:p>
        </w:tc>
        <w:tc>
          <w:tcPr/>
          <w:p>
            <w:pPr>
              <w:pStyle w:val="Compact"/>
              <w:jc w:val="left"/>
            </w:pPr>
            <w:r>
              <w:t xml:space="preserve">£32–68/u/m ($40–85)</w:t>
            </w:r>
          </w:p>
        </w:tc>
        <w:tc>
          <w:tcPr/>
          <w:p>
            <w:pPr>
              <w:pStyle w:val="Compact"/>
              <w:jc w:val="left"/>
            </w:pPr>
            <w:r>
              <w:t xml:space="preserve">Target £16–36/u/m ($20–45)</w:t>
            </w:r>
          </w:p>
        </w:tc>
      </w:tr>
    </w:tbl>
    <w:p>
      <w:pPr>
        <w:pStyle w:val="BodyText"/>
      </w:pPr>
      <w:r>
        <w:t xml:space="preserve">Microsoft’s AI creates to-dos from meetings. Helm’s AI would create governed, classified, auditable records. These are fundamentally different outputs serving fundamentally different needs.</w:t>
      </w:r>
    </w:p>
    <w:p>
      <w:pPr>
        <w:pStyle w:val="BodyText"/>
      </w:pPr>
      <w:r>
        <w:t xml:space="preserve">But the threat from Microsoft is not about features. It is about distribution. M365 is already on every desk. Planner is already in the sidebar. The risk is not that Microsoft will build a superior governance product — their product strategy is clearly aimed at general-purpose productivity. The risk is that</w:t>
      </w:r>
      <w:r>
        <w:t xml:space="preserve"> </w:t>
      </w:r>
      <w:r>
        <w:t xml:space="preserve">“</w:t>
      </w:r>
      <w:r>
        <w:t xml:space="preserve">good enough</w:t>
      </w:r>
      <w:r>
        <w:t xml:space="preserve">”</w:t>
      </w:r>
      <w:r>
        <w:t xml:space="preserve"> </w:t>
      </w:r>
      <w:r>
        <w:t xml:space="preserve">Planner plus Copilot prevents mid-market PMOs from looking for something better.</w:t>
      </w:r>
    </w:p>
    <w:p>
      <w:pPr>
        <w:pStyle w:val="BodyText"/>
      </w:pPr>
      <w:r>
        <w:rPr>
          <w:bCs/>
          <w:b/>
        </w:rPr>
        <w:t xml:space="preserve">Our assessment: MEDIUM-HIGH threat.</w:t>
      </w:r>
      <w:r>
        <w:t xml:space="preserve"> </w:t>
      </w:r>
      <w:r>
        <w:t xml:space="preserve">Not because Microsoft competes on governance, but because ubiquity creates inertia.</w:t>
      </w:r>
    </w:p>
    <w:p>
      <w:pPr>
        <w:pStyle w:val="BodyText"/>
      </w:pPr>
      <w:r>
        <w:t xml:space="preserve">The strategic response is not to compete with Microsoft. It is to complement it. Helm should integrate with M365, consume Teams transcripts, and position as the governance layer that makes the Microsoft ecosystem actually work for PMO professionals.</w:t>
      </w:r>
    </w:p>
    <w:bookmarkEnd w:id="28"/>
    <w:bookmarkStart w:id="29" w:name="X629761bad005e956eb9bf1d566fef2ee0639870"/>
    <w:p>
      <w:pPr>
        <w:pStyle w:val="Heading3"/>
      </w:pPr>
      <w:r>
        <w:t xml:space="preserve">Meeting AI: A Threat That Sounds Scarier Than It Is</w:t>
      </w:r>
    </w:p>
    <w:p>
      <w:pPr>
        <w:pStyle w:val="FirstParagraph"/>
      </w:pPr>
      <w:r>
        <w:t xml:space="preserve">Otter.ai ($100M+ ARR, 35 million users), Fireflies.ai ($1 billion valuation, 20 million+ users), and Fathom (Series A, 90× growth) are the three dominant AI meeting assistants. They sit on the exact data that Helm needs — meeting transcripts. The obvious question is: what stops them from doing what Helm proposes to do?</w:t>
      </w:r>
    </w:p>
    <w:p>
      <w:pPr>
        <w:pStyle w:val="BodyText"/>
      </w:pPr>
      <w:r>
        <w:t xml:space="preserve">The answer is: nearly everything about their business.</w:t>
      </w:r>
    </w:p>
    <w:p>
      <w:pPr>
        <w:pStyle w:val="BodyText"/>
      </w:pPr>
      <w:r>
        <w:t xml:space="preserve">They have the wrong data model — their architecture runs transcript → summary → task. Governance requires an entirely new entity layer with typed fields, relationships, and workflow state. They have the wrong buyer — their customers are sales managers and team leads, not PMO directors. They have the wrong incentive — Otter just hit $100M ARR on meeting productivity; why chase a niche governance SAM? And they have the wrong DNA — these are media and AI companies building transcription and NLP, not enterprise software companies building approval workflows.</w:t>
      </w:r>
    </w:p>
    <w:p>
      <w:pPr>
        <w:pStyle w:val="BodyText"/>
      </w:pPr>
      <w:r>
        <w:t xml:space="preserve">We checked their product announcements, blog posts, and job listings across all three vendors. Zero mentions of RAID, decision records, PMO, governance, or compliance. No roadmap signals whatsoever.</w:t>
      </w:r>
    </w:p>
    <w:p>
      <w:pPr>
        <w:pStyle w:val="BodyText"/>
      </w:pPr>
      <w:r>
        <w:t xml:space="preserve">If one of them decided today to build governance-grade extraction, our estimate is 18–36 months to a credible product: 6–12 months for the governance data model, 3–6 months for classification AI, 9–18 months for approval workflows and governance reporting, plus 6–12 months to hire PMO domain expertise they currently lack.</w:t>
      </w:r>
    </w:p>
    <w:p>
      <w:pPr>
        <w:pStyle w:val="BodyText"/>
      </w:pPr>
      <w:r>
        <w:rPr>
          <w:bCs/>
          <w:b/>
        </w:rPr>
        <w:t xml:space="preserve">Our assessment: LOW threat</w:t>
      </w:r>
      <w:r>
        <w:t xml:space="preserve"> </w:t>
      </w:r>
      <w:r>
        <w:t xml:space="preserve">from organic development.</w:t>
      </w:r>
    </w:p>
    <w:p>
      <w:pPr>
        <w:pStyle w:val="BodyText"/>
      </w:pPr>
      <w:r>
        <w:t xml:space="preserve">The scenario that elevates the risk is acquisition. If Planview or ServiceNow acquires Otter or Fireflies and bolts transcript intelligence onto their existing governance data model, the combined entity would be formidable. This is the primary competitive trigger to monitor — not feature development from meeting AI startups.</w:t>
      </w:r>
    </w:p>
    <w:p>
      <w:pPr>
        <w:pStyle w:val="BodyText"/>
      </w:pPr>
      <w:r>
        <w:t xml:space="preserve">The strategic response, again, is integration rather than competition. Otter has a Public API and MCP Server. Fireflies has webhooks and Zapier integration. Fathom has a Public API. Helm should consume their transcripts as input. The pitch writes itself:</w:t>
      </w:r>
      <w:r>
        <w:t xml:space="preserve"> </w:t>
      </w:r>
      <w:r>
        <w:rPr>
          <w:iCs/>
          <w:i/>
        </w:rPr>
        <w:t xml:space="preserve">“</w:t>
      </w:r>
      <w:r>
        <w:rPr>
          <w:iCs/>
          <w:i/>
        </w:rPr>
        <w:t xml:space="preserve">Keep Otter for meeting notes. Add Helm for governance.</w:t>
      </w:r>
      <w:r>
        <w:rPr>
          <w:iCs/>
          <w:i/>
        </w:rPr>
        <w:t xml:space="preserve">”</w:t>
      </w:r>
    </w:p>
    <w:bookmarkEnd w:id="29"/>
    <w:bookmarkStart w:id="30" w:name="other-competitive-threats"/>
    <w:p>
      <w:pPr>
        <w:pStyle w:val="Heading3"/>
      </w:pPr>
      <w:r>
        <w:t xml:space="preserve">Other Competitive Threats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Threat</w:t>
            </w:r>
          </w:p>
        </w:tc>
        <w:tc>
          <w:tcPr/>
          <w:p>
            <w:pPr>
              <w:pStyle w:val="Compact"/>
              <w:jc w:val="left"/>
            </w:pPr>
            <w:r>
              <w:t xml:space="preserve">Risk</w:t>
            </w:r>
          </w:p>
        </w:tc>
        <w:tc>
          <w:tcPr/>
          <w:p>
            <w:pPr>
              <w:pStyle w:val="Compact"/>
              <w:jc w:val="left"/>
            </w:pPr>
            <w:r>
              <w:t xml:space="preserve">Rationale</w:t>
            </w:r>
          </w:p>
        </w:tc>
      </w:tr>
      <w:tr>
        <w:tc>
          <w:tcPr/>
          <w:p>
            <w:pPr>
              <w:pStyle w:val="Compact"/>
              <w:jc w:val="left"/>
            </w:pPr>
            <w:r>
              <w:t xml:space="preserve">PPM vendor acquires a meeting AI tool</w:t>
            </w:r>
          </w:p>
        </w:tc>
        <w:tc>
          <w:tcPr/>
          <w:p>
            <w:pPr>
              <w:pStyle w:val="Compact"/>
              <w:jc w:val="left"/>
            </w:pPr>
            <w:r>
              <w:rPr>
                <w:bCs/>
                <w:b/>
              </w:rPr>
              <w:t xml:space="preserve">MEDIUM</w:t>
            </w:r>
          </w:p>
        </w:tc>
        <w:tc>
          <w:tcPr/>
          <w:p>
            <w:pPr>
              <w:pStyle w:val="Compact"/>
              <w:jc w:val="left"/>
            </w:pPr>
            <w:r>
              <w:t xml:space="preserve">The primary escalation trigger. Monitor quarterly.</w:t>
            </w:r>
          </w:p>
        </w:tc>
      </w:tr>
      <w:tr>
        <w:tc>
          <w:tcPr/>
          <w:p>
            <w:pPr>
              <w:pStyle w:val="Compact"/>
              <w:jc w:val="left"/>
            </w:pPr>
            <w:r>
              <w:t xml:space="preserve">Planview adds meeting AI natively</w:t>
            </w:r>
          </w:p>
        </w:tc>
        <w:tc>
          <w:tcPr/>
          <w:p>
            <w:pPr>
              <w:pStyle w:val="Compact"/>
              <w:jc w:val="left"/>
            </w:pPr>
            <w:r>
              <w:rPr>
                <w:bCs/>
                <w:b/>
              </w:rPr>
              <w:t xml:space="preserve">MEDIUM</w:t>
            </w:r>
          </w:p>
        </w:tc>
        <w:tc>
          <w:tcPr/>
          <w:p>
            <w:pPr>
              <w:pStyle w:val="Compact"/>
              <w:jc w:val="left"/>
            </w:pPr>
            <w:r>
              <w:t xml:space="preserve">Enterprise-only pricing; different market segment.</w:t>
            </w:r>
          </w:p>
        </w:tc>
      </w:tr>
      <w:tr>
        <w:tc>
          <w:tcPr/>
          <w:p>
            <w:pPr>
              <w:pStyle w:val="Compact"/>
              <w:jc w:val="left"/>
            </w:pPr>
            <w:r>
              <w:t xml:space="preserve">Asana AI Teammates expand to governance</w:t>
            </w:r>
          </w:p>
        </w:tc>
        <w:tc>
          <w:tcPr/>
          <w:p>
            <w:pPr>
              <w:pStyle w:val="Compact"/>
              <w:jc w:val="left"/>
            </w:pPr>
            <w:r>
              <w:rPr>
                <w:bCs/>
                <w:b/>
              </w:rPr>
              <w:t xml:space="preserve">MEDIUM</w:t>
            </w:r>
          </w:p>
        </w:tc>
        <w:tc>
          <w:tcPr/>
          <w:p>
            <w:pPr>
              <w:pStyle w:val="Compact"/>
              <w:jc w:val="left"/>
            </w:pPr>
            <w:r>
              <w:t xml:space="preserve">Task automation ≠ governance. Would require fundamental product shift.</w:t>
            </w:r>
          </w:p>
        </w:tc>
      </w:tr>
      <w:tr>
        <w:tc>
          <w:tcPr/>
          <w:p>
            <w:pPr>
              <w:pStyle w:val="Compact"/>
              <w:jc w:val="left"/>
            </w:pPr>
            <w:r>
              <w:t xml:space="preserve">Monday/Smartsheet add RAID management</w:t>
            </w:r>
          </w:p>
        </w:tc>
        <w:tc>
          <w:tcPr/>
          <w:p>
            <w:pPr>
              <w:pStyle w:val="Compact"/>
              <w:jc w:val="left"/>
            </w:pPr>
            <w:r>
              <w:rPr>
                <w:bCs/>
                <w:b/>
              </w:rPr>
              <w:t xml:space="preserve">LOW-MEDIUM</w:t>
            </w:r>
          </w:p>
        </w:tc>
        <w:tc>
          <w:tcPr/>
          <w:p>
            <w:pPr>
              <w:pStyle w:val="Compact"/>
              <w:jc w:val="left"/>
            </w:pPr>
            <w:r>
              <w:t xml:space="preserve">RAID adds complexity that conflicts with their simplicity-first UX positioning.</w:t>
            </w:r>
          </w:p>
        </w:tc>
      </w:tr>
    </w:tbl>
    <w:p>
      <w:pPr>
        <w:pStyle w:val="BodyText"/>
      </w:pPr>
      <w:r>
        <w:t xml:space="preserve">No assessment of competitive threats is complete without asking:</w:t>
      </w:r>
      <w:r>
        <w:t xml:space="preserve"> </w:t>
      </w:r>
      <w:r>
        <w:rPr>
          <w:iCs/>
          <w:i/>
        </w:rPr>
        <w:t xml:space="preserve">why now?</w:t>
      </w:r>
      <w:r>
        <w:t xml:space="preserve"> </w:t>
      </w:r>
      <w:r>
        <w:t xml:space="preserve">If this gap is real, why hasn’t someone filled it already? The answer lies partly in timing — and specifically, in regulation.</w:t>
      </w:r>
    </w:p>
    <w:p>
      <w:r>
        <w:pict>
          <v:rect style="width:0;height:1.5pt" o:hralign="center" o:hrstd="t" o:hr="t"/>
        </w:pict>
      </w:r>
    </w:p>
    <w:bookmarkEnd w:id="30"/>
    <w:bookmarkEnd w:id="31"/>
    <w:bookmarkStart w:id="33" w:name="regulatory-tailwinds-why-now-not-later"/>
    <w:p>
      <w:pPr>
        <w:pStyle w:val="Heading2"/>
      </w:pPr>
      <w:r>
        <w:t xml:space="preserve">8. Regulatory Tailwinds: Why Now, Not Later</w:t>
      </w:r>
    </w:p>
    <w:p>
      <w:pPr>
        <w:pStyle w:val="FirstParagraph"/>
      </w:pPr>
      <w:r>
        <w:t xml:space="preserve">Two mandatory compliance frameworks have created urgency that did not exist three years ago.</w:t>
      </w:r>
    </w:p>
    <w:p>
      <w:pPr>
        <w:pStyle w:val="BodyText"/>
      </w:pPr>
      <w:r>
        <w:rPr>
          <w:bCs/>
          <w:b/>
        </w:rPr>
        <w:t xml:space="preserve">FCA Operational Resilience (PS21/3)</w:t>
      </w:r>
      <w:r>
        <w:t xml:space="preserve"> </w:t>
      </w:r>
      <w:r>
        <w:t xml:space="preserve">reached its mandatory compliance deadline on 31 March 2025 — already passed. Every FCA-regulated firm must now demonstrate continuous, auditable governance of its operational resilience programmes. Not aspirational governance. Auditable governance. The kind that requires structured records, decision trails, and the ability to show a regulator exactly how risks were identified, assessed, escalated, and resolved.</w:t>
      </w:r>
    </w:p>
    <w:p>
      <w:pPr>
        <w:pStyle w:val="BodyText"/>
      </w:pPr>
      <w:r>
        <w:rPr>
          <w:bCs/>
          <w:b/>
        </w:rPr>
        <w:t xml:space="preserve">EU DORA (Digital Operational Resilience Act)</w:t>
      </w:r>
      <w:r>
        <w:t xml:space="preserve"> </w:t>
      </w:r>
      <w:r>
        <w:t xml:space="preserve">became mandatory on 17 January 2025. Article 6 requires a documented ICT risk management framework. For any financial services firm with EU exposure — which includes many operating from the UK and the Isle of Man — this is not optional.</w:t>
      </w:r>
    </w:p>
    <w:p>
      <w:pPr>
        <w:pStyle w:val="BodyText"/>
      </w:pPr>
      <w:r>
        <w:t xml:space="preserve">These are not gentle nudges toward better practice. They are compliance requirements with regulatory teeth. And they create a specific, measurable demand for exactly the kind of tooling Helm provides: structured governance records with audit trails, classification against risk taxonomies, and approval workflows that can demonstrate process to an external examiner.</w:t>
      </w:r>
    </w:p>
    <w:p>
      <w:pPr>
        <w:pStyle w:val="BodyText"/>
      </w:pPr>
      <w:r>
        <w:t xml:space="preserve">Supporting frameworks reinforce the picture. Basel III creates indirect pressure for governance transparency. MiFID II requires auditable decision-making in investment services. The IOMFSA Governance Codes are mandatory for Isle of Man-regulated entities.</w:t>
      </w:r>
    </w:p>
    <w:bookmarkStart w:id="32" w:name="the-isle-of-man-beachhead"/>
    <w:p>
      <w:pPr>
        <w:pStyle w:val="Heading3"/>
      </w:pPr>
      <w:r>
        <w:t xml:space="preserve">The Isle of Man Beachhead</w:t>
      </w:r>
    </w:p>
    <w:p>
      <w:pPr>
        <w:pStyle w:val="FirstParagraph"/>
      </w:pPr>
      <w:r>
        <w:t xml:space="preserve">The regulatory environment makes the Isle of Man a compelling starting market. Financial services accounts for approximately 27% of the IOM economy. An estimated 200–400 regulated entities operate on the island, typically in Helm’s 50–500 employee sweet spot. These are organisations that face mandatory governance requirements, operate at the right scale, and are concentrated in a single, accessible geography.</w:t>
      </w:r>
    </w:p>
    <w:p>
      <w:pPr>
        <w:pStyle w:val="BodyText"/>
      </w:pPr>
      <w:r>
        <w:t xml:space="preserve">This beachhead figure requires validation — we have flagged the IOMFSA register pull as a priority desk research task — but the structural logic is sound. A regulated, concentrated, mid-market financial services sector, right on our doorstep.</w:t>
      </w:r>
    </w:p>
    <w:p>
      <w:pPr>
        <w:pStyle w:val="BodyText"/>
      </w:pPr>
      <w:r>
        <w:t xml:space="preserve">The regulatory environment explains why</w:t>
      </w:r>
      <w:r>
        <w:t xml:space="preserve"> </w:t>
      </w:r>
      <w:r>
        <w:rPr>
          <w:iCs/>
          <w:i/>
        </w:rPr>
        <w:t xml:space="preserve">now</w:t>
      </w:r>
      <w:r>
        <w:t xml:space="preserve"> </w:t>
      </w:r>
      <w:r>
        <w:t xml:space="preserve">is the right time. But regulations create obligation, not enthusiasm. To understand whether this is a product people will actually</w:t>
      </w:r>
      <w:r>
        <w:t xml:space="preserve"> </w:t>
      </w:r>
      <w:r>
        <w:rPr>
          <w:iCs/>
          <w:i/>
        </w:rPr>
        <w:t xml:space="preserve">want</w:t>
      </w:r>
      <w:r>
        <w:t xml:space="preserve">, we need to listen to the people who would use it.</w:t>
      </w:r>
    </w:p>
    <w:p>
      <w:r>
        <w:pict>
          <v:rect style="width:0;height:1.5pt" o:hralign="center" o:hrstd="t" o:hr="t"/>
        </w:pict>
      </w:r>
    </w:p>
    <w:bookmarkEnd w:id="32"/>
    <w:bookmarkEnd w:id="33"/>
    <w:bookmarkStart w:id="34" w:name="what-users-are-saying"/>
    <w:p>
      <w:pPr>
        <w:pStyle w:val="Heading2"/>
      </w:pPr>
      <w:r>
        <w:t xml:space="preserve">9. What Users Are Saying</w:t>
      </w:r>
    </w:p>
    <w:p>
      <w:pPr>
        <w:pStyle w:val="FirstParagraph"/>
      </w:pPr>
      <w:r>
        <w:t xml:space="preserve">We sourced 40 user complaints from review platforms, Reddit communities, and industry analyses. They cluster around five themes, and every one of them maps to a capability Helm is designed to address.</w:t>
      </w:r>
    </w:p>
    <w:p>
      <w:pPr>
        <w:pStyle w:val="BlockText"/>
      </w:pPr>
      <w:r>
        <w:rPr>
          <w:iCs/>
          <w:i/>
        </w:rPr>
        <w:t xml:space="preserve">“</w:t>
      </w:r>
      <w:r>
        <w:rPr>
          <w:iCs/>
          <w:i/>
        </w:rPr>
        <w:t xml:space="preserve">Asana for portfolio management lacks robust work intake, prioritisation scoring models, enterprise resource capacity planning, portfolio-level risk management.</w:t>
      </w:r>
      <w:r>
        <w:rPr>
          <w:iCs/>
          <w:i/>
        </w:rPr>
        <w:t xml:space="preserve">”</w:t>
      </w:r>
      <w:r>
        <w:t xml:space="preserve"> </w:t>
      </w:r>
      <w:r>
        <w:t xml:space="preserve">— Acuity PPM</w:t>
      </w:r>
    </w:p>
    <w:p>
      <w:pPr>
        <w:pStyle w:val="FirstParagraph"/>
      </w:pPr>
      <w:r>
        <w:t xml:space="preserve">Nine complaints describe</w:t>
      </w:r>
      <w:r>
        <w:t xml:space="preserve"> </w:t>
      </w:r>
      <w:r>
        <w:rPr>
          <w:bCs/>
          <w:b/>
        </w:rPr>
        <w:t xml:space="preserve">missing portfolio and programme visibility</w:t>
      </w:r>
      <w:r>
        <w:t xml:space="preserve"> </w:t>
      </w:r>
      <w:r>
        <w:t xml:space="preserve">— the inability to see across projects, understand dependencies, and manage at the programme level. Work management tools were designed to manage</w:t>
      </w:r>
      <w:r>
        <w:t xml:space="preserve"> </w:t>
      </w:r>
      <w:r>
        <w:rPr>
          <w:iCs/>
          <w:i/>
        </w:rPr>
        <w:t xml:space="preserve">a</w:t>
      </w:r>
      <w:r>
        <w:t xml:space="preserve"> </w:t>
      </w:r>
      <w:r>
        <w:t xml:space="preserve">project, not a</w:t>
      </w:r>
      <w:r>
        <w:t xml:space="preserve"> </w:t>
      </w:r>
      <w:r>
        <w:rPr>
          <w:iCs/>
          <w:i/>
        </w:rPr>
        <w:t xml:space="preserve">portfolio</w:t>
      </w:r>
      <w:r>
        <w:t xml:space="preserve"> </w:t>
      </w:r>
      <w:r>
        <w:t xml:space="preserve">of projects.</w:t>
      </w:r>
    </w:p>
    <w:p>
      <w:pPr>
        <w:pStyle w:val="BlockText"/>
      </w:pPr>
      <w:r>
        <w:rPr>
          <w:iCs/>
          <w:i/>
        </w:rPr>
        <w:t xml:space="preserve">“</w:t>
      </w:r>
      <w:r>
        <w:rPr>
          <w:iCs/>
          <w:i/>
        </w:rPr>
        <w:t xml:space="preserve">The main request is to have some form of RAID logging.</w:t>
      </w:r>
      <w:r>
        <w:rPr>
          <w:iCs/>
          <w:i/>
        </w:rPr>
        <w:t xml:space="preserve">”</w:t>
      </w:r>
      <w:r>
        <w:t xml:space="preserve"> </w:t>
      </w:r>
      <w:r>
        <w:t xml:space="preserve">— Reddit r/projectmanagement</w:t>
      </w:r>
    </w:p>
    <w:p>
      <w:pPr>
        <w:pStyle w:val="FirstParagraph"/>
      </w:pPr>
      <w:r>
        <w:t xml:space="preserve">Nine more describe</w:t>
      </w:r>
      <w:r>
        <w:t xml:space="preserve"> </w:t>
      </w:r>
      <w:r>
        <w:rPr>
          <w:bCs/>
          <w:b/>
        </w:rPr>
        <w:t xml:space="preserve">absent governance features</w:t>
      </w:r>
      <w:r>
        <w:t xml:space="preserve"> </w:t>
      </w:r>
      <w:r>
        <w:t xml:space="preserve">— no RAID management, no audit trails, no structured decision logging. These are not power-user requests for edge-case features. RAID is the foundational framework of project governance. Users are asking for the basics.</w:t>
      </w:r>
    </w:p>
    <w:p>
      <w:pPr>
        <w:pStyle w:val="BlockText"/>
      </w:pPr>
      <w:r>
        <w:rPr>
          <w:iCs/>
          <w:i/>
        </w:rPr>
        <w:t xml:space="preserve">“</w:t>
      </w:r>
      <w:r>
        <w:rPr>
          <w:iCs/>
          <w:i/>
        </w:rPr>
        <w:t xml:space="preserve">Time-tracking and reporting tools are quite limited.</w:t>
      </w:r>
      <w:r>
        <w:rPr>
          <w:iCs/>
          <w:i/>
        </w:rPr>
        <w:t xml:space="preserve">”</w:t>
      </w:r>
      <w:r>
        <w:t xml:space="preserve"> </w:t>
      </w:r>
      <w:r>
        <w:t xml:space="preserve">— SoftwareReviews</w:t>
      </w:r>
    </w:p>
    <w:p>
      <w:pPr>
        <w:pStyle w:val="FirstParagraph"/>
      </w:pPr>
      <w:r>
        <w:t xml:space="preserve">Nine complaints address</w:t>
      </w:r>
      <w:r>
        <w:t xml:space="preserve"> </w:t>
      </w:r>
      <w:r>
        <w:rPr>
          <w:bCs/>
          <w:b/>
        </w:rPr>
        <w:t xml:space="preserve">reporting limitations</w:t>
      </w:r>
      <w:r>
        <w:t xml:space="preserve"> </w:t>
      </w:r>
      <w:r>
        <w:t xml:space="preserve">— tools that track work adequately but cannot produce the governance reports that boards and regulators require.</w:t>
      </w:r>
    </w:p>
    <w:p>
      <w:pPr>
        <w:pStyle w:val="BlockText"/>
      </w:pPr>
      <w:r>
        <w:rPr>
          <w:iCs/>
          <w:i/>
        </w:rPr>
        <w:t xml:space="preserve">“</w:t>
      </w:r>
      <w:r>
        <w:rPr>
          <w:iCs/>
          <w:i/>
        </w:rPr>
        <w:t xml:space="preserve">Sheets crawl once you hit a few hundred rows with dependencies.</w:t>
      </w:r>
      <w:r>
        <w:rPr>
          <w:iCs/>
          <w:i/>
        </w:rPr>
        <w:t xml:space="preserve">”</w:t>
      </w:r>
      <w:r>
        <w:t xml:space="preserve"> </w:t>
      </w:r>
      <w:r>
        <w:t xml:space="preserve">— Reddit r/projectmanagement</w:t>
      </w:r>
    </w:p>
    <w:p>
      <w:pPr>
        <w:pStyle w:val="FirstParagraph"/>
      </w:pPr>
      <w:r>
        <w:t xml:space="preserve">Eight describe</w:t>
      </w:r>
      <w:r>
        <w:t xml:space="preserve"> </w:t>
      </w:r>
      <w:r>
        <w:rPr>
          <w:bCs/>
          <w:b/>
        </w:rPr>
        <w:t xml:space="preserve">multi-project dependency failures</w:t>
      </w:r>
      <w:r>
        <w:t xml:space="preserve"> </w:t>
      </w:r>
      <w:r>
        <w:t xml:space="preserve">— tools that work for a single project but buckle under portfolio-scale complexity.</w:t>
      </w:r>
    </w:p>
    <w:p>
      <w:pPr>
        <w:pStyle w:val="BlockText"/>
      </w:pPr>
      <w:r>
        <w:rPr>
          <w:iCs/>
          <w:i/>
        </w:rPr>
        <w:t xml:space="preserve">“</w:t>
      </w:r>
      <w:r>
        <w:rPr>
          <w:iCs/>
          <w:i/>
        </w:rPr>
        <w:t xml:space="preserve">Monday can be infuriatingly complex to use.</w:t>
      </w:r>
      <w:r>
        <w:rPr>
          <w:iCs/>
          <w:i/>
        </w:rPr>
        <w:t xml:space="preserve">”</w:t>
      </w:r>
      <w:r>
        <w:t xml:space="preserve"> </w:t>
      </w:r>
      <w:r>
        <w:t xml:space="preserve">— SmartTask</w:t>
      </w:r>
    </w:p>
    <w:p>
      <w:pPr>
        <w:pStyle w:val="FirstParagraph"/>
      </w:pPr>
      <w:r>
        <w:t xml:space="preserve">Five address</w:t>
      </w:r>
      <w:r>
        <w:t xml:space="preserve"> </w:t>
      </w:r>
      <w:r>
        <w:rPr>
          <w:bCs/>
          <w:b/>
        </w:rPr>
        <w:t xml:space="preserve">UX complexity at scale</w:t>
      </w:r>
      <w:r>
        <w:t xml:space="preserve"> </w:t>
      </w:r>
      <w:r>
        <w:t xml:space="preserve">— tools that are simple for small teams but become unmanageable as organisations grow.</w:t>
      </w:r>
    </w:p>
    <w:p>
      <w:pPr>
        <w:pStyle w:val="BodyText"/>
      </w:pPr>
      <w:r>
        <w:t xml:space="preserve">These are not abstract market needs inferred from trend reports. They are the specific, documented frustrations of the people Helm is being built for. And they describe, with remarkable consistency, a gap between what mid-market PMO professionals need and what the current market provides.</w:t>
      </w:r>
    </w:p>
    <w:p>
      <w:pPr>
        <w:pStyle w:val="BodyText"/>
      </w:pPr>
      <w:r>
        <w:t xml:space="preserve">The AI adoption data adds a final dimension. Fifty-one per cent of project managers already use AI in their work (Xergy/Proteus). Eighty-two per cent of senior leaders expect AI to play a significant role within five years (PMI). But only about 20% of project managers have extensive AI skills (PMI Pulse 2025), and the primary barrier to adoption is resistance to change (26%, Xergy).</w:t>
      </w:r>
    </w:p>
    <w:p>
      <w:pPr>
        <w:pStyle w:val="BodyText"/>
      </w:pPr>
      <w:r>
        <w:t xml:space="preserve">This describes a market that</w:t>
      </w:r>
      <w:r>
        <w:t xml:space="preserve"> </w:t>
      </w:r>
      <w:r>
        <w:rPr>
          <w:iCs/>
          <w:i/>
        </w:rPr>
        <w:t xml:space="preserve">wants</w:t>
      </w:r>
      <w:r>
        <w:t xml:space="preserve"> </w:t>
      </w:r>
      <w:r>
        <w:t xml:space="preserve">AI,</w:t>
      </w:r>
      <w:r>
        <w:t xml:space="preserve"> </w:t>
      </w:r>
      <w:r>
        <w:rPr>
          <w:iCs/>
          <w:i/>
        </w:rPr>
        <w:t xml:space="preserve">expects</w:t>
      </w:r>
      <w:r>
        <w:t xml:space="preserve"> </w:t>
      </w:r>
      <w:r>
        <w:t xml:space="preserve">AI, but needs AI delivered in a way that fits naturally into existing workflows — not as a bolt-on that requires a new skillset. An AI that sits inside the governance pipeline, processing meeting transcripts into structured records without requiring the PMO lead to become a prompt engineer, is precisely what this adoption data calls for.</w:t>
      </w:r>
    </w:p>
    <w:p>
      <w:r>
        <w:pict>
          <v:rect style="width:0;height:1.5pt" o:hralign="center" o:hrstd="t" o:hr="t"/>
        </w:pict>
      </w:r>
    </w:p>
    <w:bookmarkEnd w:id="34"/>
    <w:bookmarkStart w:id="38" w:name="X289442ea8df6cfed5536d5eed024a33ec355cd3"/>
    <w:p>
      <w:pPr>
        <w:pStyle w:val="Heading2"/>
      </w:pPr>
      <w:r>
        <w:t xml:space="preserve">10. Helm’s Position: What We Build and Why It Matters</w:t>
      </w:r>
    </w:p>
    <w:p>
      <w:pPr>
        <w:pStyle w:val="FirstParagraph"/>
      </w:pPr>
      <w:r>
        <w:t xml:space="preserve">Helm is governance-first portfolio management for regulated mid-market organisations. Four capabilities define its positioning — and each one addresses a gap confirmed by the evidence in this document.</w:t>
      </w:r>
    </w:p>
    <w:p>
      <w:pPr>
        <w:pStyle w:val="BodyText"/>
      </w:pPr>
      <w:r>
        <w:rPr>
          <w:bCs/>
          <w:b/>
        </w:rPr>
        <w:t xml:space="preserve">Meeting-to-Governance Traceability.</w:t>
      </w:r>
      <w:r>
        <w:t xml:space="preserve"> </w:t>
      </w:r>
      <w:r>
        <w:t xml:space="preserve">The white space. Fifteen of 16 vendors score ❌, Microsoft scores ⚠️ (tasks only). No tool on the market extracts structured RAID items, decision records, or escalation triggers from meetings and routes them through approval workflows. Existing integrations create tasks; Helm creates governed, auditable, first-class PPM entities. This is the core differentiator.</w:t>
      </w:r>
    </w:p>
    <w:p>
      <w:pPr>
        <w:pStyle w:val="BodyText"/>
      </w:pPr>
      <w:r>
        <w:rPr>
          <w:bCs/>
          <w:b/>
        </w:rPr>
        <w:t xml:space="preserve">First-Class Decision Logging.</w:t>
      </w:r>
      <w:r>
        <w:t xml:space="preserve"> </w:t>
      </w:r>
      <w:r>
        <w:t xml:space="preserve">Among all 16 vendors, only Completix includes decisions as a formal entity in its RAID framework. Most tools treat decisions as notes, comments, or freeform text. Helm treats decisions as what they are: governed records with rationale, stakeholder sign-off, and audit trails.</w:t>
      </w:r>
    </w:p>
    <w:p>
      <w:pPr>
        <w:pStyle w:val="BodyText"/>
      </w:pPr>
      <w:r>
        <w:rPr>
          <w:bCs/>
          <w:b/>
        </w:rPr>
        <w:t xml:space="preserve">P3O-Native Design.</w:t>
      </w:r>
      <w:r>
        <w:t xml:space="preserve"> </w:t>
      </w:r>
      <w:r>
        <w:t xml:space="preserve">Only 4–5 vendors support the full Portfolio → Programme → Project hierarchy. None of them operate at mid-market pricing. Helm is built around P3O from the ground up — not as an enterprise upsell, but as the default architecture.</w:t>
      </w:r>
    </w:p>
    <w:p>
      <w:pPr>
        <w:pStyle w:val="BodyText"/>
      </w:pPr>
      <w:r>
        <w:rPr>
          <w:bCs/>
          <w:b/>
        </w:rPr>
        <w:t xml:space="preserve">Governance-AI Focus.</w:t>
      </w:r>
      <w:r>
        <w:t xml:space="preserve"> </w:t>
      </w:r>
      <w:r>
        <w:t xml:space="preserve">Competitors have invested heavily in AI — but pointed it at resource optimisation (Planisware), content generation (Monday.com, Asana), or IT workflow automation (ServiceNow). Helm points AI at the governance pipeline: the extraction, classification, and routing of governance artefacts. Different problem. Different architecture. Different value.</w:t>
      </w:r>
    </w:p>
    <w:bookmarkStart w:id="35" w:name="the-positioning-statement"/>
    <w:p>
      <w:pPr>
        <w:pStyle w:val="Heading3"/>
      </w:pPr>
      <w:r>
        <w:t xml:space="preserve">The positioning statement</w:t>
      </w:r>
    </w:p>
    <w:p>
      <w:pPr>
        <w:pStyle w:val="BlockText"/>
      </w:pPr>
      <w:r>
        <w:rPr>
          <w:bCs/>
          <w:b/>
        </w:rPr>
        <w:t xml:space="preserve">Helm:</w:t>
      </w:r>
      <w:r>
        <w:t xml:space="preserve"> </w:t>
      </w:r>
      <w:r>
        <w:t xml:space="preserve">Governance-first portfolio management for regulated mid-market organisations. AI that turns meetings into accountability.</w:t>
      </w:r>
    </w:p>
    <w:bookmarkEnd w:id="35"/>
    <w:bookmarkStart w:id="36" w:name="the-technical-approach"/>
    <w:p>
      <w:pPr>
        <w:pStyle w:val="Heading3"/>
      </w:pPr>
      <w:r>
        <w:t xml:space="preserve">The technical approach</w:t>
      </w:r>
    </w:p>
    <w:p>
      <w:pPr>
        <w:pStyle w:val="FirstParagraph"/>
      </w:pPr>
      <w:r>
        <w:t xml:space="preserve">The AI pipeline follows a clear architecture: Meeting → Transcription → Extraction Agent → Classification Agent → Human Review Gate → RAID Integration → Reporting Agent → Dashboard.</w:t>
      </w:r>
    </w:p>
    <w:p>
      <w:pPr>
        <w:pStyle w:val="BodyText"/>
      </w:pPr>
      <w:r>
        <w:t xml:space="preserve">The human review gate is critical. Governance requires human judgement — an AI that auto-classifies a risk as</w:t>
      </w:r>
      <w:r>
        <w:t xml:space="preserve"> </w:t>
      </w:r>
      <w:r>
        <w:t xml:space="preserve">“</w:t>
      </w:r>
      <w:r>
        <w:t xml:space="preserve">HIGH severity</w:t>
      </w:r>
      <w:r>
        <w:t xml:space="preserve">”</w:t>
      </w:r>
      <w:r>
        <w:t xml:space="preserve"> </w:t>
      </w:r>
      <w:r>
        <w:t xml:space="preserve">without review is a liability, not a feature. LangGraph provides the framework: durable execution (governance pipelines survive failures), first-class human-in-the-loop support (approval gates as architectural primitives), and JavaScript/TypeScript support (for a Next.js stack). It is the only AI agent framework that treats interruption and human review as first-class concepts rather than afterthoughts.</w:t>
      </w:r>
    </w:p>
    <w:bookmarkEnd w:id="36"/>
    <w:bookmarkStart w:id="37" w:name="what-still-needs-validation"/>
    <w:p>
      <w:pPr>
        <w:pStyle w:val="Heading3"/>
      </w:pPr>
      <w:r>
        <w:t xml:space="preserve">What still needs validation</w:t>
      </w:r>
    </w:p>
    <w:tbl>
      <w:tblPr>
        <w:tblStyle w:val="Table"/>
        <w:tblW w:type="pct" w:w="5000"/>
        <w:tblLook w:firstRow="1" w:lastRow="0" w:firstColumn="0" w:lastColumn="0" w:noHBand="0" w:noVBand="0" w:val="0020"/>
        <w:jc w:val="start"/>
      </w:tblPr>
      <w:tblGrid>
        <w:gridCol w:w="1523"/>
        <w:gridCol w:w="3960"/>
        <w:gridCol w:w="2436"/>
      </w:tblGrid>
      <w:tr>
        <w:trPr>
          <w:tblHeader w:val="true"/>
        </w:trPr>
        <w:tc>
          <w:tcPr/>
          <w:p>
            <w:pPr>
              <w:pStyle w:val="Compact"/>
              <w:jc w:val="left"/>
            </w:pPr>
            <w:r>
              <w:t xml:space="preserve">Gap</w:t>
            </w:r>
          </w:p>
        </w:tc>
        <w:tc>
          <w:tcPr/>
          <w:p>
            <w:pPr>
              <w:pStyle w:val="Compact"/>
              <w:jc w:val="left"/>
            </w:pPr>
            <w:r>
              <w:t xml:space="preserve">How to Close</w:t>
            </w:r>
          </w:p>
        </w:tc>
        <w:tc>
          <w:tcPr/>
          <w:p>
            <w:pPr>
              <w:pStyle w:val="Compact"/>
              <w:jc w:val="left"/>
            </w:pPr>
            <w:r>
              <w:t xml:space="preserve">Effort</w:t>
            </w:r>
          </w:p>
        </w:tc>
      </w:tr>
      <w:tr>
        <w:tc>
          <w:tcPr/>
          <w:p>
            <w:pPr>
              <w:pStyle w:val="Compact"/>
              <w:jc w:val="left"/>
            </w:pPr>
            <w:r>
              <w:t xml:space="preserve">Customer interviews</w:t>
            </w:r>
          </w:p>
        </w:tc>
        <w:tc>
          <w:tcPr/>
          <w:p>
            <w:pPr>
              <w:pStyle w:val="Compact"/>
              <w:jc w:val="left"/>
            </w:pPr>
            <w:r>
              <w:t xml:space="preserve">10–20 mid-market PMO leads in financial services</w:t>
            </w:r>
          </w:p>
        </w:tc>
        <w:tc>
          <w:tcPr/>
          <w:p>
            <w:pPr>
              <w:pStyle w:val="Compact"/>
              <w:jc w:val="left"/>
            </w:pPr>
            <w:r>
              <w:t xml:space="preserve">3–4 weeks</w:t>
            </w:r>
          </w:p>
        </w:tc>
      </w:tr>
      <w:tr>
        <w:tc>
          <w:tcPr/>
          <w:p>
            <w:pPr>
              <w:pStyle w:val="Compact"/>
              <w:jc w:val="left"/>
            </w:pPr>
            <w:r>
              <w:t xml:space="preserve">Willingness to pay</w:t>
            </w:r>
          </w:p>
        </w:tc>
        <w:tc>
          <w:tcPr/>
          <w:p>
            <w:pPr>
              <w:pStyle w:val="Compact"/>
              <w:jc w:val="left"/>
            </w:pPr>
            <w:r>
              <w:t xml:space="preserve">Van Westendorp pricing in discovery interviews</w:t>
            </w:r>
          </w:p>
        </w:tc>
        <w:tc>
          <w:tcPr/>
          <w:p>
            <w:pPr>
              <w:pStyle w:val="Compact"/>
              <w:jc w:val="left"/>
            </w:pPr>
            <w:r>
              <w:t xml:space="preserve">Bundled</w:t>
            </w:r>
          </w:p>
        </w:tc>
      </w:tr>
      <w:tr>
        <w:tc>
          <w:tcPr/>
          <w:p>
            <w:pPr>
              <w:pStyle w:val="Compact"/>
              <w:jc w:val="left"/>
            </w:pPr>
            <w:r>
              <w:t xml:space="preserve">Meeting-AI demand</w:t>
            </w:r>
          </w:p>
        </w:tc>
        <w:tc>
          <w:tcPr/>
          <w:p>
            <w:pPr>
              <w:pStyle w:val="Compact"/>
              <w:jc w:val="left"/>
            </w:pPr>
            <w:r>
              <w:t xml:space="preserve">Validate meeting→governance as a purchase driver</w:t>
            </w:r>
          </w:p>
        </w:tc>
        <w:tc>
          <w:tcPr/>
          <w:p>
            <w:pPr>
              <w:pStyle w:val="Compact"/>
              <w:jc w:val="left"/>
            </w:pPr>
            <w:r>
              <w:t xml:space="preserve">Bundled</w:t>
            </w:r>
          </w:p>
        </w:tc>
      </w:tr>
      <w:tr>
        <w:tc>
          <w:tcPr/>
          <w:p>
            <w:pPr>
              <w:pStyle w:val="Compact"/>
              <w:jc w:val="left"/>
            </w:pPr>
            <w:r>
              <w:t xml:space="preserve">SAM assumptions</w:t>
            </w:r>
          </w:p>
        </w:tc>
        <w:tc>
          <w:tcPr/>
          <w:p>
            <w:pPr>
              <w:pStyle w:val="Compact"/>
              <w:jc w:val="left"/>
            </w:pPr>
            <w:r>
              <w:t xml:space="preserve">Sector filter (desk research, 2–3 days) + governance needs (interviews)</w:t>
            </w:r>
          </w:p>
        </w:tc>
        <w:tc>
          <w:tcPr/>
          <w:p>
            <w:pPr>
              <w:pStyle w:val="Compact"/>
              <w:jc w:val="left"/>
            </w:pPr>
            <w:r>
              <w:t xml:space="preserve">See above</w:t>
            </w:r>
          </w:p>
        </w:tc>
      </w:tr>
      <w:tr>
        <w:tc>
          <w:tcPr/>
          <w:p>
            <w:pPr>
              <w:pStyle w:val="Compact"/>
              <w:jc w:val="left"/>
            </w:pPr>
            <w:r>
              <w:t xml:space="preserve">IOM beachhead</w:t>
            </w:r>
          </w:p>
        </w:tc>
        <w:tc>
          <w:tcPr/>
          <w:p>
            <w:pPr>
              <w:pStyle w:val="Compact"/>
              <w:jc w:val="left"/>
            </w:pPr>
            <w:r>
              <w:t xml:space="preserve">Pull IOMFSA register, filter by size, target 5–10 for discovery</w:t>
            </w:r>
          </w:p>
        </w:tc>
        <w:tc>
          <w:tcPr/>
          <w:p>
            <w:pPr>
              <w:pStyle w:val="Compact"/>
              <w:jc w:val="left"/>
            </w:pPr>
            <w:r>
              <w:t xml:space="preserve">1 week</w:t>
            </w:r>
          </w:p>
        </w:tc>
      </w:tr>
    </w:tbl>
    <w:p>
      <w:pPr>
        <w:pStyle w:val="BodyText"/>
      </w:pPr>
      <w:r>
        <w:t xml:space="preserve">We are honest about what this document does and does not prove. It proves the gap exists. It proves no one serves it. It proves the market is large enough. It proves the timing is right. What it does not yet prove is that buyers will pay for Helm specifically — that requires conversations, not desk research.</w:t>
      </w:r>
    </w:p>
    <w:p>
      <w:r>
        <w:pict>
          <v:rect style="width:0;height:1.5pt" o:hralign="center" o:hrstd="t" o:hr="t"/>
        </w:pict>
      </w:r>
    </w:p>
    <w:bookmarkEnd w:id="37"/>
    <w:bookmarkEnd w:id="38"/>
    <w:bookmarkStart w:id="39" w:name="research-methodology-how-we-got-here"/>
    <w:p>
      <w:pPr>
        <w:pStyle w:val="Heading2"/>
      </w:pPr>
      <w:r>
        <w:t xml:space="preserve">11. Research Methodology: How We Got Here</w:t>
      </w:r>
    </w:p>
    <w:p>
      <w:pPr>
        <w:pStyle w:val="FirstParagraph"/>
      </w:pPr>
      <w:r>
        <w:t xml:space="preserve">This document was produced through three rounds of AI-assisted desk research over 48 hours, with human review and critique between each round. The progression matters — it demonstrates how each round of scrutiny sharpened the analysis.</w:t>
      </w:r>
    </w:p>
    <w:p>
      <w:pPr>
        <w:pStyle w:val="BodyText"/>
      </w:pPr>
      <w:r>
        <w:rPr>
          <w:bCs/>
          <w:b/>
        </w:rPr>
        <w:t xml:space="preserve">Round 1</w:t>
      </w:r>
      <w:r>
        <w:t xml:space="preserve"> </w:t>
      </w:r>
      <w:r>
        <w:t xml:space="preserve">dispatched four specialist research agents covering competitive intelligence, market data, user evidence, and technical landscape. They produced 150KB of structured research across four documents. The compiled output was graded</w:t>
      </w:r>
      <w:r>
        <w:t xml:space="preserve"> </w:t>
      </w:r>
      <w:r>
        <w:rPr>
          <w:bCs/>
          <w:b/>
        </w:rPr>
        <w:t xml:space="preserve">B+</w:t>
      </w:r>
      <w:r>
        <w:t xml:space="preserve"> </w:t>
      </w:r>
      <w:r>
        <w:t xml:space="preserve">by an external reviewer, who identified three critical gaps: Microsoft was missing from the competitive matrix, the meeting-to-governance definition was too loose, and the SAM lacked sensitivity analysis.</w:t>
      </w:r>
    </w:p>
    <w:p>
      <w:pPr>
        <w:pStyle w:val="BodyText"/>
      </w:pPr>
      <w:r>
        <w:rPr>
          <w:bCs/>
          <w:b/>
        </w:rPr>
        <w:t xml:space="preserve">Round 2</w:t>
      </w:r>
      <w:r>
        <w:t xml:space="preserve"> </w:t>
      </w:r>
      <w:r>
        <w:t xml:space="preserve">addressed those critiques directly. Five agents produced a Microsoft deep-dive, a tightened capability definition, a 10-scenario SAM sensitivity table, currency standardisation, and a citations appendix. The compiled output was graded</w:t>
      </w:r>
      <w:r>
        <w:t xml:space="preserve"> </w:t>
      </w:r>
      <w:r>
        <w:rPr>
          <w:bCs/>
          <w:b/>
        </w:rPr>
        <w:t xml:space="preserve">A-</w:t>
      </w:r>
      <w:r>
        <w:t xml:space="preserve"> </w:t>
      </w:r>
      <w:r>
        <w:t xml:space="preserve">— a step-change improvement, with the remaining gap being an under-analysis of standalone meeting AI tools.</w:t>
      </w:r>
    </w:p>
    <w:p>
      <w:pPr>
        <w:pStyle w:val="BodyText"/>
      </w:pPr>
      <w:r>
        <w:rPr>
          <w:bCs/>
          <w:b/>
        </w:rPr>
        <w:t xml:space="preserve">Round 3</w:t>
      </w:r>
      <w:r>
        <w:t xml:space="preserve"> </w:t>
      </w:r>
      <w:r>
        <w:t xml:space="preserve">closed that gap with a 23KB deep assessment of Otter.ai, Fireflies.ai, and Fathom, including integration analysis, technical barriers, build estimates, and roadmap signal scanning.</w:t>
      </w:r>
    </w:p>
    <w:p>
      <w:pPr>
        <w:pStyle w:val="BodyText"/>
      </w:pPr>
      <w:r>
        <w:t xml:space="preserve">The final evidence base: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Research sub-agents dispatched</w:t>
            </w:r>
          </w:p>
        </w:tc>
        <w:tc>
          <w:tcPr/>
          <w:p>
            <w:pPr>
              <w:pStyle w:val="Compact"/>
              <w:jc w:val="left"/>
            </w:pPr>
            <w:r>
              <w:t xml:space="preserve">12</w:t>
            </w:r>
          </w:p>
        </w:tc>
      </w:tr>
      <w:tr>
        <w:tc>
          <w:tcPr/>
          <w:p>
            <w:pPr>
              <w:pStyle w:val="Compact"/>
              <w:jc w:val="left"/>
            </w:pPr>
            <w:r>
              <w:t xml:space="preserve">Unique sources cited</w:t>
            </w:r>
          </w:p>
        </w:tc>
        <w:tc>
          <w:tcPr/>
          <w:p>
            <w:pPr>
              <w:pStyle w:val="Compact"/>
              <w:jc w:val="left"/>
            </w:pPr>
            <w:r>
              <w:t xml:space="preserve">100+</w:t>
            </w:r>
          </w:p>
        </w:tc>
      </w:tr>
      <w:tr>
        <w:tc>
          <w:tcPr/>
          <w:p>
            <w:pPr>
              <w:pStyle w:val="Compact"/>
              <w:jc w:val="left"/>
            </w:pPr>
            <w:r>
              <w:t xml:space="preserve">Vendors analysed</w:t>
            </w:r>
          </w:p>
        </w:tc>
        <w:tc>
          <w:tcPr/>
          <w:p>
            <w:pPr>
              <w:pStyle w:val="Compact"/>
              <w:jc w:val="left"/>
            </w:pPr>
            <w:r>
              <w:t xml:space="preserve">16 PPM + 3 standalone meeting AI</w:t>
            </w:r>
          </w:p>
        </w:tc>
      </w:tr>
      <w:tr>
        <w:tc>
          <w:tcPr/>
          <w:p>
            <w:pPr>
              <w:pStyle w:val="Compact"/>
              <w:jc w:val="left"/>
            </w:pPr>
            <w:r>
              <w:t xml:space="preserve">Industry surveys referenced</w:t>
            </w:r>
          </w:p>
        </w:tc>
        <w:tc>
          <w:tcPr/>
          <w:p>
            <w:pPr>
              <w:pStyle w:val="Compact"/>
              <w:jc w:val="left"/>
            </w:pPr>
            <w:r>
              <w:t xml:space="preserve">6</w:t>
            </w:r>
          </w:p>
        </w:tc>
      </w:tr>
      <w:tr>
        <w:tc>
          <w:tcPr/>
          <w:p>
            <w:pPr>
              <w:pStyle w:val="Compact"/>
              <w:jc w:val="left"/>
            </w:pPr>
            <w:r>
              <w:t xml:space="preserve">User complaints sourced</w:t>
            </w:r>
          </w:p>
        </w:tc>
        <w:tc>
          <w:tcPr/>
          <w:p>
            <w:pPr>
              <w:pStyle w:val="Compact"/>
              <w:jc w:val="left"/>
            </w:pPr>
            <w:r>
              <w:t xml:space="preserve">40</w:t>
            </w:r>
          </w:p>
        </w:tc>
      </w:tr>
      <w:tr>
        <w:tc>
          <w:tcPr/>
          <w:p>
            <w:pPr>
              <w:pStyle w:val="Compact"/>
              <w:jc w:val="left"/>
            </w:pPr>
            <w:r>
              <w:t xml:space="preserve">External reviews</w:t>
            </w:r>
          </w:p>
        </w:tc>
        <w:tc>
          <w:tcPr/>
          <w:p>
            <w:pPr>
              <w:pStyle w:val="Compact"/>
              <w:jc w:val="left"/>
            </w:pPr>
            <w:r>
              <w:t xml:space="preserve">3 (C+ → B+ → A-)</w:t>
            </w:r>
          </w:p>
        </w:tc>
      </w:tr>
      <w:tr>
        <w:tc>
          <w:tcPr/>
          <w:p>
            <w:pPr>
              <w:pStyle w:val="Compact"/>
              <w:jc w:val="left"/>
            </w:pPr>
            <w:r>
              <w:t xml:space="preserve">Total research output</w:t>
            </w:r>
          </w:p>
        </w:tc>
        <w:tc>
          <w:tcPr/>
          <w:p>
            <w:pPr>
              <w:pStyle w:val="Compact"/>
              <w:jc w:val="left"/>
            </w:pPr>
            <w:r>
              <w:t xml:space="preserve">~220KB across 11 specialist documents</w:t>
            </w:r>
          </w:p>
        </w:tc>
      </w:tr>
      <w:tr>
        <w:tc>
          <w:tcPr/>
          <w:p>
            <w:pPr>
              <w:pStyle w:val="Compact"/>
              <w:jc w:val="left"/>
            </w:pPr>
            <w:r>
              <w:t xml:space="preserve">Calendar time</w:t>
            </w:r>
          </w:p>
        </w:tc>
        <w:tc>
          <w:tcPr/>
          <w:p>
            <w:pPr>
              <w:pStyle w:val="Compact"/>
              <w:jc w:val="left"/>
            </w:pPr>
            <w:r>
              <w:t xml:space="preserve">~48 hours</w:t>
            </w:r>
          </w:p>
        </w:tc>
      </w:tr>
    </w:tbl>
    <w:p>
      <w:pPr>
        <w:pStyle w:val="BodyText"/>
      </w:pPr>
      <w:r>
        <w:t xml:space="preserve">The C+ to B+ to A- progression is itself a quality signal. Each grade came with specific, actionable critiques that the next round addressed. The remaining distance to A is primary validation — customer interviews, willingness-to-pay testing, and beachhead verification. That is not a desk research exercise. It is the next phase of work.</w:t>
      </w:r>
    </w:p>
    <w:p>
      <w:r>
        <w:pict>
          <v:rect style="width:0;height:1.5pt" o:hralign="center" o:hrstd="t" o:hr="t"/>
        </w:pict>
      </w:r>
    </w:p>
    <w:bookmarkEnd w:id="39"/>
    <w:bookmarkStart w:id="40" w:name="whats-next"/>
    <w:p>
      <w:pPr>
        <w:pStyle w:val="Heading2"/>
      </w:pPr>
      <w:r>
        <w:t xml:space="preserve">12. What’s Next</w:t>
      </w:r>
    </w:p>
    <w:p>
      <w:pPr>
        <w:pStyle w:val="FirstParagraph"/>
      </w:pPr>
      <w:r>
        <w:t xml:space="preserve">The desk research phase is comprehensive. The evidence supports the opportunity. The next step is to test that evidence against the market itself.</w:t>
      </w:r>
    </w:p>
    <w:p>
      <w:pPr>
        <w:pStyle w:val="BodyText"/>
      </w:pPr>
      <w:r>
        <w:rPr>
          <w:bCs/>
          <w:b/>
        </w:rPr>
        <w:t xml:space="preserve">Immediate priorities (February 2026):</w:t>
      </w:r>
    </w:p>
    <w:p>
      <w:pPr>
        <w:numPr>
          <w:ilvl w:val="0"/>
          <w:numId w:val="1002"/>
        </w:numPr>
        <w:pStyle w:val="Compact"/>
      </w:pPr>
      <w:r>
        <w:rPr>
          <w:bCs/>
          <w:b/>
        </w:rPr>
        <w:t xml:space="preserve">LinkedIn polls</w:t>
      </w:r>
      <w:r>
        <w:t xml:space="preserve"> </w:t>
      </w:r>
      <w:r>
        <w:t xml:space="preserve">— lightweight validation of governance pain points and meeting-AI interest across PMO professional networks.</w:t>
      </w:r>
    </w:p>
    <w:p>
      <w:pPr>
        <w:numPr>
          <w:ilvl w:val="0"/>
          <w:numId w:val="1002"/>
        </w:numPr>
        <w:pStyle w:val="Compact"/>
      </w:pPr>
      <w:r>
        <w:rPr>
          <w:bCs/>
          <w:b/>
        </w:rPr>
        <w:t xml:space="preserve">IOMFSA register pull</w:t>
      </w:r>
      <w:r>
        <w:t xml:space="preserve"> </w:t>
      </w:r>
      <w:r>
        <w:t xml:space="preserve">— desk research to validate the Isle of Man beachhead (200–400 regulated entities, currently unsourced). Estimated effort: one week.</w:t>
      </w:r>
    </w:p>
    <w:p>
      <w:pPr>
        <w:numPr>
          <w:ilvl w:val="0"/>
          <w:numId w:val="1002"/>
        </w:numPr>
        <w:pStyle w:val="Compact"/>
      </w:pPr>
      <w:r>
        <w:rPr>
          <w:bCs/>
          <w:b/>
        </w:rPr>
        <w:t xml:space="preserve">ONS IDBR cross-reference</w:t>
      </w:r>
      <w:r>
        <w:t xml:space="preserve"> </w:t>
      </w:r>
      <w:r>
        <w:t xml:space="preserve">— tighten the sector filter in SAM calculations against official business register data. Estimated effort: 2–3 days.</w:t>
      </w:r>
    </w:p>
    <w:p>
      <w:pPr>
        <w:pStyle w:val="FirstParagraph"/>
      </w:pPr>
      <w:r>
        <w:rPr>
          <w:bCs/>
          <w:b/>
        </w:rPr>
        <w:t xml:space="preserve">Near-term priorities (February–March 2026):</w:t>
      </w:r>
    </w:p>
    <w:p>
      <w:pPr>
        <w:numPr>
          <w:ilvl w:val="0"/>
          <w:numId w:val="1003"/>
        </w:numPr>
        <w:pStyle w:val="Compact"/>
      </w:pPr>
      <w:r>
        <w:rPr>
          <w:bCs/>
          <w:b/>
        </w:rPr>
        <w:t xml:space="preserve">Discovery interviews</w:t>
      </w:r>
      <w:r>
        <w:t xml:space="preserve"> </w:t>
      </w:r>
      <w:r>
        <w:t xml:space="preserve">— 10–20 conversations with mid-market PMO leads in financial services. These validate the governance needs filter, test willingness to pay (Van Westendorp pricing), and confirm whether meeting-to-governance traceability is a genuine purchase driver or merely an interesting capability.</w:t>
      </w:r>
    </w:p>
    <w:p>
      <w:pPr>
        <w:numPr>
          <w:ilvl w:val="0"/>
          <w:numId w:val="1003"/>
        </w:numPr>
        <w:pStyle w:val="Compact"/>
      </w:pPr>
      <w:r>
        <w:rPr>
          <w:bCs/>
          <w:b/>
        </w:rPr>
        <w:t xml:space="preserve">Competitor product demos</w:t>
      </w:r>
      <w:r>
        <w:t xml:space="preserve"> </w:t>
      </w:r>
      <w:r>
        <w:t xml:space="preserve">— hands-on evaluation of the closest alternatives (Celoxis, Completix, Sciforma) to verify the competitive matrix findings.</w:t>
      </w:r>
    </w:p>
    <w:p>
      <w:pPr>
        <w:pStyle w:val="FirstParagraph"/>
      </w:pPr>
      <w:r>
        <w:rPr>
          <w:bCs/>
          <w:b/>
        </w:rPr>
        <w:t xml:space="preserve">What success looks like:</w:t>
      </w:r>
      <w:r>
        <w:t xml:space="preserve"> </w:t>
      </w:r>
      <w:r>
        <w:t xml:space="preserve">The desk research says the gap is real, the market is viable, and the timing is right. Primary validation either confirms that — in which case Helm moves to prototype — or reveals something the desk research missed, in which case we adjust before building. Either outcome is valuable. Only one is expensive to discover late.</w:t>
      </w:r>
    </w:p>
    <w:p>
      <w:r>
        <w:pict>
          <v:rect style="width:0;height:1.5pt" o:hralign="center" o:hrstd="t" o:hr="t"/>
        </w:pict>
      </w:r>
    </w:p>
    <w:bookmarkEnd w:id="40"/>
    <w:bookmarkStart w:id="41" w:name="appendix-a-key-citations"/>
    <w:p>
      <w:pPr>
        <w:pStyle w:val="Heading2"/>
      </w:pPr>
      <w:r>
        <w:t xml:space="preserve">Appendix A: Key Citations</w:t>
      </w:r>
    </w:p>
    <w:tbl>
      <w:tblPr>
        <w:tblStyle w:val="Table"/>
        <w:tblW w:type="pct" w:w="5000"/>
        <w:tblLook w:firstRow="1" w:lastRow="0" w:firstColumn="0" w:lastColumn="0" w:noHBand="0" w:noVBand="0" w:val="0020"/>
        <w:jc w:val="start"/>
      </w:tblPr>
      <w:tblGrid>
        <w:gridCol w:w="660"/>
        <w:gridCol w:w="1540"/>
        <w:gridCol w:w="1760"/>
        <w:gridCol w:w="1100"/>
        <w:gridCol w:w="286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Source</w:t>
            </w:r>
          </w:p>
        </w:tc>
        <w:tc>
          <w:tcPr/>
          <w:p>
            <w:pPr>
              <w:pStyle w:val="Compact"/>
              <w:jc w:val="left"/>
            </w:pPr>
            <w:r>
              <w:t xml:space="preserve">URL</w:t>
            </w:r>
          </w:p>
        </w:tc>
        <w:tc>
          <w:tcPr/>
          <w:p>
            <w:pPr>
              <w:pStyle w:val="Compact"/>
              <w:jc w:val="left"/>
            </w:pPr>
            <w:r>
              <w:t xml:space="preserve">Reliability</w:t>
            </w:r>
          </w:p>
        </w:tc>
      </w:tr>
      <w:tr>
        <w:tc>
          <w:tcPr/>
          <w:p>
            <w:pPr>
              <w:pStyle w:val="Compact"/>
              <w:jc w:val="left"/>
            </w:pPr>
            <w:r>
              <w:t xml:space="preserve">1</w:t>
            </w:r>
          </w:p>
        </w:tc>
        <w:tc>
          <w:tcPr/>
          <w:p>
            <w:pPr>
              <w:pStyle w:val="Compact"/>
              <w:jc w:val="left"/>
            </w:pPr>
            <w:r>
              <w:t xml:space="preserve">PPM market ~£5.2B ($6.5B, 2023)</w:t>
            </w:r>
          </w:p>
        </w:tc>
        <w:tc>
          <w:tcPr/>
          <w:p>
            <w:pPr>
              <w:pStyle w:val="Compact"/>
              <w:jc w:val="left"/>
            </w:pPr>
            <w:r>
              <w:t xml:space="preserve">IDC PPM Forecast</w:t>
            </w:r>
          </w:p>
        </w:tc>
        <w:tc>
          <w:tcPr/>
          <w:p>
            <w:pPr>
              <w:pStyle w:val="Compact"/>
              <w:jc w:val="left"/>
            </w:pPr>
            <w:r>
              <w:t xml:space="preserve">https://my.idc.com/getdoc.jsp?containerId=US51141624</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Enterprise 60.30% of spend</w:t>
            </w:r>
          </w:p>
        </w:tc>
        <w:tc>
          <w:tcPr/>
          <w:p>
            <w:pPr>
              <w:pStyle w:val="Compact"/>
              <w:jc w:val="left"/>
            </w:pPr>
            <w:r>
              <w:t xml:space="preserve">Mordor Intelligence PPM</w:t>
            </w:r>
          </w:p>
        </w:tc>
        <w:tc>
          <w:tcPr/>
          <w:p>
            <w:pPr>
              <w:pStyle w:val="Compact"/>
              <w:jc w:val="left"/>
            </w:pPr>
            <w:r>
              <w:t xml:space="preserve">https://www.mordorintelligence.com/industry-reports/project-portfolio-management-market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Enterprise &gt;61.0% (cross-verify)</w:t>
            </w:r>
          </w:p>
        </w:tc>
        <w:tc>
          <w:tcPr/>
          <w:p>
            <w:pPr>
              <w:pStyle w:val="Compact"/>
              <w:jc w:val="left"/>
            </w:pPr>
            <w:r>
              <w:t xml:space="preserve">Grand View Research PPM</w:t>
            </w:r>
          </w:p>
        </w:tc>
        <w:tc>
          <w:tcPr/>
          <w:p>
            <w:pPr>
              <w:pStyle w:val="Compact"/>
              <w:jc w:val="left"/>
            </w:pPr>
            <w:r>
              <w:t xml:space="preserve">https://www.grandviewresearch.com/press-release/global-project-portfolio-management-ppm-market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Top 10 vendors = 60.5%</w:t>
            </w:r>
          </w:p>
        </w:tc>
        <w:tc>
          <w:tcPr/>
          <w:p>
            <w:pPr>
              <w:pStyle w:val="Compact"/>
              <w:jc w:val="left"/>
            </w:pPr>
            <w:r>
              <w:t xml:space="preserve">Apps Run The World</w:t>
            </w:r>
          </w:p>
        </w:tc>
        <w:tc>
          <w:tcPr/>
          <w:p>
            <w:pPr>
              <w:pStyle w:val="Compact"/>
              <w:jc w:val="left"/>
            </w:pPr>
            <w:r>
              <w:t xml:space="preserve">https://www.appsruntheworld.com/top-10-project-portfolio-management-software-vendors-and-market-forecast/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Planview AI — no meeting extraction</w:t>
            </w:r>
          </w:p>
        </w:tc>
        <w:tc>
          <w:tcPr/>
          <w:p>
            <w:pPr>
              <w:pStyle w:val="Compact"/>
              <w:jc w:val="left"/>
            </w:pPr>
            <w:r>
              <w:t xml:space="preserve">Planview AI page</w:t>
            </w:r>
          </w:p>
        </w:tc>
        <w:tc>
          <w:tcPr/>
          <w:p>
            <w:pPr>
              <w:pStyle w:val="Compact"/>
              <w:jc w:val="left"/>
            </w:pPr>
            <w:r>
              <w:t xml:space="preserve">https://www.planview.com/ai/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ServiceNow — no meeting extraction</w:t>
            </w:r>
          </w:p>
        </w:tc>
        <w:tc>
          <w:tcPr/>
          <w:p>
            <w:pPr>
              <w:pStyle w:val="Compact"/>
              <w:jc w:val="left"/>
            </w:pPr>
            <w:r>
              <w:t xml:space="preserve">ServiceNow Store</w:t>
            </w:r>
          </w:p>
        </w:tc>
        <w:tc>
          <w:tcPr/>
          <w:p>
            <w:pPr>
              <w:pStyle w:val="Compact"/>
              <w:jc w:val="left"/>
            </w:pPr>
            <w:r>
              <w:t xml:space="preserve">https://store.servicenow.com/store/app/5449a7ae1be06a50a85b16db234bcbb2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Planisware — no meeting extraction</w:t>
            </w:r>
          </w:p>
        </w:tc>
        <w:tc>
          <w:tcPr/>
          <w:p>
            <w:pPr>
              <w:pStyle w:val="Compact"/>
              <w:jc w:val="left"/>
            </w:pPr>
            <w:r>
              <w:t xml:space="preserve">Planisware AI page</w:t>
            </w:r>
          </w:p>
        </w:tc>
        <w:tc>
          <w:tcPr/>
          <w:p>
            <w:pPr>
              <w:pStyle w:val="Compact"/>
              <w:jc w:val="left"/>
            </w:pPr>
            <w:r>
              <w:t xml:space="preserve">https://planisware.com/artificial-intelligence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Asana — no meeting extraction</w:t>
            </w:r>
          </w:p>
        </w:tc>
        <w:tc>
          <w:tcPr/>
          <w:p>
            <w:pPr>
              <w:pStyle w:val="Compact"/>
              <w:jc w:val="left"/>
            </w:pPr>
            <w:r>
              <w:t xml:space="preserve">Asana AI page</w:t>
            </w:r>
          </w:p>
        </w:tc>
        <w:tc>
          <w:tcPr/>
          <w:p>
            <w:pPr>
              <w:pStyle w:val="Compact"/>
              <w:jc w:val="left"/>
            </w:pPr>
            <w:r>
              <w:t xml:space="preserve">https://asana.com/product/ai</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w:t>
            </w:r>
            <w:r>
              <w:t xml:space="preserve">Main request is RAID logging</w:t>
            </w:r>
            <w:r>
              <w:t xml:space="preserve">”</w:t>
            </w:r>
          </w:p>
        </w:tc>
        <w:tc>
          <w:tcPr/>
          <w:p>
            <w:pPr>
              <w:pStyle w:val="Compact"/>
              <w:jc w:val="left"/>
            </w:pPr>
            <w:r>
              <w:t xml:space="preserve">Reddit r/projectmanagement</w:t>
            </w:r>
          </w:p>
        </w:tc>
        <w:tc>
          <w:tcPr/>
          <w:p>
            <w:pPr>
              <w:pStyle w:val="Compact"/>
              <w:jc w:val="left"/>
            </w:pPr>
            <w:r>
              <w:t xml:space="preserve">https://www.reddit.com/r/projectmanagement/comments/137icht/best_pm_software_available/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w:t>
            </w:r>
            <w:r>
              <w:t xml:space="preserve">Asana lacks PMO tools</w:t>
            </w:r>
            <w:r>
              <w:t xml:space="preserve">”</w:t>
            </w:r>
          </w:p>
        </w:tc>
        <w:tc>
          <w:tcPr/>
          <w:p>
            <w:pPr>
              <w:pStyle w:val="Compact"/>
              <w:jc w:val="left"/>
            </w:pPr>
            <w:r>
              <w:t xml:space="preserve">Acuity PPM</w:t>
            </w:r>
          </w:p>
        </w:tc>
        <w:tc>
          <w:tcPr/>
          <w:p>
            <w:pPr>
              <w:pStyle w:val="Compact"/>
              <w:jc w:val="left"/>
            </w:pPr>
            <w:r>
              <w:t xml:space="preserve">https://acuityppm.com/asana-for-portfolio-management/</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w:t>
            </w:r>
            <w:r>
              <w:t xml:space="preserve">Managing the tool, not the project</w:t>
            </w:r>
            <w:r>
              <w:t xml:space="preserve">”</w:t>
            </w:r>
          </w:p>
        </w:tc>
        <w:tc>
          <w:tcPr/>
          <w:p>
            <w:pPr>
              <w:pStyle w:val="Compact"/>
              <w:jc w:val="left"/>
            </w:pPr>
            <w:r>
              <w:t xml:space="preserve">Reddit r/projectmanagement</w:t>
            </w:r>
          </w:p>
        </w:tc>
        <w:tc>
          <w:tcPr/>
          <w:p>
            <w:pPr>
              <w:pStyle w:val="Compact"/>
              <w:jc w:val="left"/>
            </w:pPr>
            <w:r>
              <w:t xml:space="preserve">https://www.reddit.com/r/projectmanagement/comments/1njcluo/switched_from_microsoft_project_or_smartsheet/</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Monday.com — compliance gaps</w:t>
            </w:r>
          </w:p>
        </w:tc>
        <w:tc>
          <w:tcPr/>
          <w:p>
            <w:pPr>
              <w:pStyle w:val="Compact"/>
              <w:jc w:val="left"/>
            </w:pPr>
            <w:r>
              <w:t xml:space="preserve">CPO Club</w:t>
            </w:r>
          </w:p>
        </w:tc>
        <w:tc>
          <w:tcPr/>
          <w:p>
            <w:pPr>
              <w:pStyle w:val="Compact"/>
              <w:jc w:val="left"/>
            </w:pPr>
            <w:r>
              <w:t xml:space="preserve">https://cpoclub.com/tools/monday-review/</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Smartsheet — dependencies break</w:t>
            </w:r>
          </w:p>
        </w:tc>
        <w:tc>
          <w:tcPr/>
          <w:p>
            <w:pPr>
              <w:pStyle w:val="Compact"/>
              <w:jc w:val="left"/>
            </w:pPr>
            <w:r>
              <w:t xml:space="preserve">Reddit r/projectmanagement</w:t>
            </w:r>
          </w:p>
        </w:tc>
        <w:tc>
          <w:tcPr/>
          <w:p>
            <w:pPr>
              <w:pStyle w:val="Compact"/>
              <w:jc w:val="left"/>
            </w:pPr>
            <w:r>
              <w:t xml:space="preserve">https://www.reddit.com/r/projectmanagement/comments/1mvadl6/looking_for_a_smartsheet_replacement_enterprise/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42% spend full day on reports</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82% have PMO, 37% satisfied</w:t>
            </w:r>
          </w:p>
        </w:tc>
        <w:tc>
          <w:tcPr/>
          <w:p>
            <w:pPr>
              <w:pStyle w:val="Compact"/>
              <w:jc w:val="left"/>
            </w:pPr>
            <w:r>
              <w:t xml:space="preserve">Wellingtone 2025</w:t>
            </w:r>
          </w:p>
        </w:tc>
        <w:tc>
          <w:tcPr/>
          <w:p>
            <w:pPr>
              <w:pStyle w:val="Compact"/>
              <w:jc w:val="left"/>
            </w:pPr>
            <w:r>
              <w:t xml:space="preserve">https://wellingtone.co.uk/publications/state-of-project-management-research/</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PMO investment dropped 57→38%</w:t>
            </w:r>
          </w:p>
        </w:tc>
        <w:tc>
          <w:tcPr/>
          <w:p>
            <w:pPr>
              <w:pStyle w:val="Compact"/>
              <w:jc w:val="left"/>
            </w:pPr>
            <w:r>
              <w:t xml:space="preserve">Wellingtone 2024</w:t>
            </w:r>
          </w:p>
        </w:tc>
        <w:tc>
          <w:tcPr/>
          <w:p>
            <w:pPr>
              <w:pStyle w:val="Compact"/>
              <w:jc w:val="left"/>
            </w:pPr>
            <w:r>
              <w:t xml:space="preserve">https://monday.com/blog/project-management/project-management-statistics/</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82% leaders expect AI; 20% skilled</w:t>
            </w:r>
          </w:p>
        </w:tc>
        <w:tc>
          <w:tcPr/>
          <w:p>
            <w:pPr>
              <w:pStyle w:val="Compact"/>
              <w:jc w:val="left"/>
            </w:pPr>
            <w:r>
              <w:t xml:space="preserve">PMI</w:t>
            </w:r>
          </w:p>
        </w:tc>
        <w:tc>
          <w:tcPr/>
          <w:p>
            <w:pPr>
              <w:pStyle w:val="Compact"/>
              <w:jc w:val="left"/>
            </w:pPr>
            <w:r>
              <w:t xml:space="preserve">https://www.pmi.org/-/media/pmi/documents/public/pdf/learning/thought-leadership/shaping-the-future-of-project-management-with-ai.pdf</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FCA PS21/3 — mandatory governance</w:t>
            </w:r>
          </w:p>
        </w:tc>
        <w:tc>
          <w:tcPr/>
          <w:p>
            <w:pPr>
              <w:pStyle w:val="Compact"/>
              <w:jc w:val="left"/>
            </w:pPr>
            <w:r>
              <w:t xml:space="preserve">FCA</w:t>
            </w:r>
          </w:p>
        </w:tc>
        <w:tc>
          <w:tcPr/>
          <w:p>
            <w:pPr>
              <w:pStyle w:val="Compact"/>
              <w:jc w:val="left"/>
            </w:pPr>
            <w:r>
              <w:t xml:space="preserve">https://www.fca.org.uk/publications/policy-statements/ps21-3-building-operational-resilience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DORA Article 6 — ICT risk framework</w:t>
            </w:r>
          </w:p>
        </w:tc>
        <w:tc>
          <w:tcPr/>
          <w:p>
            <w:pPr>
              <w:pStyle w:val="Compact"/>
              <w:jc w:val="left"/>
            </w:pPr>
            <w:r>
              <w:t xml:space="preserve">EU DORA</w:t>
            </w:r>
          </w:p>
        </w:tc>
        <w:tc>
          <w:tcPr/>
          <w:p>
            <w:pPr>
              <w:pStyle w:val="Compact"/>
              <w:jc w:val="left"/>
            </w:pPr>
            <w:r>
              <w:t xml:space="preserve">https://www.digital-operational-resilience-act.com/Article_6.html</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LangGraph — 4.2M downloads, Klarna</w:t>
            </w:r>
          </w:p>
        </w:tc>
        <w:tc>
          <w:tcPr/>
          <w:p>
            <w:pPr>
              <w:pStyle w:val="Compact"/>
              <w:jc w:val="left"/>
            </w:pPr>
            <w:r>
              <w:t xml:space="preserve">LangGraph / Firecrawl</w:t>
            </w:r>
          </w:p>
        </w:tc>
        <w:tc>
          <w:tcPr/>
          <w:p>
            <w:pPr>
              <w:pStyle w:val="Compact"/>
              <w:jc w:val="left"/>
            </w:pPr>
            <w:r>
              <w:t xml:space="preserve">https://langchain-ai.github.io/langgraph/case-studies/klarna</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Otter.ai $100M ARR, enterprise suite</w:t>
            </w:r>
          </w:p>
        </w:tc>
        <w:tc>
          <w:tcPr/>
          <w:p>
            <w:pPr>
              <w:pStyle w:val="Compact"/>
              <w:jc w:val="left"/>
            </w:pPr>
            <w:r>
              <w:t xml:space="preserve">Otter.ai blog</w:t>
            </w:r>
          </w:p>
        </w:tc>
        <w:tc>
          <w:tcPr/>
          <w:p>
            <w:pPr>
              <w:pStyle w:val="Compact"/>
              <w:jc w:val="left"/>
            </w:pPr>
            <w:r>
              <w:t xml:space="preserve">https://otter.ai/blog/otter-ai-caps-transformational-2025-with-100m-arr-milestone-industry-first-ai-meeting-agents-and-global-enterprise-expansion</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Fireflies.ai $1B valuation</w:t>
            </w:r>
          </w:p>
        </w:tc>
        <w:tc>
          <w:tcPr/>
          <w:p>
            <w:pPr>
              <w:pStyle w:val="Compact"/>
              <w:jc w:val="left"/>
            </w:pPr>
            <w:r>
              <w:t xml:space="preserve">Fireflies.ai blog</w:t>
            </w:r>
          </w:p>
        </w:tc>
        <w:tc>
          <w:tcPr/>
          <w:p>
            <w:pPr>
              <w:pStyle w:val="Compact"/>
              <w:jc w:val="left"/>
            </w:pPr>
            <w:r>
              <w:t xml:space="preserve">https://fireflies.ai/blog/fireflies-1-billion-valuation/</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Fathom $17M Series A</w:t>
            </w:r>
          </w:p>
        </w:tc>
        <w:tc>
          <w:tcPr/>
          <w:p>
            <w:pPr>
              <w:pStyle w:val="Compact"/>
              <w:jc w:val="left"/>
            </w:pPr>
            <w:r>
              <w:t xml:space="preserve">TechCrunch</w:t>
            </w:r>
          </w:p>
        </w:tc>
        <w:tc>
          <w:tcPr/>
          <w:p>
            <w:pPr>
              <w:pStyle w:val="Compact"/>
              <w:jc w:val="left"/>
            </w:pPr>
            <w:r>
              <w:t xml:space="preserve">https://techcrunch.com/2024/09/19/ai-notetaker-fathom-raises-17m/</w:t>
            </w:r>
          </w:p>
        </w:tc>
        <w:tc>
          <w:tcPr/>
          <w:p>
            <w:pPr>
              <w:pStyle w:val="Compact"/>
              <w:jc w:val="left"/>
            </w:pPr>
            <w:r>
              <w:t xml:space="preserve">⭐⭐⭐⭐</w:t>
            </w:r>
          </w:p>
        </w:tc>
      </w:tr>
    </w:tbl>
    <w:p>
      <w:pPr>
        <w:pStyle w:val="BodyText"/>
      </w:pPr>
      <w:r>
        <w:rPr>
          <w:bCs/>
          <w:b/>
        </w:rPr>
        <w:t xml:space="preserve">Reliability key:</w:t>
      </w:r>
      <w:r>
        <w:t xml:space="preserve"> </w:t>
      </w:r>
      <w:r>
        <w:t xml:space="preserve">⭐⭐⭐⭐⭐ Primary/regulatory source | ⭐⭐⭐⭐ Established research firm | ⭐⭐⭐ Expert review | ⭐⭐ Anecdotal/community</w:t>
      </w:r>
    </w:p>
    <w:bookmarkEnd w:id="41"/>
    <w:bookmarkStart w:id="42" w:name="appendix-b-full-evidence-base"/>
    <w:p>
      <w:pPr>
        <w:pStyle w:val="Heading2"/>
      </w:pPr>
      <w:r>
        <w:t xml:space="preserve">Appendix B: Full Evidence Base</w:t>
      </w:r>
    </w:p>
    <w:p>
      <w:pPr>
        <w:pStyle w:val="FirstParagraph"/>
      </w:pPr>
      <w:r>
        <w:t xml:space="preserve">This document synthesises 12 specialist research sub-agents across 3 rounds producing:</w:t>
      </w:r>
      <w:r>
        <w:t xml:space="preserve"> </w:t>
      </w:r>
      <w:r>
        <w:t xml:space="preserve">-</w:t>
      </w:r>
      <w:r>
        <w:t xml:space="preserve"> </w:t>
      </w:r>
      <w:r>
        <w:rPr>
          <w:bCs/>
          <w:b/>
        </w:rPr>
        <w:t xml:space="preserve">16 PPM vendor analyses</w:t>
      </w:r>
      <w:r>
        <w:t xml:space="preserve"> </w:t>
      </w:r>
      <w:r>
        <w:t xml:space="preserve">+</w:t>
      </w:r>
      <w:r>
        <w:t xml:space="preserve"> </w:t>
      </w:r>
      <w:r>
        <w:rPr>
          <w:bCs/>
          <w:b/>
        </w:rPr>
        <w:t xml:space="preserve">3 standalone meeting AI analyses</w:t>
      </w:r>
      <w:r>
        <w:t xml:space="preserve"> </w:t>
      </w:r>
      <w:r>
        <w:t xml:space="preserve">across 10+ capabilities</w:t>
      </w:r>
      <w:r>
        <w:t xml:space="preserve"> </w:t>
      </w:r>
      <w:r>
        <w:t xml:space="preserve">-</w:t>
      </w:r>
      <w:r>
        <w:t xml:space="preserve"> </w:t>
      </w:r>
      <w:r>
        <w:rPr>
          <w:bCs/>
          <w:b/>
        </w:rPr>
        <w:t xml:space="preserve">7 market research firms</w:t>
      </w:r>
      <w:r>
        <w:t xml:space="preserve"> </w:t>
      </w:r>
      <w:r>
        <w:t xml:space="preserve">reconciled</w:t>
      </w:r>
      <w:r>
        <w:t xml:space="preserve"> </w:t>
      </w:r>
      <w:r>
        <w:t xml:space="preserve">-</w:t>
      </w:r>
      <w:r>
        <w:t xml:space="preserve"> </w:t>
      </w:r>
      <w:r>
        <w:rPr>
          <w:bCs/>
          <w:b/>
        </w:rPr>
        <w:t xml:space="preserve">6 industry surveys</w:t>
      </w:r>
      <w:r>
        <w:t xml:space="preserve"> </w:t>
      </w:r>
      <w:r>
        <w:t xml:space="preserve">(PMI, Wellingtone, KPMG, Standish, Monday.com, AI adoption)</w:t>
      </w:r>
      <w:r>
        <w:t xml:space="preserve"> </w:t>
      </w:r>
      <w:r>
        <w:t xml:space="preserve">-</w:t>
      </w:r>
      <w:r>
        <w:t xml:space="preserve"> </w:t>
      </w:r>
      <w:r>
        <w:rPr>
          <w:bCs/>
          <w:b/>
        </w:rPr>
        <w:t xml:space="preserve">40 sourced user complaints</w:t>
      </w:r>
      <w:r>
        <w:t xml:space="preserve"> </w:t>
      </w:r>
      <w:r>
        <w:t xml:space="preserve">-</w:t>
      </w:r>
      <w:r>
        <w:t xml:space="preserve"> </w:t>
      </w:r>
      <w:r>
        <w:rPr>
          <w:bCs/>
          <w:b/>
        </w:rPr>
        <w:t xml:space="preserve">5 AI framework evaluations</w:t>
      </w:r>
      <w:r>
        <w:t xml:space="preserve"> </w:t>
      </w:r>
      <w:r>
        <w:t xml:space="preserve">-</w:t>
      </w:r>
      <w:r>
        <w:t xml:space="preserve"> </w:t>
      </w:r>
      <w:r>
        <w:rPr>
          <w:bCs/>
          <w:b/>
        </w:rPr>
        <w:t xml:space="preserve">5 regulatory frameworks</w:t>
      </w:r>
      <w:r>
        <w:t xml:space="preserve"> </w:t>
      </w:r>
      <w:r>
        <w:t xml:space="preserve">assessed</w:t>
      </w:r>
      <w:r>
        <w:t xml:space="preserve"> </w:t>
      </w:r>
      <w:r>
        <w:t xml:space="preserve">-</w:t>
      </w:r>
      <w:r>
        <w:t xml:space="preserve"> </w:t>
      </w:r>
      <w:r>
        <w:rPr>
          <w:bCs/>
          <w:b/>
        </w:rPr>
        <w:t xml:space="preserve">10-scenario SAM sensitivity analysis</w:t>
      </w:r>
      <w:r>
        <w:t xml:space="preserve"> </w:t>
      </w:r>
      <w:r>
        <w:t xml:space="preserve">-</w:t>
      </w:r>
      <w:r>
        <w:t xml:space="preserve"> </w:t>
      </w:r>
      <w:r>
        <w:rPr>
          <w:bCs/>
          <w:b/>
        </w:rPr>
        <w:t xml:space="preserve">23 citations</w:t>
      </w:r>
      <w:r>
        <w:t xml:space="preserve"> </w:t>
      </w:r>
      <w:r>
        <w:t xml:space="preserve">with URLs and reliability ratings</w:t>
      </w:r>
    </w:p>
    <w:p>
      <w:pPr>
        <w:pStyle w:val="BodyText"/>
      </w:pPr>
      <w:r>
        <w:t xml:space="preserve">Supporting documents in</w:t>
      </w:r>
      <w:r>
        <w:t xml:space="preserve"> </w:t>
      </w:r>
      <w:r>
        <w:rPr>
          <w:rStyle w:val="VerbatimChar"/>
        </w:rPr>
        <w:t xml:space="preserve">helm-app/docs/research/</w:t>
      </w:r>
      <w:r>
        <w:t xml:space="preserve">:</w:t>
      </w:r>
      <w:r>
        <w:t xml:space="preserve"> </w:t>
      </w:r>
      <w:r>
        <w:t xml:space="preserve">-</w:t>
      </w:r>
      <w:r>
        <w:t xml:space="preserve"> </w:t>
      </w:r>
      <w:r>
        <w:rPr>
          <w:rStyle w:val="VerbatimChar"/>
        </w:rPr>
        <w:t xml:space="preserve">competitive-intelligence.md</w:t>
      </w:r>
      <w:r>
        <w:t xml:space="preserve"> </w:t>
      </w:r>
      <w:r>
        <w:t xml:space="preserve">(55KB) — 15-vendor deep analysis</w:t>
      </w:r>
      <w:r>
        <w:t xml:space="preserve"> </w:t>
      </w:r>
      <w:r>
        <w:t xml:space="preserve">-</w:t>
      </w:r>
      <w:r>
        <w:t xml:space="preserve"> </w:t>
      </w:r>
      <w:r>
        <w:rPr>
          <w:rStyle w:val="VerbatimChar"/>
        </w:rPr>
        <w:t xml:space="preserve">market-data-verification.md</w:t>
      </w:r>
      <w:r>
        <w:t xml:space="preserve"> </w:t>
      </w:r>
      <w:r>
        <w:t xml:space="preserve">(32KB) — market sizing forensics</w:t>
      </w:r>
      <w:r>
        <w:t xml:space="preserve"> </w:t>
      </w:r>
      <w:r>
        <w:t xml:space="preserve">-</w:t>
      </w:r>
      <w:r>
        <w:t xml:space="preserve"> </w:t>
      </w:r>
      <w:r>
        <w:rPr>
          <w:rStyle w:val="VerbatimChar"/>
        </w:rPr>
        <w:t xml:space="preserve">user-evidence-and-surveys.md</w:t>
      </w:r>
      <w:r>
        <w:t xml:space="preserve"> </w:t>
      </w:r>
      <w:r>
        <w:t xml:space="preserve">(36KB) — complaints + surveys</w:t>
      </w:r>
      <w:r>
        <w:t xml:space="preserve"> </w:t>
      </w:r>
      <w:r>
        <w:t xml:space="preserve">-</w:t>
      </w:r>
      <w:r>
        <w:t xml:space="preserve"> </w:t>
      </w:r>
      <w:r>
        <w:rPr>
          <w:rStyle w:val="VerbatimChar"/>
        </w:rPr>
        <w:t xml:space="preserve">technical-landscape.md</w:t>
      </w:r>
      <w:r>
        <w:t xml:space="preserve"> </w:t>
      </w:r>
      <w:r>
        <w:t xml:space="preserve">(27KB) — framework comparison</w:t>
      </w:r>
      <w:r>
        <w:t xml:space="preserve"> </w:t>
      </w:r>
      <w:r>
        <w:t xml:space="preserve">-</w:t>
      </w:r>
      <w:r>
        <w:t xml:space="preserve"> </w:t>
      </w:r>
      <w:r>
        <w:rPr>
          <w:rStyle w:val="VerbatimChar"/>
        </w:rPr>
        <w:t xml:space="preserve">staging/microsoft-competitive-entry.md</w:t>
      </w:r>
      <w:r>
        <w:t xml:space="preserve"> </w:t>
      </w:r>
      <w:r>
        <w:t xml:space="preserve">(19KB) — Microsoft deep analysis</w:t>
      </w:r>
      <w:r>
        <w:t xml:space="preserve"> </w:t>
      </w:r>
      <w:r>
        <w:t xml:space="preserve">-</w:t>
      </w:r>
      <w:r>
        <w:t xml:space="preserve"> </w:t>
      </w:r>
      <w:r>
        <w:rPr>
          <w:rStyle w:val="VerbatimChar"/>
        </w:rPr>
        <w:t xml:space="preserve">staging/microsoft-threat-assessment.md</w:t>
      </w:r>
      <w:r>
        <w:t xml:space="preserve"> </w:t>
      </w:r>
      <w:r>
        <w:t xml:space="preserve">(17KB) — Microsoft threat assessment</w:t>
      </w:r>
      <w:r>
        <w:t xml:space="preserve"> </w:t>
      </w:r>
      <w:r>
        <w:t xml:space="preserve">-</w:t>
      </w:r>
      <w:r>
        <w:t xml:space="preserve"> </w:t>
      </w:r>
      <w:r>
        <w:rPr>
          <w:rStyle w:val="VerbatimChar"/>
        </w:rPr>
        <w:t xml:space="preserve">staging/meeting-ai-threat-assessment.md</w:t>
      </w:r>
      <w:r>
        <w:t xml:space="preserve"> </w:t>
      </w:r>
      <w:r>
        <w:t xml:space="preserve">(23KB) — Otter/Fireflies/Fathom analysis</w:t>
      </w:r>
    </w:p>
    <w:p>
      <w:r>
        <w:pict>
          <v:rect style="width:0;height:1.5pt" o:hralign="center" o:hrstd="t" o:hr="t"/>
        </w:pict>
      </w:r>
    </w:p>
    <w:p>
      <w:pPr>
        <w:pStyle w:val="FirstParagraph"/>
      </w:pPr>
      <w:r>
        <w:rPr>
          <w:iCs/>
          <w:i/>
        </w:rPr>
        <w:t xml:space="preserve">Desk research phase complete. The path from A- to A is primary validation — LinkedIn polls (w/c 3 February) then discovery interviews. This document is the foundation. What comes next is the proof.</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 Market Validation</dc:title>
  <dc:creator>Bryan Moyer</dc:creator>
  <cp:keywords/>
  <dcterms:created xsi:type="dcterms:W3CDTF">2026-01-31T16:39:43Z</dcterms:created>
  <dcterms:modified xsi:type="dcterms:W3CDTF">2026-01-31T16:39:43Z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subtitle">
    <vt:lpwstr>Meeting-to-Governance Traceability: The Gap Nobody Has Filled</vt:lpwstr>
  </property>
</Properties>
</file>