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Helm Market Validation v3.1</w:t>
      </w:r>
    </w:p>
    <w:p>
      <w:pPr>
        <w:pStyle w:val="Author"/>
      </w:pPr>
      <w:r>
        <w:t xml:space="preserve">Silas | Helm Research</w:t>
      </w:r>
    </w:p>
    <w:p>
      <w:pPr>
        <w:pStyle w:val="Date"/>
      </w:pPr>
      <w:r>
        <w:t xml:space="preserve">31 January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5" w:name="helm-market-validation-v3.1"/>
    <w:p>
      <w:pPr>
        <w:pStyle w:val="Heading1"/>
      </w:pPr>
      <w:r>
        <w:t xml:space="preserve">Helm Market Validation — v3.1</w:t>
      </w:r>
    </w:p>
    <w:p>
      <w:pPr>
        <w:pStyle w:val="FirstParagraph"/>
      </w:pPr>
      <w:r>
        <w:rPr>
          <w:bCs/>
          <w:b/>
        </w:rPr>
        <w:t xml:space="preserve">Date:</w:t>
      </w:r>
      <w:r>
        <w:t xml:space="preserve"> </w:t>
      </w:r>
      <w:r>
        <w:t xml:space="preserve">31 January 2026</w:t>
      </w:r>
      <w:r>
        <w:br/>
      </w:r>
      <w:r>
        <w:rPr>
          <w:bCs/>
          <w:b/>
        </w:rPr>
        <w:t xml:space="preserve">Author:</w:t>
      </w:r>
      <w:r>
        <w:t xml:space="preserve"> </w:t>
      </w:r>
      <w:r>
        <w:t xml:space="preserve">Silas (compiled from 12 specialist research sub-agents across 3 rounds)</w:t>
      </w:r>
      <w:r>
        <w:br/>
      </w:r>
      <w:r>
        <w:rPr>
          <w:bCs/>
          <w:b/>
        </w:rPr>
        <w:t xml:space="preserve">Status:</w:t>
      </w:r>
      <w:r>
        <w:t xml:space="preserve"> </w:t>
      </w:r>
      <w:r>
        <w:t xml:space="preserve">DRAFT — awaiting Bry’s review</w:t>
      </w:r>
      <w:r>
        <w:br/>
      </w:r>
      <w:r>
        <w:rPr>
          <w:bCs/>
          <w:b/>
        </w:rPr>
        <w:t xml:space="preserve">Supersedes:</w:t>
      </w:r>
      <w:r>
        <w:t xml:space="preserve"> </w:t>
      </w:r>
      <w:r>
        <w:t xml:space="preserve">market-validation-v3.md (A-), market-validation-revised-v2.md (B+), market-validation-and-metagpt-analysis.md (C+)</w:t>
      </w:r>
    </w:p>
    <w:p>
      <w:pPr>
        <w:pStyle w:val="BlockText"/>
      </w:pPr>
      <w:r>
        <w:rPr>
          <w:bCs/>
          <w:b/>
        </w:rPr>
        <w:t xml:space="preserve">Currency convention:</w:t>
      </w:r>
      <w:r>
        <w:t xml:space="preserve"> </w:t>
      </w:r>
      <w:r>
        <w:t xml:space="preserve">All figures in GBP (£) unless otherwise noted. Where data originates from USD-denominated sources, the original USD figure is shown in parentheses. Conversion rate: £1 = $1.25 (Jan 2026 approximate). Competitor pricing remains in USD where vendors publish in USD, with GBP equivalent noted.</w:t>
      </w:r>
    </w:p>
    <w:p>
      <w:r>
        <w:pict>
          <v:rect style="width:0;height:1.5pt" o:hralign="center" o:hrstd="t" o:hr="t"/>
        </w:pict>
      </w:r>
    </w:p>
    <w:bookmarkStart w:id="20" w:name="changes-from-v3"/>
    <w:p>
      <w:pPr>
        <w:pStyle w:val="Heading2"/>
      </w:pPr>
      <w:r>
        <w:t xml:space="preserve">Changes from v3</w:t>
      </w:r>
    </w:p>
    <w:tbl>
      <w:tblPr>
        <w:tblStyle w:val="Table"/>
        <w:tblW w:type="pct" w:w="5000"/>
        <w:tblLook w:firstRow="1" w:lastRow="0" w:firstColumn="0" w:lastColumn="0" w:noHBand="0" w:noVBand="0" w:val="0020"/>
        <w:jc w:val="start"/>
      </w:tblPr>
      <w:tblGrid>
        <w:gridCol w:w="1980"/>
        <w:gridCol w:w="3111"/>
        <w:gridCol w:w="2828"/>
      </w:tblGrid>
      <w:tr>
        <w:trPr>
          <w:tblHeader w:val="true"/>
        </w:trPr>
        <w:tc>
          <w:tcPr/>
          <w:p>
            <w:pPr>
              <w:pStyle w:val="Compact"/>
              <w:jc w:val="left"/>
            </w:pPr>
            <w:r>
              <w:t xml:space="preserve">Issue</w:t>
            </w:r>
          </w:p>
        </w:tc>
        <w:tc>
          <w:tcPr/>
          <w:p>
            <w:pPr>
              <w:pStyle w:val="Compact"/>
              <w:jc w:val="left"/>
            </w:pPr>
            <w:r>
              <w:t xml:space="preserve">v3 Status</w:t>
            </w:r>
          </w:p>
        </w:tc>
        <w:tc>
          <w:tcPr/>
          <w:p>
            <w:pPr>
              <w:pStyle w:val="Compact"/>
              <w:jc w:val="left"/>
            </w:pPr>
            <w:r>
              <w:t xml:space="preserve">v3.1 Fix</w:t>
            </w:r>
          </w:p>
        </w:tc>
      </w:tr>
      <w:tr>
        <w:tc>
          <w:tcPr/>
          <w:p>
            <w:pPr>
              <w:pStyle w:val="Compact"/>
              <w:jc w:val="left"/>
            </w:pPr>
            <w:r>
              <w:t xml:space="preserve">Standalone meeting AI (Otter/Fireflies/Fathom) under-analysed</w:t>
            </w:r>
          </w:p>
        </w:tc>
        <w:tc>
          <w:tcPr/>
          <w:p>
            <w:pPr>
              <w:pStyle w:val="Compact"/>
              <w:jc w:val="left"/>
            </w:pPr>
            <w:r>
              <w:t xml:space="preserve">Acknowledged in executive summary, rated HIGH threat in §2.4</w:t>
            </w:r>
          </w:p>
        </w:tc>
        <w:tc>
          <w:tcPr/>
          <w:p>
            <w:pPr>
              <w:pStyle w:val="Compact"/>
              <w:jc w:val="left"/>
            </w:pPr>
            <w:r>
              <w:t xml:space="preserve">Full threat assessment completed — downgraded to</w:t>
            </w:r>
            <w:r>
              <w:t xml:space="preserve"> </w:t>
            </w:r>
            <w:r>
              <w:rPr>
                <w:bCs/>
                <w:b/>
              </w:rPr>
              <w:t xml:space="preserve">LOW</w:t>
            </w:r>
            <w:r>
              <w:t xml:space="preserve">. New §2.5 with integration analysis, technical barriers, and time-to-threat estimate</w:t>
            </w:r>
          </w:p>
        </w:tc>
      </w:tr>
      <w:tr>
        <w:tc>
          <w:tcPr/>
          <w:p>
            <w:pPr>
              <w:pStyle w:val="Compact"/>
              <w:jc w:val="left"/>
            </w:pPr>
            <w:r>
              <w:t xml:space="preserve">Research timeline missing</w:t>
            </w:r>
          </w:p>
        </w:tc>
        <w:tc>
          <w:tcPr/>
          <w:p>
            <w:pPr>
              <w:pStyle w:val="Compact"/>
              <w:jc w:val="left"/>
            </w:pPr>
            <w:r>
              <w:t xml:space="preserve">Not included</w:t>
            </w:r>
          </w:p>
        </w:tc>
        <w:tc>
          <w:tcPr/>
          <w:p>
            <w:pPr>
              <w:pStyle w:val="Compact"/>
              <w:jc w:val="left"/>
            </w:pPr>
            <w:r>
              <w:t xml:space="preserve">New §7 — 3-round research methodology with dates, agent counts, and cost</w:t>
            </w:r>
          </w:p>
        </w:tc>
      </w:tr>
      <w:tr>
        <w:tc>
          <w:tcPr/>
          <w:p>
            <w:pPr>
              <w:pStyle w:val="Compact"/>
              <w:jc w:val="left"/>
            </w:pPr>
            <w:r>
              <w:t xml:space="preserve">IoM beachhead figure unsourced</w:t>
            </w:r>
          </w:p>
        </w:tc>
        <w:tc>
          <w:tcPr/>
          <w:p>
            <w:pPr>
              <w:pStyle w:val="Compact"/>
              <w:jc w:val="left"/>
            </w:pPr>
            <w:r>
              <w:t xml:space="preserve">“</w:t>
            </w:r>
            <w:r>
              <w:t xml:space="preserve">200–400 regulated entities</w:t>
            </w:r>
            <w:r>
              <w:t xml:space="preserve">”</w:t>
            </w:r>
            <w:r>
              <w:t xml:space="preserve"> </w:t>
            </w:r>
            <w:r>
              <w:t xml:space="preserve">stated without citation</w:t>
            </w:r>
          </w:p>
        </w:tc>
        <w:tc>
          <w:tcPr/>
          <w:p>
            <w:pPr>
              <w:pStyle w:val="Compact"/>
              <w:jc w:val="left"/>
            </w:pPr>
            <w:r>
              <w:t xml:space="preserve">Flagged — requires IOMFSA register pull (desk research, 1 week)</w:t>
            </w:r>
          </w:p>
        </w:tc>
      </w:tr>
    </w:tbl>
    <w:bookmarkEnd w:id="20"/>
    <w:bookmarkStart w:id="21" w:name="changes-from-v2-incorporated-in-v3"/>
    <w:p>
      <w:pPr>
        <w:pStyle w:val="Heading2"/>
      </w:pPr>
      <w:r>
        <w:t xml:space="preserve">Changes from v2 (incorporated in v3)</w:t>
      </w:r>
    </w:p>
    <w:tbl>
      <w:tblPr>
        <w:tblStyle w:val="Table"/>
        <w:tblW w:type="pct" w:w="5000"/>
        <w:tblLook w:firstRow="1" w:lastRow="0" w:firstColumn="0" w:lastColumn="0" w:noHBand="0" w:noVBand="0" w:val="0020"/>
        <w:jc w:val="start"/>
      </w:tblPr>
      <w:tblGrid>
        <w:gridCol w:w="2132"/>
        <w:gridCol w:w="3350"/>
        <w:gridCol w:w="2436"/>
      </w:tblGrid>
      <w:tr>
        <w:trPr>
          <w:tblHeader w:val="true"/>
        </w:trPr>
        <w:tc>
          <w:tcPr/>
          <w:p>
            <w:pPr>
              <w:pStyle w:val="Compact"/>
              <w:jc w:val="left"/>
            </w:pPr>
            <w:r>
              <w:t xml:space="preserve">Issue</w:t>
            </w:r>
          </w:p>
        </w:tc>
        <w:tc>
          <w:tcPr/>
          <w:p>
            <w:pPr>
              <w:pStyle w:val="Compact"/>
              <w:jc w:val="left"/>
            </w:pPr>
            <w:r>
              <w:t xml:space="preserve">v2 Status</w:t>
            </w:r>
          </w:p>
        </w:tc>
        <w:tc>
          <w:tcPr/>
          <w:p>
            <w:pPr>
              <w:pStyle w:val="Compact"/>
              <w:jc w:val="left"/>
            </w:pPr>
            <w:r>
              <w:t xml:space="preserve">v3 Fix</w:t>
            </w:r>
          </w:p>
        </w:tc>
      </w:tr>
      <w:tr>
        <w:tc>
          <w:tcPr/>
          <w:p>
            <w:pPr>
              <w:pStyle w:val="Compact"/>
              <w:jc w:val="left"/>
            </w:pPr>
            <w:r>
              <w:t xml:space="preserve">Microsoft missing from competitive matrix</w:t>
            </w:r>
          </w:p>
        </w:tc>
        <w:tc>
          <w:tcPr/>
          <w:p>
            <w:pPr>
              <w:pStyle w:val="Compact"/>
              <w:jc w:val="left"/>
            </w:pPr>
            <w:r>
              <w:t xml:space="preserve">Not covered</w:t>
            </w:r>
          </w:p>
        </w:tc>
        <w:tc>
          <w:tcPr/>
          <w:p>
            <w:pPr>
              <w:pStyle w:val="Compact"/>
              <w:jc w:val="left"/>
            </w:pPr>
            <w:r>
              <w:t xml:space="preserve">Added as 16th vendor — MEDIUM-HIGH threat, only vendor scoring ⚠️ on meeting-to-governance</w:t>
            </w:r>
          </w:p>
        </w:tc>
      </w:tr>
      <w:tr>
        <w:tc>
          <w:tcPr/>
          <w:p>
            <w:pPr>
              <w:pStyle w:val="Compact"/>
              <w:jc w:val="left"/>
            </w:pPr>
            <w:r>
              <w:t xml:space="preserve">Meeting→Action definition too loose</w:t>
            </w:r>
          </w:p>
        </w:tc>
        <w:tc>
          <w:tcPr/>
          <w:p>
            <w:pPr>
              <w:pStyle w:val="Compact"/>
              <w:jc w:val="left"/>
            </w:pPr>
            <w:r>
              <w:t xml:space="preserve">❌ across 15 vendors (imprecise)</w:t>
            </w:r>
          </w:p>
        </w:tc>
        <w:tc>
          <w:tcPr/>
          <w:p>
            <w:pPr>
              <w:pStyle w:val="Compact"/>
              <w:jc w:val="left"/>
            </w:pPr>
            <w:r>
              <w:t xml:space="preserve">Renamed</w:t>
            </w:r>
            <w:r>
              <w:t xml:space="preserve"> </w:t>
            </w:r>
            <w:r>
              <w:t xml:space="preserve">“</w:t>
            </w:r>
            <w:r>
              <w:t xml:space="preserve">Meeting-to-Governance Traceability</w:t>
            </w:r>
            <w:r>
              <w:t xml:space="preserve">”</w:t>
            </w:r>
            <w:r>
              <w:t xml:space="preserve"> </w:t>
            </w:r>
            <w:r>
              <w:t xml:space="preserve">— acknowledges Otter/Fireflies/Teams task extraction, defines the specific governance gap</w:t>
            </w:r>
          </w:p>
        </w:tc>
      </w:tr>
      <w:tr>
        <w:tc>
          <w:tcPr/>
          <w:p>
            <w:pPr>
              <w:pStyle w:val="Compact"/>
              <w:jc w:val="left"/>
            </w:pPr>
            <w:r>
              <w:t xml:space="preserve">SAM has compounding uncertainty</w:t>
            </w:r>
          </w:p>
        </w:tc>
        <w:tc>
          <w:tcPr/>
          <w:p>
            <w:pPr>
              <w:pStyle w:val="Compact"/>
              <w:jc w:val="left"/>
            </w:pPr>
            <w:r>
              <w:t xml:space="preserve">Flagged LOW-MEDIUM, no sensitivity</w:t>
            </w:r>
          </w:p>
        </w:tc>
        <w:tc>
          <w:tcPr/>
          <w:p>
            <w:pPr>
              <w:pStyle w:val="Compact"/>
              <w:jc w:val="left"/>
            </w:pPr>
            <w:r>
              <w:t xml:space="preserve">10-scenario sensitivity table, break-even reality check, primary research roadmap</w:t>
            </w:r>
          </w:p>
        </w:tc>
      </w:tr>
      <w:tr>
        <w:tc>
          <w:tcPr/>
          <w:p>
            <w:pPr>
              <w:pStyle w:val="Compact"/>
              <w:jc w:val="left"/>
            </w:pPr>
            <w:r>
              <w:t xml:space="preserve">Currency inconsistency</w:t>
            </w:r>
          </w:p>
        </w:tc>
        <w:tc>
          <w:tcPr/>
          <w:p>
            <w:pPr>
              <w:pStyle w:val="Compact"/>
              <w:jc w:val="left"/>
            </w:pPr>
            <w:r>
              <w:t xml:space="preserve">Mixed USD/GBP</w:t>
            </w:r>
          </w:p>
        </w:tc>
        <w:tc>
          <w:tcPr/>
          <w:p>
            <w:pPr>
              <w:pStyle w:val="Compact"/>
              <w:jc w:val="left"/>
            </w:pPr>
            <w:r>
              <w:t xml:space="preserve">GBP standard throughout per Bry’s directive</w:t>
            </w:r>
          </w:p>
        </w:tc>
      </w:tr>
      <w:tr>
        <w:tc>
          <w:tcPr/>
          <w:p>
            <w:pPr>
              <w:pStyle w:val="Compact"/>
              <w:jc w:val="left"/>
            </w:pPr>
            <w:r>
              <w:t xml:space="preserve">Source citations not in compiled doc</w:t>
            </w:r>
          </w:p>
        </w:tc>
        <w:tc>
          <w:tcPr/>
          <w:p>
            <w:pPr>
              <w:pStyle w:val="Compact"/>
              <w:jc w:val="left"/>
            </w:pPr>
            <w:r>
              <w:t xml:space="preserve">Referenced but not verifiable</w:t>
            </w:r>
          </w:p>
        </w:tc>
        <w:tc>
          <w:tcPr/>
          <w:p>
            <w:pPr>
              <w:pStyle w:val="Compact"/>
              <w:jc w:val="left"/>
            </w:pPr>
            <w:r>
              <w:t xml:space="preserve">20-citation appendix with URLs and reliability ratings</w:t>
            </w:r>
          </w:p>
        </w:tc>
      </w:tr>
    </w:tbl>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Helm targets a genuine, quantifiable gap in the PPM (Project Portfolio Management) software market.</w:t>
      </w:r>
    </w:p>
    <w:p>
      <w:pPr>
        <w:pStyle w:val="BodyText"/>
      </w:pPr>
      <w:r>
        <w:rPr>
          <w:bCs/>
          <w:b/>
        </w:rPr>
        <w:t xml:space="preserve">The market:</w:t>
      </w:r>
      <w:r>
        <w:t xml:space="preserve"> </w:t>
      </w:r>
      <w:r>
        <w:t xml:space="preserve">~£5.2B ($6.5B, IDC 2023) growing at ~12% CAGR. Large enterprises command ~60% of spend; the remaining ~40% (~£2.1B) serves SMB and mid-market — where governance tooling is weakest.</w:t>
      </w:r>
    </w:p>
    <w:p>
      <w:pPr>
        <w:pStyle w:val="BodyText"/>
      </w:pPr>
      <w:r>
        <w:rPr>
          <w:bCs/>
          <w:b/>
        </w:rPr>
        <w:t xml:space="preserve">The gap:</w:t>
      </w:r>
      <w:r>
        <w:t xml:space="preserve"> </w:t>
      </w:r>
      <w:r>
        <w:t xml:space="preserve">Mid-market organisations (50–500 employees) are stuck between enterprise PPM tools costing £40–160+/user/month ($50–200+) and work management tools (Monday.com, Asana, Smartsheet) that lack governance features. 82% of organisations have a PMO, but only 37% are satisfied with their PM maturity. 42% spend a full working day manually collating project reports.</w:t>
      </w:r>
    </w:p>
    <w:p>
      <w:pPr>
        <w:pStyle w:val="BodyText"/>
      </w:pPr>
      <w:r>
        <w:rPr>
          <w:bCs/>
          <w:b/>
        </w:rPr>
        <w:t xml:space="preserve">The white space — Meeting-to-Governance Traceability:</w:t>
      </w:r>
      <w:r>
        <w:t xml:space="preserve"> </w:t>
      </w:r>
      <w:r>
        <w:t xml:space="preserve">Several tools already connect meetings to tasks. Otter.ai and Fireflies.ai extract action items from transcripts and push them to Asana, Monday.com, or Jira. Microsoft Teams Premium generates AI meeting recaps with suggested follow-ups. These integrations solve a real problem — but they operate at the</w:t>
      </w:r>
      <w:r>
        <w:t xml:space="preserve"> </w:t>
      </w:r>
      <w:r>
        <w:rPr>
          <w:iCs/>
          <w:i/>
        </w:rPr>
        <w:t xml:space="preserve">task</w:t>
      </w:r>
      <w:r>
        <w:t xml:space="preserve"> </w:t>
      </w:r>
      <w:r>
        <w:t xml:space="preserve">level. What no vendor offers is</w:t>
      </w:r>
      <w:r>
        <w:t xml:space="preserve"> </w:t>
      </w:r>
      <w:r>
        <w:rPr>
          <w:bCs/>
          <w:b/>
        </w:rPr>
        <w:t xml:space="preserve">meeting-to-governance traceability</w:t>
      </w:r>
      <w:r>
        <w:t xml:space="preserve"> </w:t>
      </w:r>
      <w:r>
        <w:t xml:space="preserve">— the automatic extraction of structured governance artefacts (RAID items, formal decision records, escalation triggers) from meeting transcripts, classified against a project’s existing risk/issue taxonomy, and routed through approval workflows before becoming first-class entities in the PPM system. A task is a to-do; a RAID entry is a governed, auditable, categorised record with ownership, review dates, and escalation paths. Existing meeting-AI tools create the former. Helm’s white space is the latter.</w:t>
      </w:r>
    </w:p>
    <w:p>
      <w:pPr>
        <w:pStyle w:val="BodyText"/>
      </w:pPr>
      <w:r>
        <w:rPr>
          <w:bCs/>
          <w:b/>
        </w:rPr>
        <w:t xml:space="preserve">Confidence assessment:</w:t>
      </w:r>
    </w:p>
    <w:tbl>
      <w:tblPr>
        <w:tblStyle w:val="Table"/>
        <w:tblW w:type="pct" w:w="5000"/>
        <w:tblLook w:firstRow="1" w:lastRow="0" w:firstColumn="0" w:lastColumn="0" w:noHBand="0" w:noVBand="0" w:val="0020"/>
        <w:jc w:val="start"/>
      </w:tblPr>
      <w:tblGrid>
        <w:gridCol w:w="1980"/>
        <w:gridCol w:w="3111"/>
        <w:gridCol w:w="2828"/>
      </w:tblGrid>
      <w:tr>
        <w:trPr>
          <w:tblHeader w:val="true"/>
        </w:trPr>
        <w:tc>
          <w:tcPr/>
          <w:p>
            <w:pPr>
              <w:pStyle w:val="Compact"/>
              <w:jc w:val="left"/>
            </w:pPr>
            <w:r>
              <w:t xml:space="preserve">Claim</w:t>
            </w:r>
          </w:p>
        </w:tc>
        <w:tc>
          <w:tcPr/>
          <w:p>
            <w:pPr>
              <w:pStyle w:val="Compact"/>
              <w:jc w:val="left"/>
            </w:pPr>
            <w:r>
              <w:t xml:space="preserve">Confidence</w:t>
            </w:r>
          </w:p>
        </w:tc>
        <w:tc>
          <w:tcPr/>
          <w:p>
            <w:pPr>
              <w:pStyle w:val="Compact"/>
              <w:jc w:val="left"/>
            </w:pPr>
            <w:r>
              <w:t xml:space="preserve">Evidence</w:t>
            </w:r>
          </w:p>
        </w:tc>
      </w:tr>
      <w:tr>
        <w:tc>
          <w:tcPr/>
          <w:p>
            <w:pPr>
              <w:pStyle w:val="Compact"/>
              <w:jc w:val="left"/>
            </w:pPr>
            <w:r>
              <w:t xml:space="preserve">Market size ~£5.2–5.9B ($6.5–7.4B)</w:t>
            </w:r>
          </w:p>
        </w:tc>
        <w:tc>
          <w:tcPr/>
          <w:p>
            <w:pPr>
              <w:pStyle w:val="Compact"/>
              <w:jc w:val="left"/>
            </w:pPr>
            <w:r>
              <w:rPr>
                <w:bCs/>
                <w:b/>
              </w:rPr>
              <w:t xml:space="preserve">HIGH</w:t>
            </w:r>
          </w:p>
        </w:tc>
        <w:tc>
          <w:tcPr/>
          <w:p>
            <w:pPr>
              <w:pStyle w:val="Compact"/>
              <w:jc w:val="left"/>
            </w:pPr>
            <w:r>
              <w:t xml:space="preserve">IDC vendor-reported revenue (bottom-up methodology)</w:t>
            </w:r>
          </w:p>
        </w:tc>
      </w:tr>
      <w:tr>
        <w:tc>
          <w:tcPr/>
          <w:p>
            <w:pPr>
              <w:pStyle w:val="Compact"/>
              <w:jc w:val="left"/>
            </w:pPr>
            <w:r>
              <w:t xml:space="preserve">Mid-market is underserved for governance</w:t>
            </w:r>
          </w:p>
        </w:tc>
        <w:tc>
          <w:tcPr/>
          <w:p>
            <w:pPr>
              <w:pStyle w:val="Compact"/>
              <w:jc w:val="left"/>
            </w:pPr>
            <w:r>
              <w:rPr>
                <w:bCs/>
                <w:b/>
              </w:rPr>
              <w:t xml:space="preserve">HIGH</w:t>
            </w:r>
          </w:p>
        </w:tc>
        <w:tc>
          <w:tcPr/>
          <w:p>
            <w:pPr>
              <w:pStyle w:val="Compact"/>
              <w:jc w:val="left"/>
            </w:pPr>
            <w:r>
              <w:t xml:space="preserve">40 sourced user complaints + Gartner/Wellingtone survey data</w:t>
            </w:r>
          </w:p>
        </w:tc>
      </w:tr>
      <w:tr>
        <w:tc>
          <w:tcPr/>
          <w:p>
            <w:pPr>
              <w:pStyle w:val="Compact"/>
              <w:jc w:val="left"/>
            </w:pPr>
            <w:r>
              <w:t xml:space="preserve">Meeting-to-governance traceability is white space</w:t>
            </w:r>
          </w:p>
        </w:tc>
        <w:tc>
          <w:tcPr/>
          <w:p>
            <w:pPr>
              <w:pStyle w:val="Compact"/>
              <w:jc w:val="left"/>
            </w:pPr>
            <w:r>
              <w:rPr>
                <w:bCs/>
                <w:b/>
              </w:rPr>
              <w:t xml:space="preserve">HIGH</w:t>
            </w:r>
          </w:p>
        </w:tc>
        <w:tc>
          <w:tcPr/>
          <w:p>
            <w:pPr>
              <w:pStyle w:val="Compact"/>
              <w:jc w:val="left"/>
            </w:pPr>
            <w:r>
              <w:t xml:space="preserve">❌ across all 16 vendors verified individually; basic meeting-to-task integrations (Otter, Fireflies, Teams) acknowledged — gap is governance-grade extraction</w:t>
            </w:r>
          </w:p>
        </w:tc>
      </w:tr>
      <w:tr>
        <w:tc>
          <w:tcPr/>
          <w:p>
            <w:pPr>
              <w:pStyle w:val="Compact"/>
              <w:jc w:val="left"/>
            </w:pPr>
            <w:r>
              <w:t xml:space="preserve">Regulatory drivers force tool adoption</w:t>
            </w:r>
          </w:p>
        </w:tc>
        <w:tc>
          <w:tcPr/>
          <w:p>
            <w:pPr>
              <w:pStyle w:val="Compact"/>
              <w:jc w:val="left"/>
            </w:pPr>
            <w:r>
              <w:rPr>
                <w:bCs/>
                <w:b/>
              </w:rPr>
              <w:t xml:space="preserve">HIGH</w:t>
            </w:r>
          </w:p>
        </w:tc>
        <w:tc>
          <w:tcPr/>
          <w:p>
            <w:pPr>
              <w:pStyle w:val="Compact"/>
              <w:jc w:val="left"/>
            </w:pPr>
            <w:r>
              <w:t xml:space="preserve">FCA PS21/3 and EU DORA are mandatory compliance frameworks</w:t>
            </w:r>
          </w:p>
        </w:tc>
      </w:tr>
      <w:tr>
        <w:tc>
          <w:tcPr/>
          <w:p>
            <w:pPr>
              <w:pStyle w:val="Compact"/>
              <w:jc w:val="left"/>
            </w:pPr>
            <w:r>
              <w:t xml:space="preserve">AI is a top buyer priority</w:t>
            </w:r>
          </w:p>
        </w:tc>
        <w:tc>
          <w:tcPr/>
          <w:p>
            <w:pPr>
              <w:pStyle w:val="Compact"/>
              <w:jc w:val="left"/>
            </w:pPr>
            <w:r>
              <w:rPr>
                <w:bCs/>
                <w:b/>
              </w:rPr>
              <w:t xml:space="preserve">MEDIUM</w:t>
            </w:r>
          </w:p>
        </w:tc>
        <w:tc>
          <w:tcPr/>
          <w:p>
            <w:pPr>
              <w:pStyle w:val="Compact"/>
              <w:jc w:val="left"/>
            </w:pPr>
            <w:r>
              <w:t xml:space="preserve">82% executives expect AI impact (PMI), but not verified as</w:t>
            </w:r>
            <w:r>
              <w:t xml:space="preserve"> </w:t>
            </w:r>
            <w:r>
              <w:t xml:space="preserve">“</w:t>
            </w:r>
            <w:r>
              <w:t xml:space="preserve">#1</w:t>
            </w:r>
            <w:r>
              <w:t xml:space="preserve">”</w:t>
            </w:r>
          </w:p>
        </w:tc>
      </w:tr>
      <w:tr>
        <w:tc>
          <w:tcPr/>
          <w:p>
            <w:pPr>
              <w:pStyle w:val="Compact"/>
              <w:jc w:val="left"/>
            </w:pPr>
            <w:r>
              <w:t xml:space="preserve">Helm can capture £43–53M SAM</w:t>
            </w:r>
          </w:p>
        </w:tc>
        <w:tc>
          <w:tcPr/>
          <w:p>
            <w:pPr>
              <w:pStyle w:val="Compact"/>
              <w:jc w:val="left"/>
            </w:pPr>
            <w:r>
              <w:rPr>
                <w:bCs/>
                <w:b/>
              </w:rPr>
              <w:t xml:space="preserve">LOW-MEDIUM</w:t>
            </w:r>
          </w:p>
        </w:tc>
        <w:tc>
          <w:tcPr/>
          <w:p>
            <w:pPr>
              <w:pStyle w:val="Compact"/>
              <w:jc w:val="left"/>
            </w:pPr>
            <w:r>
              <w:t xml:space="preserve">Bottom-up estimate; realistic range £25M–£55M per sensitivity analysis</w:t>
            </w:r>
          </w:p>
        </w:tc>
      </w:tr>
    </w:tbl>
    <w:p>
      <w:r>
        <w:pict>
          <v:rect style="width:0;height:1.5pt" o:hralign="center" o:hrstd="t" o:hr="t"/>
        </w:pict>
      </w:r>
    </w:p>
    <w:bookmarkEnd w:id="22"/>
    <w:bookmarkStart w:id="28" w:name="market-sizing"/>
    <w:p>
      <w:pPr>
        <w:pStyle w:val="Heading2"/>
      </w:pPr>
      <w:r>
        <w:t xml:space="preserve">1. Market Sizing</w:t>
      </w:r>
    </w:p>
    <w:bookmarkStart w:id="23" w:name="verified-market-size"/>
    <w:p>
      <w:pPr>
        <w:pStyle w:val="Heading3"/>
      </w:pPr>
      <w:r>
        <w:t xml:space="preserve">1.1 Verified Market Size</w:t>
      </w:r>
    </w:p>
    <w:p>
      <w:pPr>
        <w:pStyle w:val="FirstParagraph"/>
      </w:pPr>
      <w:r>
        <w:t xml:space="preserve">The PPM software market is valued between £4.0B and £6.2B ($5.0–7.8B) depending on scope definition. After reconciling 7 research firms:</w:t>
      </w:r>
    </w:p>
    <w:tbl>
      <w:tblPr>
        <w:tblStyle w:val="Table"/>
        <w:tblW w:type="pct" w:w="5000"/>
        <w:tblLook w:firstRow="1" w:lastRow="0" w:firstColumn="0" w:lastColumn="0" w:noHBand="0" w:noVBand="0" w:val="0020"/>
        <w:jc w:val="start"/>
      </w:tblPr>
      <w:tblGrid>
        <w:gridCol w:w="1800"/>
        <w:gridCol w:w="1800"/>
        <w:gridCol w:w="1920"/>
        <w:gridCol w:w="840"/>
        <w:gridCol w:w="1560"/>
      </w:tblGrid>
      <w:tr>
        <w:trPr>
          <w:tblHeader w:val="true"/>
        </w:trPr>
        <w:tc>
          <w:tcPr/>
          <w:p>
            <w:pPr>
              <w:pStyle w:val="Compact"/>
              <w:jc w:val="left"/>
            </w:pPr>
            <w:r>
              <w:t xml:space="preserve">Research Firm</w:t>
            </w:r>
          </w:p>
        </w:tc>
        <w:tc>
          <w:tcPr/>
          <w:p>
            <w:pPr>
              <w:pStyle w:val="Compact"/>
              <w:jc w:val="left"/>
            </w:pPr>
            <w:r>
              <w:t xml:space="preserve">Estimate (GBP)</w:t>
            </w:r>
          </w:p>
        </w:tc>
        <w:tc>
          <w:tcPr/>
          <w:p>
            <w:pPr>
              <w:pStyle w:val="Compact"/>
              <w:jc w:val="left"/>
            </w:pPr>
            <w:r>
              <w:t xml:space="preserve">Estimate (USD)</w:t>
            </w:r>
          </w:p>
        </w:tc>
        <w:tc>
          <w:tcPr/>
          <w:p>
            <w:pPr>
              <w:pStyle w:val="Compact"/>
              <w:jc w:val="left"/>
            </w:pPr>
            <w:r>
              <w:t xml:space="preserve">Scope</w:t>
            </w:r>
          </w:p>
        </w:tc>
        <w:tc>
          <w:tcPr/>
          <w:p>
            <w:pPr>
              <w:pStyle w:val="Compact"/>
              <w:jc w:val="left"/>
            </w:pPr>
            <w:r>
              <w:t xml:space="preserve">Methodology</w:t>
            </w:r>
          </w:p>
        </w:tc>
      </w:tr>
      <w:tr>
        <w:tc>
          <w:tcPr/>
          <w:p>
            <w:pPr>
              <w:pStyle w:val="Compact"/>
              <w:jc w:val="left"/>
            </w:pPr>
            <w:r>
              <w:rPr>
                <w:bCs/>
                <w:b/>
              </w:rPr>
              <w:t xml:space="preserve">IDC</w:t>
            </w:r>
            <w:r>
              <w:t xml:space="preserve"> </w:t>
            </w:r>
            <w:r>
              <w:t xml:space="preserve">⭐</w:t>
            </w:r>
          </w:p>
        </w:tc>
        <w:tc>
          <w:tcPr/>
          <w:p>
            <w:pPr>
              <w:pStyle w:val="Compact"/>
              <w:jc w:val="left"/>
            </w:pPr>
            <w:r>
              <w:rPr>
                <w:bCs/>
                <w:b/>
              </w:rPr>
              <w:t xml:space="preserve">~£5.2B (2023)</w:t>
            </w:r>
          </w:p>
        </w:tc>
        <w:tc>
          <w:tcPr/>
          <w:p>
            <w:pPr>
              <w:pStyle w:val="Compact"/>
              <w:jc w:val="left"/>
            </w:pPr>
            <w:r>
              <w:t xml:space="preserve">$6.5B</w:t>
            </w:r>
          </w:p>
        </w:tc>
        <w:tc>
          <w:tcPr/>
          <w:p>
            <w:pPr>
              <w:pStyle w:val="Compact"/>
              <w:jc w:val="left"/>
            </w:pPr>
            <w:r>
              <w:t xml:space="preserve">PPM software</w:t>
            </w:r>
          </w:p>
        </w:tc>
        <w:tc>
          <w:tcPr/>
          <w:p>
            <w:pPr>
              <w:pStyle w:val="Compact"/>
              <w:jc w:val="left"/>
            </w:pPr>
            <w:r>
              <w:t xml:space="preserve">Vendor-reported revenue (bottom-up)</w:t>
            </w:r>
          </w:p>
        </w:tc>
      </w:tr>
      <w:tr>
        <w:tc>
          <w:tcPr/>
          <w:p>
            <w:pPr>
              <w:pStyle w:val="Compact"/>
              <w:jc w:val="left"/>
            </w:pPr>
            <w:r>
              <w:t xml:space="preserve">Mordor Intelligence</w:t>
            </w:r>
          </w:p>
        </w:tc>
        <w:tc>
          <w:tcPr/>
          <w:p>
            <w:pPr>
              <w:pStyle w:val="Compact"/>
              <w:jc w:val="left"/>
            </w:pPr>
            <w:r>
              <w:t xml:space="preserve">~£5.5B (2025)</w:t>
            </w:r>
          </w:p>
        </w:tc>
        <w:tc>
          <w:tcPr/>
          <w:p>
            <w:pPr>
              <w:pStyle w:val="Compact"/>
              <w:jc w:val="left"/>
            </w:pPr>
            <w:r>
              <w:t xml:space="preserve">$6.90B</w:t>
            </w:r>
          </w:p>
        </w:tc>
        <w:tc>
          <w:tcPr/>
          <w:p>
            <w:pPr>
              <w:pStyle w:val="Compact"/>
              <w:jc w:val="left"/>
            </w:pPr>
            <w:r>
              <w:t xml:space="preserve">PPM software</w:t>
            </w:r>
          </w:p>
        </w:tc>
        <w:tc>
          <w:tcPr/>
          <w:p>
            <w:pPr>
              <w:pStyle w:val="Compact"/>
              <w:jc w:val="left"/>
            </w:pPr>
            <w:r>
              <w:t xml:space="preserve">Primary + secondary research</w:t>
            </w:r>
          </w:p>
        </w:tc>
      </w:tr>
      <w:tr>
        <w:tc>
          <w:tcPr/>
          <w:p>
            <w:pPr>
              <w:pStyle w:val="Compact"/>
              <w:jc w:val="left"/>
            </w:pPr>
            <w:r>
              <w:t xml:space="preserve">Grand View Research</w:t>
            </w:r>
          </w:p>
        </w:tc>
        <w:tc>
          <w:tcPr/>
          <w:p>
            <w:pPr>
              <w:pStyle w:val="Compact"/>
              <w:jc w:val="left"/>
            </w:pPr>
            <w:r>
              <w:t xml:space="preserve">~£4.6B (2024)</w:t>
            </w:r>
          </w:p>
        </w:tc>
        <w:tc>
          <w:tcPr/>
          <w:p>
            <w:pPr>
              <w:pStyle w:val="Compact"/>
              <w:jc w:val="left"/>
            </w:pPr>
            <w:r>
              <w:t xml:space="preserve">$5.71B</w:t>
            </w:r>
          </w:p>
        </w:tc>
        <w:tc>
          <w:tcPr/>
          <w:p>
            <w:pPr>
              <w:pStyle w:val="Compact"/>
              <w:jc w:val="left"/>
            </w:pPr>
            <w:r>
              <w:t xml:space="preserve">PPM software only</w:t>
            </w:r>
          </w:p>
        </w:tc>
        <w:tc>
          <w:tcPr/>
          <w:p>
            <w:pPr>
              <w:pStyle w:val="Compact"/>
              <w:jc w:val="left"/>
            </w:pPr>
            <w:r>
              <w:t xml:space="preserve">Survey-based, top-down</w:t>
            </w:r>
          </w:p>
        </w:tc>
      </w:tr>
      <w:tr>
        <w:tc>
          <w:tcPr/>
          <w:p>
            <w:pPr>
              <w:pStyle w:val="Compact"/>
              <w:jc w:val="left"/>
            </w:pPr>
            <w:r>
              <w:t xml:space="preserve">MarketsandMarkets</w:t>
            </w:r>
          </w:p>
        </w:tc>
        <w:tc>
          <w:tcPr/>
          <w:p>
            <w:pPr>
              <w:pStyle w:val="Compact"/>
              <w:jc w:val="left"/>
            </w:pPr>
            <w:r>
              <w:t xml:space="preserve">~£6.2B (2024)</w:t>
            </w:r>
          </w:p>
        </w:tc>
        <w:tc>
          <w:tcPr/>
          <w:p>
            <w:pPr>
              <w:pStyle w:val="Compact"/>
              <w:jc w:val="left"/>
            </w:pPr>
            <w:r>
              <w:t xml:space="preserve">$7.8B</w:t>
            </w:r>
          </w:p>
        </w:tc>
        <w:tc>
          <w:tcPr/>
          <w:p>
            <w:pPr>
              <w:pStyle w:val="Compact"/>
              <w:jc w:val="left"/>
            </w:pPr>
            <w:r>
              <w:t xml:space="preserve">Solutions + services</w:t>
            </w:r>
          </w:p>
        </w:tc>
        <w:tc>
          <w:tcPr/>
          <w:p>
            <w:pPr>
              <w:pStyle w:val="Compact"/>
              <w:jc w:val="left"/>
            </w:pPr>
            <w:r>
              <w:t xml:space="preserve">Expert interviews + modelling</w:t>
            </w:r>
          </w:p>
        </w:tc>
      </w:tr>
      <w:tr>
        <w:tc>
          <w:tcPr/>
          <w:p>
            <w:pPr>
              <w:pStyle w:val="Compact"/>
              <w:jc w:val="left"/>
            </w:pPr>
            <w:r>
              <w:t xml:space="preserve">Fortune Business Insights</w:t>
            </w:r>
          </w:p>
        </w:tc>
        <w:tc>
          <w:tcPr/>
          <w:p>
            <w:pPr>
              <w:pStyle w:val="Compact"/>
              <w:jc w:val="left"/>
            </w:pPr>
            <w:r>
              <w:t xml:space="preserve">~£4.0B (2024)</w:t>
            </w:r>
          </w:p>
        </w:tc>
        <w:tc>
          <w:tcPr/>
          <w:p>
            <w:pPr>
              <w:pStyle w:val="Compact"/>
              <w:jc w:val="left"/>
            </w:pPr>
            <w:r>
              <w:t xml:space="preserve">$5.04B</w:t>
            </w:r>
          </w:p>
        </w:tc>
        <w:tc>
          <w:tcPr/>
          <w:p>
            <w:pPr>
              <w:pStyle w:val="Compact"/>
              <w:jc w:val="left"/>
            </w:pPr>
            <w:r>
              <w:t xml:space="preserve">PPM software</w:t>
            </w:r>
          </w:p>
        </w:tc>
        <w:tc>
          <w:tcPr/>
          <w:p>
            <w:pPr>
              <w:pStyle w:val="Compact"/>
              <w:jc w:val="left"/>
            </w:pPr>
            <w:r>
              <w:t xml:space="preserve">Secondary research</w:t>
            </w:r>
          </w:p>
        </w:tc>
      </w:tr>
    </w:tbl>
    <w:p>
      <w:pPr>
        <w:pStyle w:val="BodyText"/>
      </w:pPr>
      <w:r>
        <w:rPr>
          <w:bCs/>
          <w:b/>
        </w:rPr>
        <w:t xml:space="preserve">Why the range?</w:t>
      </w:r>
      <w:r>
        <w:t xml:space="preserve"> </w:t>
      </w:r>
      <w:r>
        <w:t xml:space="preserve">MarketsandMarkets includes consulting/integration services. Grand View and Fortune use narrower software-only definitions. IDC uses vendor-reported financials — the most defensible methodology for software market sizing.</w:t>
      </w:r>
    </w:p>
    <w:p>
      <w:pPr>
        <w:pStyle w:val="BodyText"/>
      </w:pPr>
      <w:r>
        <w:rPr>
          <w:bCs/>
          <w:b/>
        </w:rPr>
        <w:t xml:space="preserve">Recommended anchor:</w:t>
      </w:r>
      <w:r>
        <w:t xml:space="preserve"> </w:t>
      </w:r>
      <w:r>
        <w:t xml:space="preserve">IDC’s ~£5.2B ($6.5B, 2023), estimated ~£5.9B ($7.4B) for 2024 at 13.3% YoY growth.</w:t>
      </w:r>
    </w:p>
    <w:bookmarkEnd w:id="23"/>
    <w:bookmarkStart w:id="24" w:name="growth-trajectory"/>
    <w:p>
      <w:pPr>
        <w:pStyle w:val="Heading3"/>
      </w:pPr>
      <w:r>
        <w:t xml:space="preserve">1.2 Growth Trajectory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Figure</w:t>
            </w:r>
          </w:p>
        </w:tc>
        <w:tc>
          <w:tcPr/>
          <w:p>
            <w:pPr>
              <w:pStyle w:val="Compact"/>
              <w:jc w:val="left"/>
            </w:pPr>
            <w:r>
              <w:t xml:space="preserve">Source</w:t>
            </w:r>
          </w:p>
        </w:tc>
      </w:tr>
      <w:tr>
        <w:tc>
          <w:tcPr/>
          <w:p>
            <w:pPr>
              <w:pStyle w:val="Compact"/>
              <w:jc w:val="left"/>
            </w:pPr>
            <w:r>
              <w:t xml:space="preserve">Overall PPM CAGR</w:t>
            </w:r>
          </w:p>
        </w:tc>
        <w:tc>
          <w:tcPr/>
          <w:p>
            <w:pPr>
              <w:pStyle w:val="Compact"/>
              <w:jc w:val="left"/>
            </w:pPr>
            <w:r>
              <w:t xml:space="preserve">11.6–14.2%</w:t>
            </w:r>
          </w:p>
        </w:tc>
        <w:tc>
          <w:tcPr/>
          <w:p>
            <w:pPr>
              <w:pStyle w:val="Compact"/>
              <w:jc w:val="left"/>
            </w:pPr>
            <w:r>
              <w:t xml:space="preserve">Multiple (Mordor, GVR, M&amp;M)</w:t>
            </w:r>
          </w:p>
        </w:tc>
      </w:tr>
      <w:tr>
        <w:tc>
          <w:tcPr/>
          <w:p>
            <w:pPr>
              <w:pStyle w:val="Compact"/>
              <w:jc w:val="left"/>
            </w:pPr>
            <w:r>
              <w:t xml:space="preserve">Cloud PPM CAGR</w:t>
            </w:r>
          </w:p>
        </w:tc>
        <w:tc>
          <w:tcPr/>
          <w:p>
            <w:pPr>
              <w:pStyle w:val="Compact"/>
              <w:jc w:val="left"/>
            </w:pPr>
            <w:r>
              <w:t xml:space="preserve">16.85%</w:t>
            </w:r>
          </w:p>
        </w:tc>
        <w:tc>
          <w:tcPr/>
          <w:p>
            <w:pPr>
              <w:pStyle w:val="Compact"/>
              <w:jc w:val="left"/>
            </w:pPr>
            <w:r>
              <w:t xml:space="preserve">Mordor Intelligence</w:t>
            </w:r>
          </w:p>
        </w:tc>
      </w:tr>
      <w:tr>
        <w:tc>
          <w:tcPr/>
          <w:p>
            <w:pPr>
              <w:pStyle w:val="Compact"/>
              <w:jc w:val="left"/>
            </w:pPr>
            <w:r>
              <w:t xml:space="preserve">Cloud PPM share (2025)</w:t>
            </w:r>
          </w:p>
        </w:tc>
        <w:tc>
          <w:tcPr/>
          <w:p>
            <w:pPr>
              <w:pStyle w:val="Compact"/>
              <w:jc w:val="left"/>
            </w:pPr>
            <w:r>
              <w:t xml:space="preserve">69.45%</w:t>
            </w:r>
          </w:p>
        </w:tc>
        <w:tc>
          <w:tcPr/>
          <w:p>
            <w:pPr>
              <w:pStyle w:val="Compact"/>
              <w:jc w:val="left"/>
            </w:pPr>
            <w:r>
              <w:t xml:space="preserve">Mordor Intelligence</w:t>
            </w:r>
          </w:p>
        </w:tc>
      </w:tr>
      <w:tr>
        <w:tc>
          <w:tcPr/>
          <w:p>
            <w:pPr>
              <w:pStyle w:val="Compact"/>
              <w:jc w:val="left"/>
            </w:pPr>
            <w:r>
              <w:t xml:space="preserve">SME segment CAGR</w:t>
            </w:r>
          </w:p>
        </w:tc>
        <w:tc>
          <w:tcPr/>
          <w:p>
            <w:pPr>
              <w:pStyle w:val="Compact"/>
              <w:jc w:val="left"/>
            </w:pPr>
            <w:r>
              <w:t xml:space="preserve">~12–15% (PPM-specific estimate)</w:t>
            </w:r>
          </w:p>
        </w:tc>
        <w:tc>
          <w:tcPr/>
          <w:p>
            <w:pPr>
              <w:pStyle w:val="Compact"/>
              <w:jc w:val="left"/>
            </w:pPr>
            <w:r>
              <w:t xml:space="preserve">Derived — see note</w:t>
            </w:r>
          </w:p>
        </w:tc>
      </w:tr>
    </w:tbl>
    <w:p>
      <w:pPr>
        <w:pStyle w:val="BodyText"/>
      </w:pPr>
      <w:r>
        <w:rPr>
          <w:iCs/>
          <w:i/>
        </w:rPr>
        <w:t xml:space="preserve">Note: The</w:t>
      </w:r>
      <w:r>
        <w:rPr>
          <w:iCs/>
          <w:i/>
        </w:rPr>
        <w:t xml:space="preserve"> </w:t>
      </w:r>
      <w:r>
        <w:rPr>
          <w:iCs/>
          <w:i/>
        </w:rPr>
        <w:t xml:space="preserve">“</w:t>
      </w:r>
      <w:r>
        <w:rPr>
          <w:iCs/>
          <w:i/>
        </w:rPr>
        <w:t xml:space="preserve">16.89% SME CAGR</w:t>
      </w:r>
      <w:r>
        <w:rPr>
          <w:iCs/>
          <w:i/>
        </w:rPr>
        <w:t xml:space="preserve">”</w:t>
      </w:r>
      <w:r>
        <w:rPr>
          <w:iCs/>
          <w:i/>
        </w:rPr>
        <w:t xml:space="preserve"> </w:t>
      </w:r>
      <w:r>
        <w:rPr>
          <w:iCs/>
          <w:i/>
        </w:rPr>
        <w:t xml:space="preserve">from v1 was from Mordor’s broader</w:t>
      </w:r>
      <w:r>
        <w:rPr>
          <w:iCs/>
          <w:i/>
        </w:rPr>
        <w:t xml:space="preserve"> </w:t>
      </w:r>
      <w:r>
        <w:rPr>
          <w:iCs/>
          <w:i/>
        </w:rPr>
        <w:t xml:space="preserve">“</w:t>
      </w:r>
      <w:r>
        <w:rPr>
          <w:iCs/>
          <w:i/>
        </w:rPr>
        <w:t xml:space="preserve">Project Management Software Systems</w:t>
      </w:r>
      <w:r>
        <w:rPr>
          <w:iCs/>
          <w:i/>
        </w:rPr>
        <w:t xml:space="preserve">”</w:t>
      </w:r>
      <w:r>
        <w:rPr>
          <w:iCs/>
          <w:i/>
        </w:rPr>
        <w:t xml:space="preserve"> </w:t>
      </w:r>
      <w:r>
        <w:rPr>
          <w:iCs/>
          <w:i/>
        </w:rPr>
        <w:t xml:space="preserve">report, not the PPM-specific report.</w:t>
      </w:r>
    </w:p>
    <w:bookmarkEnd w:id="24"/>
    <w:bookmarkStart w:id="25" w:name="market-structure"/>
    <w:p>
      <w:pPr>
        <w:pStyle w:val="Heading3"/>
      </w:pPr>
      <w:r>
        <w:t xml:space="preserve">1.3 Market Structure</w:t>
      </w:r>
    </w:p>
    <w:tbl>
      <w:tblPr>
        <w:tblStyle w:val="Table"/>
        <w:tblW w:type="pct" w:w="5000"/>
        <w:tblLook w:firstRow="1" w:lastRow="0" w:firstColumn="0" w:lastColumn="0" w:noHBand="0" w:noVBand="0" w:val="0020"/>
        <w:jc w:val="start"/>
      </w:tblPr>
      <w:tblGrid>
        <w:gridCol w:w="1810"/>
        <w:gridCol w:w="1810"/>
        <w:gridCol w:w="1810"/>
        <w:gridCol w:w="2489"/>
      </w:tblGrid>
      <w:tr>
        <w:trPr>
          <w:tblHeader w:val="true"/>
        </w:trPr>
        <w:tc>
          <w:tcPr/>
          <w:p>
            <w:pPr>
              <w:pStyle w:val="Compact"/>
              <w:jc w:val="left"/>
            </w:pPr>
            <w:r>
              <w:t xml:space="preserve">Metric</w:t>
            </w:r>
          </w:p>
        </w:tc>
        <w:tc>
          <w:tcPr/>
          <w:p>
            <w:pPr>
              <w:pStyle w:val="Compact"/>
              <w:jc w:val="left"/>
            </w:pPr>
            <w:r>
              <w:t xml:space="preserve">Figure</w:t>
            </w:r>
          </w:p>
        </w:tc>
        <w:tc>
          <w:tcPr/>
          <w:p>
            <w:pPr>
              <w:pStyle w:val="Compact"/>
              <w:jc w:val="left"/>
            </w:pPr>
            <w:r>
              <w:t xml:space="preserve">Source</w:t>
            </w:r>
          </w:p>
        </w:tc>
        <w:tc>
          <w:tcPr/>
          <w:p>
            <w:pPr>
              <w:pStyle w:val="Compact"/>
              <w:jc w:val="left"/>
            </w:pPr>
            <w:r>
              <w:t xml:space="preserve">Verified?</w:t>
            </w:r>
          </w:p>
        </w:tc>
      </w:tr>
      <w:tr>
        <w:tc>
          <w:tcPr/>
          <w:p>
            <w:pPr>
              <w:pStyle w:val="Compact"/>
              <w:jc w:val="left"/>
            </w:pPr>
            <w:r>
              <w:t xml:space="preserve">Top 10 vendor share</w:t>
            </w:r>
          </w:p>
        </w:tc>
        <w:tc>
          <w:tcPr/>
          <w:p>
            <w:pPr>
              <w:pStyle w:val="Compact"/>
              <w:jc w:val="left"/>
            </w:pPr>
            <w:r>
              <w:t xml:space="preserve">60.5%</w:t>
            </w:r>
          </w:p>
        </w:tc>
        <w:tc>
          <w:tcPr/>
          <w:p>
            <w:pPr>
              <w:pStyle w:val="Compact"/>
              <w:jc w:val="left"/>
            </w:pPr>
            <w:r>
              <w:t xml:space="preserve">Apps Run The World (Sept 2025)</w:t>
            </w:r>
          </w:p>
        </w:tc>
        <w:tc>
          <w:tcPr/>
          <w:p>
            <w:pPr>
              <w:pStyle w:val="Compact"/>
              <w:jc w:val="left"/>
            </w:pPr>
            <w:r>
              <w:t xml:space="preserve">✅</w:t>
            </w:r>
          </w:p>
        </w:tc>
      </w:tr>
      <w:tr>
        <w:tc>
          <w:tcPr/>
          <w:p>
            <w:pPr>
              <w:pStyle w:val="Compact"/>
              <w:jc w:val="left"/>
            </w:pPr>
            <w:r>
              <w:t xml:space="preserve">Top vendor (Oracle)</w:t>
            </w:r>
          </w:p>
        </w:tc>
        <w:tc>
          <w:tcPr/>
          <w:p>
            <w:pPr>
              <w:pStyle w:val="Compact"/>
              <w:jc w:val="left"/>
            </w:pPr>
            <w:r>
              <w:t xml:space="preserve">8.5% share</w:t>
            </w:r>
          </w:p>
        </w:tc>
        <w:tc>
          <w:tcPr/>
          <w:p>
            <w:pPr>
              <w:pStyle w:val="Compact"/>
              <w:jc w:val="left"/>
            </w:pPr>
            <w:r>
              <w:t xml:space="preserve">Apps Run The World</w:t>
            </w:r>
          </w:p>
        </w:tc>
        <w:tc>
          <w:tcPr/>
          <w:p>
            <w:pPr>
              <w:pStyle w:val="Compact"/>
              <w:jc w:val="left"/>
            </w:pPr>
            <w:r>
              <w:t xml:space="preserve">✅</w:t>
            </w:r>
          </w:p>
        </w:tc>
      </w:tr>
      <w:tr>
        <w:tc>
          <w:tcPr/>
          <w:p>
            <w:pPr>
              <w:pStyle w:val="Compact"/>
              <w:jc w:val="left"/>
            </w:pPr>
            <w:r>
              <w:t xml:space="preserve">Large enterprise share</w:t>
            </w:r>
          </w:p>
        </w:tc>
        <w:tc>
          <w:tcPr/>
          <w:p>
            <w:pPr>
              <w:pStyle w:val="Compact"/>
              <w:jc w:val="left"/>
            </w:pPr>
            <w:r>
              <w:t xml:space="preserve">~60–61%</w:t>
            </w:r>
          </w:p>
        </w:tc>
        <w:tc>
          <w:tcPr/>
          <w:p>
            <w:pPr>
              <w:pStyle w:val="Compact"/>
              <w:jc w:val="left"/>
            </w:pPr>
            <w:r>
              <w:t xml:space="preserve">Mordor (60.30%), GVR (61.0%)</w:t>
            </w:r>
          </w:p>
        </w:tc>
        <w:tc>
          <w:tcPr/>
          <w:p>
            <w:pPr>
              <w:pStyle w:val="Compact"/>
              <w:jc w:val="left"/>
            </w:pPr>
            <w:r>
              <w:t xml:space="preserve">✅ Cross-verified</w:t>
            </w:r>
          </w:p>
        </w:tc>
      </w:tr>
      <w:tr>
        <w:tc>
          <w:tcPr/>
          <w:p>
            <w:pPr>
              <w:pStyle w:val="Compact"/>
              <w:jc w:val="left"/>
            </w:pPr>
            <w:r>
              <w:t xml:space="preserve">SME/mid-market share</w:t>
            </w:r>
          </w:p>
        </w:tc>
        <w:tc>
          <w:tcPr/>
          <w:p>
            <w:pPr>
              <w:pStyle w:val="Compact"/>
              <w:jc w:val="left"/>
            </w:pPr>
            <w:r>
              <w:t xml:space="preserve">~39–40% (~£2.1B)</w:t>
            </w:r>
          </w:p>
        </w:tc>
        <w:tc>
          <w:tcPr/>
          <w:p>
            <w:pPr>
              <w:pStyle w:val="Compact"/>
              <w:jc w:val="left"/>
            </w:pPr>
            <w:r>
              <w:t xml:space="preserve">Derived</w:t>
            </w:r>
          </w:p>
        </w:tc>
        <w:tc>
          <w:tcPr/>
          <w:p>
            <w:pPr>
              <w:pStyle w:val="Compact"/>
              <w:jc w:val="left"/>
            </w:pPr>
            <w:r>
              <w:t xml:space="preserve">✅ Consistent</w:t>
            </w:r>
          </w:p>
        </w:tc>
      </w:tr>
    </w:tbl>
    <w:bookmarkEnd w:id="25"/>
    <w:bookmarkStart w:id="26" w:name="tam-sam-som"/>
    <w:p>
      <w:pPr>
        <w:pStyle w:val="Heading3"/>
      </w:pPr>
      <w:r>
        <w:t xml:space="preserve">1.4 TAM / SAM / SOM</w:t>
      </w:r>
    </w:p>
    <w:p>
      <w:pPr>
        <w:pStyle w:val="FirstParagraph"/>
      </w:pPr>
      <w:r>
        <w:rPr>
          <w:bCs/>
          <w:b/>
        </w:rPr>
        <w:t xml:space="preserve">TAM (Total Addressable Market):</w:t>
      </w:r>
      <w:r>
        <w:t xml:space="preserve"> </w:t>
      </w:r>
      <w:r>
        <w:t xml:space="preserve">- Global PPM software: ~£5.9B ($7.4B, 2024 est.)</w:t>
      </w:r>
      <w:r>
        <w:t xml:space="preserve"> </w:t>
      </w:r>
      <w:r>
        <w:t xml:space="preserve">- SME/mid-market portion (~40%): ~£2.4B ($3.0B)</w:t>
      </w:r>
    </w:p>
    <w:p>
      <w:pPr>
        <w:pStyle w:val="BodyText"/>
      </w:pPr>
      <w:r>
        <w:rPr>
          <w:bCs/>
          <w:b/>
        </w:rPr>
        <w:t xml:space="preserve">SAM (Serviceable Addressable Market) — UK Core:</w:t>
      </w:r>
      <w:r>
        <w:t xml:space="preserve"> </w:t>
      </w:r>
      <w:r>
        <w:t xml:space="preserve">- ~42,000 UK businesses with 50–500 employees (UK BPE 2024)</w:t>
      </w:r>
      <w:r>
        <w:t xml:space="preserve"> </w:t>
      </w:r>
      <w:r>
        <w:t xml:space="preserve">- ×35–45% with formal programme governance needs</w:t>
      </w:r>
      <w:r>
        <w:t xml:space="preserve"> </w:t>
      </w:r>
      <w:r>
        <w:t xml:space="preserve">- ×~60% in target sectors (financial services, government, healthcare)</w:t>
      </w:r>
      <w:r>
        <w:t xml:space="preserve"> </w:t>
      </w:r>
      <w:r>
        <w:t xml:space="preserve">- =</w:t>
      </w:r>
      <w:r>
        <w:t xml:space="preserve"> </w:t>
      </w:r>
      <w:r>
        <w:rPr>
          <w:bCs/>
          <w:b/>
        </w:rPr>
        <w:t xml:space="preserve">~9,000–11,000 addressable firms</w:t>
      </w:r>
      <w:r>
        <w:t xml:space="preserve"> </w:t>
      </w:r>
      <w:r>
        <w:t xml:space="preserve">- At £400/month ARPU:</w:t>
      </w:r>
      <w:r>
        <w:t xml:space="preserve"> </w:t>
      </w:r>
      <w:r>
        <w:rPr>
          <w:bCs/>
          <w:b/>
        </w:rPr>
        <w:t xml:space="preserve">SAM ≈ £43M–53M/year</w:t>
      </w:r>
    </w:p>
    <w:p>
      <w:pPr>
        <w:pStyle w:val="BodyText"/>
      </w:pPr>
      <w:r>
        <w:rPr>
          <w:bCs/>
          <w:b/>
        </w:rPr>
        <w:t xml:space="preserve">SOM (Serviceable Obtainable Market):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Year</w:t>
            </w:r>
          </w:p>
        </w:tc>
        <w:tc>
          <w:tcPr/>
          <w:p>
            <w:pPr>
              <w:pStyle w:val="Compact"/>
              <w:jc w:val="left"/>
            </w:pPr>
            <w:r>
              <w:t xml:space="preserve">Customers</w:t>
            </w:r>
          </w:p>
        </w:tc>
        <w:tc>
          <w:tcPr/>
          <w:p>
            <w:pPr>
              <w:pStyle w:val="Compact"/>
              <w:jc w:val="left"/>
            </w:pPr>
            <w:r>
              <w:t xml:space="preserve">ARR</w:t>
            </w:r>
          </w:p>
        </w:tc>
      </w:tr>
      <w:tr>
        <w:tc>
          <w:tcPr/>
          <w:p>
            <w:pPr>
              <w:pStyle w:val="Compact"/>
              <w:jc w:val="left"/>
            </w:pPr>
            <w:r>
              <w:t xml:space="preserve">1</w:t>
            </w:r>
          </w:p>
        </w:tc>
        <w:tc>
          <w:tcPr/>
          <w:p>
            <w:pPr>
              <w:pStyle w:val="Compact"/>
              <w:jc w:val="left"/>
            </w:pPr>
            <w:r>
              <w:t xml:space="preserve">10–30</w:t>
            </w:r>
          </w:p>
        </w:tc>
        <w:tc>
          <w:tcPr/>
          <w:p>
            <w:pPr>
              <w:pStyle w:val="Compact"/>
              <w:jc w:val="left"/>
            </w:pPr>
            <w:r>
              <w:t xml:space="preserve">£48K–144K</w:t>
            </w:r>
          </w:p>
        </w:tc>
      </w:tr>
      <w:tr>
        <w:tc>
          <w:tcPr/>
          <w:p>
            <w:pPr>
              <w:pStyle w:val="Compact"/>
              <w:jc w:val="left"/>
            </w:pPr>
            <w:r>
              <w:t xml:space="preserve">2</w:t>
            </w:r>
          </w:p>
        </w:tc>
        <w:tc>
          <w:tcPr/>
          <w:p>
            <w:pPr>
              <w:pStyle w:val="Compact"/>
              <w:jc w:val="left"/>
            </w:pPr>
            <w:r>
              <w:t xml:space="preserve">50–100</w:t>
            </w:r>
          </w:p>
        </w:tc>
        <w:tc>
          <w:tcPr/>
          <w:p>
            <w:pPr>
              <w:pStyle w:val="Compact"/>
              <w:jc w:val="left"/>
            </w:pPr>
            <w:r>
              <w:t xml:space="preserve">£240K–480K</w:t>
            </w:r>
          </w:p>
        </w:tc>
      </w:tr>
      <w:tr>
        <w:tc>
          <w:tcPr/>
          <w:p>
            <w:pPr>
              <w:pStyle w:val="Compact"/>
              <w:jc w:val="left"/>
            </w:pPr>
            <w:r>
              <w:t xml:space="preserve">3</w:t>
            </w:r>
          </w:p>
        </w:tc>
        <w:tc>
          <w:tcPr/>
          <w:p>
            <w:pPr>
              <w:pStyle w:val="Compact"/>
              <w:jc w:val="left"/>
            </w:pPr>
            <w:r>
              <w:t xml:space="preserve">150–300</w:t>
            </w:r>
          </w:p>
        </w:tc>
        <w:tc>
          <w:tcPr/>
          <w:p>
            <w:pPr>
              <w:pStyle w:val="Compact"/>
              <w:jc w:val="left"/>
            </w:pPr>
            <w:r>
              <w:t xml:space="preserve">£720K–1.44M</w:t>
            </w:r>
          </w:p>
        </w:tc>
      </w:tr>
    </w:tbl>
    <w:bookmarkEnd w:id="26"/>
    <w:bookmarkStart w:id="27" w:name="sam-sensitivity-analysis"/>
    <w:p>
      <w:pPr>
        <w:pStyle w:val="Heading3"/>
      </w:pPr>
      <w:r>
        <w:t xml:space="preserve">1.4.1 SAM Sensitivity Analysis</w:t>
      </w:r>
    </w:p>
    <w:p>
      <w:pPr>
        <w:pStyle w:val="FirstParagraph"/>
      </w:pPr>
      <w:r>
        <w:rPr>
          <w:iCs/>
          <w:i/>
        </w:rPr>
        <w:t xml:space="preserve">The SAM estimate rests on three multiplied assumptions. Errors compound multiplicatively.</w:t>
      </w:r>
    </w:p>
    <w:p>
      <w:pPr>
        <w:pStyle w:val="BodyText"/>
      </w:pPr>
      <w:r>
        <w:rPr>
          <w:bCs/>
          <w:b/>
        </w:rPr>
        <w:t xml:space="preserve">Variable Confidence:</w:t>
      </w:r>
    </w:p>
    <w:tbl>
      <w:tblPr>
        <w:tblStyle w:val="Table"/>
        <w:tblW w:type="pct" w:w="5000"/>
        <w:tblLook w:firstRow="1" w:lastRow="0" w:firstColumn="0" w:lastColumn="0" w:noHBand="0" w:noVBand="0" w:val="0020"/>
        <w:jc w:val="start"/>
      </w:tblPr>
      <w:tblGrid>
        <w:gridCol w:w="2400"/>
        <w:gridCol w:w="2640"/>
        <w:gridCol w:w="2880"/>
      </w:tblGrid>
      <w:tr>
        <w:trPr>
          <w:tblHeader w:val="true"/>
        </w:trPr>
        <w:tc>
          <w:tcPr/>
          <w:p>
            <w:pPr>
              <w:pStyle w:val="Compact"/>
              <w:jc w:val="left"/>
            </w:pPr>
            <w:r>
              <w:t xml:space="preserve">Variable</w:t>
            </w:r>
          </w:p>
        </w:tc>
        <w:tc>
          <w:tcPr/>
          <w:p>
            <w:pPr>
              <w:pStyle w:val="Compact"/>
              <w:jc w:val="left"/>
            </w:pPr>
            <w:r>
              <w:t xml:space="preserve">Value Used</w:t>
            </w:r>
          </w:p>
        </w:tc>
        <w:tc>
          <w:tcPr/>
          <w:p>
            <w:pPr>
              <w:pStyle w:val="Compact"/>
              <w:jc w:val="left"/>
            </w:pPr>
            <w:r>
              <w:t xml:space="preserve">Confidence</w:t>
            </w:r>
          </w:p>
        </w:tc>
      </w:tr>
      <w:tr>
        <w:tc>
          <w:tcPr/>
          <w:p>
            <w:pPr>
              <w:pStyle w:val="Compact"/>
              <w:jc w:val="left"/>
            </w:pPr>
            <w:r>
              <w:t xml:space="preserve">UK firms (50–500 employees)</w:t>
            </w:r>
          </w:p>
        </w:tc>
        <w:tc>
          <w:tcPr/>
          <w:p>
            <w:pPr>
              <w:pStyle w:val="Compact"/>
              <w:jc w:val="left"/>
            </w:pPr>
            <w:r>
              <w:t xml:space="preserve">42,000</w:t>
            </w:r>
          </w:p>
        </w:tc>
        <w:tc>
          <w:tcPr/>
          <w:p>
            <w:pPr>
              <w:pStyle w:val="Compact"/>
              <w:jc w:val="left"/>
            </w:pPr>
            <w:r>
              <w:rPr>
                <w:bCs/>
                <w:b/>
              </w:rPr>
              <w:t xml:space="preserve">FIRM</w:t>
            </w:r>
            <w:r>
              <w:t xml:space="preserve"> </w:t>
            </w:r>
            <w:r>
              <w:t xml:space="preserve">— UK BPE 2024</w:t>
            </w:r>
          </w:p>
        </w:tc>
      </w:tr>
      <w:tr>
        <w:tc>
          <w:tcPr/>
          <w:p>
            <w:pPr>
              <w:pStyle w:val="Compact"/>
              <w:jc w:val="left"/>
            </w:pPr>
            <w:r>
              <w:t xml:space="preserve">Governance needs filter</w:t>
            </w:r>
          </w:p>
        </w:tc>
        <w:tc>
          <w:tcPr/>
          <w:p>
            <w:pPr>
              <w:pStyle w:val="Compact"/>
              <w:jc w:val="left"/>
            </w:pPr>
            <w:r>
              <w:t xml:space="preserve">35–45%</w:t>
            </w:r>
          </w:p>
        </w:tc>
        <w:tc>
          <w:tcPr/>
          <w:p>
            <w:pPr>
              <w:pStyle w:val="Compact"/>
              <w:jc w:val="left"/>
            </w:pPr>
            <w:r>
              <w:rPr>
                <w:bCs/>
                <w:b/>
              </w:rPr>
              <w:t xml:space="preserve">SOFT</w:t>
            </w:r>
            <w:r>
              <w:t xml:space="preserve"> </w:t>
            </w:r>
            <w:r>
              <w:t xml:space="preserve">— author synthesis from PMI/Wellingtone</w:t>
            </w:r>
          </w:p>
        </w:tc>
      </w:tr>
      <w:tr>
        <w:tc>
          <w:tcPr/>
          <w:p>
            <w:pPr>
              <w:pStyle w:val="Compact"/>
              <w:jc w:val="left"/>
            </w:pPr>
            <w:r>
              <w:t xml:space="preserve">Sector filter</w:t>
            </w:r>
          </w:p>
        </w:tc>
        <w:tc>
          <w:tcPr/>
          <w:p>
            <w:pPr>
              <w:pStyle w:val="Compact"/>
              <w:jc w:val="left"/>
            </w:pPr>
            <w:r>
              <w:t xml:space="preserve">60%</w:t>
            </w:r>
          </w:p>
        </w:tc>
        <w:tc>
          <w:tcPr/>
          <w:p>
            <w:pPr>
              <w:pStyle w:val="Compact"/>
              <w:jc w:val="left"/>
            </w:pPr>
            <w:r>
              <w:rPr>
                <w:bCs/>
                <w:b/>
              </w:rPr>
              <w:t xml:space="preserve">SOFT</w:t>
            </w:r>
            <w:r>
              <w:t xml:space="preserve"> </w:t>
            </w:r>
            <w:r>
              <w:t xml:space="preserve">— author estimate, unvalidated</w:t>
            </w:r>
          </w:p>
        </w:tc>
      </w:tr>
      <w:tr>
        <w:tc>
          <w:tcPr/>
          <w:p>
            <w:pPr>
              <w:pStyle w:val="Compact"/>
              <w:jc w:val="left"/>
            </w:pPr>
            <w:r>
              <w:t xml:space="preserve">ARPU</w:t>
            </w:r>
          </w:p>
        </w:tc>
        <w:tc>
          <w:tcPr/>
          <w:p>
            <w:pPr>
              <w:pStyle w:val="Compact"/>
              <w:jc w:val="left"/>
            </w:pPr>
            <w:r>
              <w:t xml:space="preserve">£400/month</w:t>
            </w:r>
          </w:p>
        </w:tc>
        <w:tc>
          <w:tcPr/>
          <w:p>
            <w:pPr>
              <w:pStyle w:val="Compact"/>
              <w:jc w:val="left"/>
            </w:pPr>
            <w:r>
              <w:rPr>
                <w:bCs/>
                <w:b/>
              </w:rPr>
              <w:t xml:space="preserve">MEDIUM</w:t>
            </w:r>
            <w:r>
              <w:t xml:space="preserve"> </w:t>
            </w:r>
            <w:r>
              <w:t xml:space="preserve">— benchmarked against competitors</w:t>
            </w:r>
          </w:p>
        </w:tc>
      </w:tr>
    </w:tbl>
    <w:p>
      <w:pPr>
        <w:pStyle w:val="BodyText"/>
      </w:pPr>
      <w:r>
        <w:rPr>
          <w:bCs/>
          <w:b/>
        </w:rPr>
        <w:t xml:space="preserve">Sensitivity Table (10 scenarios):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Scenario</w:t>
            </w:r>
          </w:p>
        </w:tc>
        <w:tc>
          <w:tcPr/>
          <w:p>
            <w:pPr>
              <w:pStyle w:val="Compact"/>
              <w:jc w:val="left"/>
            </w:pPr>
            <w:r>
              <w:t xml:space="preserve">Gov. Needs</w:t>
            </w:r>
          </w:p>
        </w:tc>
        <w:tc>
          <w:tcPr/>
          <w:p>
            <w:pPr>
              <w:pStyle w:val="Compact"/>
              <w:jc w:val="left"/>
            </w:pPr>
            <w:r>
              <w:t xml:space="preserve">Sector</w:t>
            </w:r>
          </w:p>
        </w:tc>
        <w:tc>
          <w:tcPr/>
          <w:p>
            <w:pPr>
              <w:pStyle w:val="Compact"/>
              <w:jc w:val="left"/>
            </w:pPr>
            <w:r>
              <w:t xml:space="preserve">ARPU/mo</w:t>
            </w:r>
          </w:p>
        </w:tc>
        <w:tc>
          <w:tcPr/>
          <w:p>
            <w:pPr>
              <w:pStyle w:val="Compact"/>
              <w:jc w:val="left"/>
            </w:pPr>
            <w:r>
              <w:t xml:space="preserve">SAM (£M/yr)</w:t>
            </w:r>
          </w:p>
        </w:tc>
      </w:tr>
      <w:tr>
        <w:tc>
          <w:tcPr/>
          <w:p>
            <w:pPr>
              <w:pStyle w:val="Compact"/>
              <w:jc w:val="left"/>
            </w:pPr>
            <w:r>
              <w:t xml:space="preserve">1</w:t>
            </w:r>
          </w:p>
        </w:tc>
        <w:tc>
          <w:tcPr/>
          <w:p>
            <w:pPr>
              <w:pStyle w:val="Compact"/>
              <w:jc w:val="left"/>
            </w:pPr>
            <w:r>
              <w:t xml:space="preserve">Pessimistic floor</w:t>
            </w:r>
          </w:p>
        </w:tc>
        <w:tc>
          <w:tcPr/>
          <w:p>
            <w:pPr>
              <w:pStyle w:val="Compact"/>
              <w:jc w:val="left"/>
            </w:pPr>
            <w:r>
              <w:t xml:space="preserve">25%</w:t>
            </w:r>
          </w:p>
        </w:tc>
        <w:tc>
          <w:tcPr/>
          <w:p>
            <w:pPr>
              <w:pStyle w:val="Compact"/>
              <w:jc w:val="left"/>
            </w:pPr>
            <w:r>
              <w:t xml:space="preserve">40%</w:t>
            </w:r>
          </w:p>
        </w:tc>
        <w:tc>
          <w:tcPr/>
          <w:p>
            <w:pPr>
              <w:pStyle w:val="Compact"/>
              <w:jc w:val="left"/>
            </w:pPr>
            <w:r>
              <w:t xml:space="preserve">£200</w:t>
            </w:r>
          </w:p>
        </w:tc>
        <w:tc>
          <w:tcPr/>
          <w:p>
            <w:pPr>
              <w:pStyle w:val="Compact"/>
              <w:jc w:val="left"/>
            </w:pPr>
            <w:r>
              <w:rPr>
                <w:bCs/>
                <w:b/>
              </w:rPr>
              <w:t xml:space="preserve">£10.1M</w:t>
            </w:r>
          </w:p>
        </w:tc>
      </w:tr>
      <w:tr>
        <w:tc>
          <w:tcPr/>
          <w:p>
            <w:pPr>
              <w:pStyle w:val="Compact"/>
              <w:jc w:val="left"/>
            </w:pPr>
            <w:r>
              <w:t xml:space="preserve">2</w:t>
            </w:r>
          </w:p>
        </w:tc>
        <w:tc>
          <w:tcPr/>
          <w:p>
            <w:pPr>
              <w:pStyle w:val="Compact"/>
              <w:jc w:val="left"/>
            </w:pPr>
            <w:r>
              <w:t xml:space="preserve">Low-conservative</w:t>
            </w:r>
          </w:p>
        </w:tc>
        <w:tc>
          <w:tcPr/>
          <w:p>
            <w:pPr>
              <w:pStyle w:val="Compact"/>
              <w:jc w:val="left"/>
            </w:pPr>
            <w:r>
              <w:t xml:space="preserve">25%</w:t>
            </w:r>
          </w:p>
        </w:tc>
        <w:tc>
          <w:tcPr/>
          <w:p>
            <w:pPr>
              <w:pStyle w:val="Compact"/>
              <w:jc w:val="left"/>
            </w:pPr>
            <w:r>
              <w:t xml:space="preserve">50%</w:t>
            </w:r>
          </w:p>
        </w:tc>
        <w:tc>
          <w:tcPr/>
          <w:p>
            <w:pPr>
              <w:pStyle w:val="Compact"/>
              <w:jc w:val="left"/>
            </w:pPr>
            <w:r>
              <w:t xml:space="preserve">£400</w:t>
            </w:r>
          </w:p>
        </w:tc>
        <w:tc>
          <w:tcPr/>
          <w:p>
            <w:pPr>
              <w:pStyle w:val="Compact"/>
              <w:jc w:val="left"/>
            </w:pPr>
            <w:r>
              <w:rPr>
                <w:bCs/>
                <w:b/>
              </w:rPr>
              <w:t xml:space="preserve">£25.2M</w:t>
            </w:r>
          </w:p>
        </w:tc>
      </w:tr>
      <w:tr>
        <w:tc>
          <w:tcPr/>
          <w:p>
            <w:pPr>
              <w:pStyle w:val="Compact"/>
              <w:jc w:val="left"/>
            </w:pPr>
            <w:r>
              <w:t xml:space="preserve">3</w:t>
            </w:r>
          </w:p>
        </w:tc>
        <w:tc>
          <w:tcPr/>
          <w:p>
            <w:pPr>
              <w:pStyle w:val="Compact"/>
              <w:jc w:val="left"/>
            </w:pPr>
            <w:r>
              <w:t xml:space="preserve">Low gov, broad sector</w:t>
            </w:r>
          </w:p>
        </w:tc>
        <w:tc>
          <w:tcPr/>
          <w:p>
            <w:pPr>
              <w:pStyle w:val="Compact"/>
              <w:jc w:val="left"/>
            </w:pPr>
            <w:r>
              <w:t xml:space="preserve">25%</w:t>
            </w:r>
          </w:p>
        </w:tc>
        <w:tc>
          <w:tcPr/>
          <w:p>
            <w:pPr>
              <w:pStyle w:val="Compact"/>
              <w:jc w:val="left"/>
            </w:pPr>
            <w:r>
              <w:t xml:space="preserve">70%</w:t>
            </w:r>
          </w:p>
        </w:tc>
        <w:tc>
          <w:tcPr/>
          <w:p>
            <w:pPr>
              <w:pStyle w:val="Compact"/>
              <w:jc w:val="left"/>
            </w:pPr>
            <w:r>
              <w:t xml:space="preserve">£400</w:t>
            </w:r>
          </w:p>
        </w:tc>
        <w:tc>
          <w:tcPr/>
          <w:p>
            <w:pPr>
              <w:pStyle w:val="Compact"/>
              <w:jc w:val="left"/>
            </w:pPr>
            <w:r>
              <w:rPr>
                <w:bCs/>
                <w:b/>
              </w:rPr>
              <w:t xml:space="preserve">£35.3M</w:t>
            </w:r>
          </w:p>
        </w:tc>
      </w:tr>
      <w:tr>
        <w:tc>
          <w:tcPr/>
          <w:p>
            <w:pPr>
              <w:pStyle w:val="Compact"/>
              <w:jc w:val="left"/>
            </w:pPr>
            <w:r>
              <w:t xml:space="preserve">4</w:t>
            </w:r>
          </w:p>
        </w:tc>
        <w:tc>
          <w:tcPr/>
          <w:p>
            <w:pPr>
              <w:pStyle w:val="Compact"/>
              <w:jc w:val="left"/>
            </w:pPr>
            <w:r>
              <w:t xml:space="preserve">Base case (low)</w:t>
            </w:r>
          </w:p>
        </w:tc>
        <w:tc>
          <w:tcPr/>
          <w:p>
            <w:pPr>
              <w:pStyle w:val="Compact"/>
              <w:jc w:val="left"/>
            </w:pPr>
            <w:r>
              <w:t xml:space="preserve">35%</w:t>
            </w:r>
          </w:p>
        </w:tc>
        <w:tc>
          <w:tcPr/>
          <w:p>
            <w:pPr>
              <w:pStyle w:val="Compact"/>
              <w:jc w:val="left"/>
            </w:pPr>
            <w:r>
              <w:t xml:space="preserve">60%</w:t>
            </w:r>
          </w:p>
        </w:tc>
        <w:tc>
          <w:tcPr/>
          <w:p>
            <w:pPr>
              <w:pStyle w:val="Compact"/>
              <w:jc w:val="left"/>
            </w:pPr>
            <w:r>
              <w:t xml:space="preserve">£400</w:t>
            </w:r>
          </w:p>
        </w:tc>
        <w:tc>
          <w:tcPr/>
          <w:p>
            <w:pPr>
              <w:pStyle w:val="Compact"/>
              <w:jc w:val="left"/>
            </w:pPr>
            <w:r>
              <w:rPr>
                <w:bCs/>
                <w:b/>
              </w:rPr>
              <w:t xml:space="preserve">£42.3M</w:t>
            </w:r>
          </w:p>
        </w:tc>
      </w:tr>
      <w:tr>
        <w:tc>
          <w:tcPr/>
          <w:p>
            <w:pPr>
              <w:pStyle w:val="Compact"/>
              <w:jc w:val="left"/>
            </w:pPr>
            <w:r>
              <w:t xml:space="preserve">5</w:t>
            </w:r>
          </w:p>
        </w:tc>
        <w:tc>
          <w:tcPr/>
          <w:p>
            <w:pPr>
              <w:pStyle w:val="Compact"/>
              <w:jc w:val="left"/>
            </w:pPr>
            <w:r>
              <w:t xml:space="preserve">Base case (high)</w:t>
            </w:r>
          </w:p>
        </w:tc>
        <w:tc>
          <w:tcPr/>
          <w:p>
            <w:pPr>
              <w:pStyle w:val="Compact"/>
              <w:jc w:val="left"/>
            </w:pPr>
            <w:r>
              <w:t xml:space="preserve">45%</w:t>
            </w:r>
          </w:p>
        </w:tc>
        <w:tc>
          <w:tcPr/>
          <w:p>
            <w:pPr>
              <w:pStyle w:val="Compact"/>
              <w:jc w:val="left"/>
            </w:pPr>
            <w:r>
              <w:t xml:space="preserve">60%</w:t>
            </w:r>
          </w:p>
        </w:tc>
        <w:tc>
          <w:tcPr/>
          <w:p>
            <w:pPr>
              <w:pStyle w:val="Compact"/>
              <w:jc w:val="left"/>
            </w:pPr>
            <w:r>
              <w:t xml:space="preserve">£400</w:t>
            </w:r>
          </w:p>
        </w:tc>
        <w:tc>
          <w:tcPr/>
          <w:p>
            <w:pPr>
              <w:pStyle w:val="Compact"/>
              <w:jc w:val="left"/>
            </w:pPr>
            <w:r>
              <w:rPr>
                <w:bCs/>
                <w:b/>
              </w:rPr>
              <w:t xml:space="preserve">£54.4M</w:t>
            </w:r>
          </w:p>
        </w:tc>
      </w:tr>
      <w:tr>
        <w:tc>
          <w:tcPr/>
          <w:p>
            <w:pPr>
              <w:pStyle w:val="Compact"/>
              <w:jc w:val="left"/>
            </w:pPr>
            <w:r>
              <w:t xml:space="preserve">6</w:t>
            </w:r>
          </w:p>
        </w:tc>
        <w:tc>
          <w:tcPr/>
          <w:p>
            <w:pPr>
              <w:pStyle w:val="Compact"/>
              <w:jc w:val="left"/>
            </w:pPr>
            <w:r>
              <w:t xml:space="preserve">Higher gov, narrow sector</w:t>
            </w:r>
          </w:p>
        </w:tc>
        <w:tc>
          <w:tcPr/>
          <w:p>
            <w:pPr>
              <w:pStyle w:val="Compact"/>
              <w:jc w:val="left"/>
            </w:pPr>
            <w:r>
              <w:t xml:space="preserve">45%</w:t>
            </w:r>
          </w:p>
        </w:tc>
        <w:tc>
          <w:tcPr/>
          <w:p>
            <w:pPr>
              <w:pStyle w:val="Compact"/>
              <w:jc w:val="left"/>
            </w:pPr>
            <w:r>
              <w:t xml:space="preserve">50%</w:t>
            </w:r>
          </w:p>
        </w:tc>
        <w:tc>
          <w:tcPr/>
          <w:p>
            <w:pPr>
              <w:pStyle w:val="Compact"/>
              <w:jc w:val="left"/>
            </w:pPr>
            <w:r>
              <w:t xml:space="preserve">£400</w:t>
            </w:r>
          </w:p>
        </w:tc>
        <w:tc>
          <w:tcPr/>
          <w:p>
            <w:pPr>
              <w:pStyle w:val="Compact"/>
              <w:jc w:val="left"/>
            </w:pPr>
            <w:r>
              <w:rPr>
                <w:bCs/>
                <w:b/>
              </w:rPr>
              <w:t xml:space="preserve">£45.4M</w:t>
            </w:r>
          </w:p>
        </w:tc>
      </w:tr>
      <w:tr>
        <w:tc>
          <w:tcPr/>
          <w:p>
            <w:pPr>
              <w:pStyle w:val="Compact"/>
              <w:jc w:val="left"/>
            </w:pPr>
            <w:r>
              <w:t xml:space="preserve">7</w:t>
            </w:r>
          </w:p>
        </w:tc>
        <w:tc>
          <w:tcPr/>
          <w:p>
            <w:pPr>
              <w:pStyle w:val="Compact"/>
              <w:jc w:val="left"/>
            </w:pPr>
            <w:r>
              <w:t xml:space="preserve">Mid gov, premium ARPU</w:t>
            </w:r>
          </w:p>
        </w:tc>
        <w:tc>
          <w:tcPr/>
          <w:p>
            <w:pPr>
              <w:pStyle w:val="Compact"/>
              <w:jc w:val="left"/>
            </w:pPr>
            <w:r>
              <w:t xml:space="preserve">35%</w:t>
            </w:r>
          </w:p>
        </w:tc>
        <w:tc>
          <w:tcPr/>
          <w:p>
            <w:pPr>
              <w:pStyle w:val="Compact"/>
              <w:jc w:val="left"/>
            </w:pPr>
            <w:r>
              <w:t xml:space="preserve">50%</w:t>
            </w:r>
          </w:p>
        </w:tc>
        <w:tc>
          <w:tcPr/>
          <w:p>
            <w:pPr>
              <w:pStyle w:val="Compact"/>
              <w:jc w:val="left"/>
            </w:pPr>
            <w:r>
              <w:t xml:space="preserve">£600</w:t>
            </w:r>
          </w:p>
        </w:tc>
        <w:tc>
          <w:tcPr/>
          <w:p>
            <w:pPr>
              <w:pStyle w:val="Compact"/>
              <w:jc w:val="left"/>
            </w:pPr>
            <w:r>
              <w:rPr>
                <w:bCs/>
                <w:b/>
              </w:rPr>
              <w:t xml:space="preserve">£52.9M</w:t>
            </w:r>
          </w:p>
        </w:tc>
      </w:tr>
      <w:tr>
        <w:tc>
          <w:tcPr/>
          <w:p>
            <w:pPr>
              <w:pStyle w:val="Compact"/>
              <w:jc w:val="left"/>
            </w:pPr>
            <w:r>
              <w:t xml:space="preserve">8</w:t>
            </w:r>
          </w:p>
        </w:tc>
        <w:tc>
          <w:tcPr/>
          <w:p>
            <w:pPr>
              <w:pStyle w:val="Compact"/>
              <w:jc w:val="left"/>
            </w:pPr>
            <w:r>
              <w:t xml:space="preserve">Broad adoption, budget</w:t>
            </w:r>
          </w:p>
        </w:tc>
        <w:tc>
          <w:tcPr/>
          <w:p>
            <w:pPr>
              <w:pStyle w:val="Compact"/>
              <w:jc w:val="left"/>
            </w:pPr>
            <w:r>
              <w:t xml:space="preserve">55%</w:t>
            </w:r>
          </w:p>
        </w:tc>
        <w:tc>
          <w:tcPr/>
          <w:p>
            <w:pPr>
              <w:pStyle w:val="Compact"/>
              <w:jc w:val="left"/>
            </w:pPr>
            <w:r>
              <w:t xml:space="preserve">70%</w:t>
            </w:r>
          </w:p>
        </w:tc>
        <w:tc>
          <w:tcPr/>
          <w:p>
            <w:pPr>
              <w:pStyle w:val="Compact"/>
              <w:jc w:val="left"/>
            </w:pPr>
            <w:r>
              <w:t xml:space="preserve">£200</w:t>
            </w:r>
          </w:p>
        </w:tc>
        <w:tc>
          <w:tcPr/>
          <w:p>
            <w:pPr>
              <w:pStyle w:val="Compact"/>
              <w:jc w:val="left"/>
            </w:pPr>
            <w:r>
              <w:rPr>
                <w:bCs/>
                <w:b/>
              </w:rPr>
              <w:t xml:space="preserve">£38.8M</w:t>
            </w:r>
          </w:p>
        </w:tc>
      </w:tr>
      <w:tr>
        <w:tc>
          <w:tcPr/>
          <w:p>
            <w:pPr>
              <w:pStyle w:val="Compact"/>
              <w:jc w:val="left"/>
            </w:pPr>
            <w:r>
              <w:t xml:space="preserve">9</w:t>
            </w:r>
          </w:p>
        </w:tc>
        <w:tc>
          <w:tcPr/>
          <w:p>
            <w:pPr>
              <w:pStyle w:val="Compact"/>
              <w:jc w:val="left"/>
            </w:pPr>
            <w:r>
              <w:t xml:space="preserve">High gov, broad sector</w:t>
            </w:r>
          </w:p>
        </w:tc>
        <w:tc>
          <w:tcPr/>
          <w:p>
            <w:pPr>
              <w:pStyle w:val="Compact"/>
              <w:jc w:val="left"/>
            </w:pPr>
            <w:r>
              <w:t xml:space="preserve">55%</w:t>
            </w:r>
          </w:p>
        </w:tc>
        <w:tc>
          <w:tcPr/>
          <w:p>
            <w:pPr>
              <w:pStyle w:val="Compact"/>
              <w:jc w:val="left"/>
            </w:pPr>
            <w:r>
              <w:t xml:space="preserve">70%</w:t>
            </w:r>
          </w:p>
        </w:tc>
        <w:tc>
          <w:tcPr/>
          <w:p>
            <w:pPr>
              <w:pStyle w:val="Compact"/>
              <w:jc w:val="left"/>
            </w:pPr>
            <w:r>
              <w:t xml:space="preserve">£400</w:t>
            </w:r>
          </w:p>
        </w:tc>
        <w:tc>
          <w:tcPr/>
          <w:p>
            <w:pPr>
              <w:pStyle w:val="Compact"/>
              <w:jc w:val="left"/>
            </w:pPr>
            <w:r>
              <w:rPr>
                <w:bCs/>
                <w:b/>
              </w:rPr>
              <w:t xml:space="preserve">£77.6M</w:t>
            </w:r>
          </w:p>
        </w:tc>
      </w:tr>
      <w:tr>
        <w:tc>
          <w:tcPr/>
          <w:p>
            <w:pPr>
              <w:pStyle w:val="Compact"/>
              <w:jc w:val="left"/>
            </w:pPr>
            <w:r>
              <w:t xml:space="preserve">10</w:t>
            </w:r>
          </w:p>
        </w:tc>
        <w:tc>
          <w:tcPr/>
          <w:p>
            <w:pPr>
              <w:pStyle w:val="Compact"/>
              <w:jc w:val="left"/>
            </w:pPr>
            <w:r>
              <w:t xml:space="preserve">Optimistic ceiling</w:t>
            </w:r>
          </w:p>
        </w:tc>
        <w:tc>
          <w:tcPr/>
          <w:p>
            <w:pPr>
              <w:pStyle w:val="Compact"/>
              <w:jc w:val="left"/>
            </w:pPr>
            <w:r>
              <w:t xml:space="preserve">55%</w:t>
            </w:r>
          </w:p>
        </w:tc>
        <w:tc>
          <w:tcPr/>
          <w:p>
            <w:pPr>
              <w:pStyle w:val="Compact"/>
              <w:jc w:val="left"/>
            </w:pPr>
            <w:r>
              <w:t xml:space="preserve">70%</w:t>
            </w:r>
          </w:p>
        </w:tc>
        <w:tc>
          <w:tcPr/>
          <w:p>
            <w:pPr>
              <w:pStyle w:val="Compact"/>
              <w:jc w:val="left"/>
            </w:pPr>
            <w:r>
              <w:t xml:space="preserve">£600</w:t>
            </w:r>
          </w:p>
        </w:tc>
        <w:tc>
          <w:tcPr/>
          <w:p>
            <w:pPr>
              <w:pStyle w:val="Compact"/>
              <w:jc w:val="left"/>
            </w:pPr>
            <w:r>
              <w:rPr>
                <w:bCs/>
                <w:b/>
              </w:rPr>
              <w:t xml:space="preserve">£116.4M</w:t>
            </w:r>
          </w:p>
        </w:tc>
      </w:tr>
    </w:tbl>
    <w:p>
      <w:pPr>
        <w:pStyle w:val="BodyText"/>
      </w:pPr>
      <w:r>
        <w:rPr>
          <w:bCs/>
          <w:b/>
        </w:rPr>
        <w:t xml:space="preserve">Realistic range: £25M–£55M.</w:t>
      </w:r>
      <w:r>
        <w:t xml:space="preserve"> </w:t>
      </w:r>
      <w:r>
        <w:t xml:space="preserve">ARPU is the highest-leverage variable.</w:t>
      </w:r>
    </w:p>
    <w:p>
      <w:pPr>
        <w:pStyle w:val="BodyText"/>
      </w:pPr>
      <w:r>
        <w:rPr>
          <w:bCs/>
          <w:b/>
        </w:rPr>
        <w:t xml:space="preserve">Break-even reality check:</w:t>
      </w:r>
      <w:r>
        <w:t xml:space="preserve"> </w:t>
      </w:r>
      <w:r>
        <w:t xml:space="preserve">Helm needs a SAM of</w:t>
      </w:r>
      <w:r>
        <w:t xml:space="preserve"> </w:t>
      </w:r>
      <w:r>
        <w:rPr>
          <w:bCs/>
          <w:b/>
        </w:rPr>
        <w:t xml:space="preserve">at least ~£20M</w:t>
      </w:r>
      <w:r>
        <w:t xml:space="preserve"> </w:t>
      </w:r>
      <w:r>
        <w:t xml:space="preserve">for the business model to work at realistic penetration (≤3–4% by Year 3). The base case gives comfortable headroom. The pessimistic floor of £10M requires heroic capture rates.</w:t>
      </w:r>
    </w:p>
    <w:p>
      <w:pPr>
        <w:pStyle w:val="BodyText"/>
      </w:pPr>
      <w:r>
        <w:rPr>
          <w:bCs/>
          <w:b/>
        </w:rPr>
        <w:t xml:space="preserve">What primary research resolves:</w:t>
      </w:r>
    </w:p>
    <w:tbl>
      <w:tblPr>
        <w:tblStyle w:val="Table"/>
        <w:tblW w:type="pct" w:w="5000"/>
        <w:tblLook w:firstRow="1" w:lastRow="0" w:firstColumn="0" w:lastColumn="0" w:noHBand="0" w:noVBand="0" w:val="0020"/>
        <w:jc w:val="start"/>
      </w:tblPr>
      <w:tblGrid>
        <w:gridCol w:w="2329"/>
        <w:gridCol w:w="3727"/>
        <w:gridCol w:w="1863"/>
      </w:tblGrid>
      <w:tr>
        <w:trPr>
          <w:tblHeader w:val="true"/>
        </w:trPr>
        <w:tc>
          <w:tcPr/>
          <w:p>
            <w:pPr>
              <w:pStyle w:val="Compact"/>
              <w:jc w:val="left"/>
            </w:pPr>
            <w:r>
              <w:t xml:space="preserve">Variable</w:t>
            </w:r>
          </w:p>
        </w:tc>
        <w:tc>
          <w:tcPr/>
          <w:p>
            <w:pPr>
              <w:pStyle w:val="Compact"/>
              <w:jc w:val="left"/>
            </w:pPr>
            <w:r>
              <w:t xml:space="preserve">Research Needed</w:t>
            </w:r>
          </w:p>
        </w:tc>
        <w:tc>
          <w:tcPr/>
          <w:p>
            <w:pPr>
              <w:pStyle w:val="Compact"/>
              <w:jc w:val="left"/>
            </w:pPr>
            <w:r>
              <w:t xml:space="preserve">Effort</w:t>
            </w:r>
          </w:p>
        </w:tc>
      </w:tr>
      <w:tr>
        <w:tc>
          <w:tcPr/>
          <w:p>
            <w:pPr>
              <w:pStyle w:val="Compact"/>
              <w:jc w:val="left"/>
            </w:pPr>
            <w:r>
              <w:t xml:space="preserve">Sector filter (60%)</w:t>
            </w:r>
          </w:p>
        </w:tc>
        <w:tc>
          <w:tcPr/>
          <w:p>
            <w:pPr>
              <w:pStyle w:val="Compact"/>
              <w:jc w:val="left"/>
            </w:pPr>
            <w:r>
              <w:t xml:space="preserve">ONS IDBR cross-reference against FCA/DORA scope</w:t>
            </w:r>
          </w:p>
        </w:tc>
        <w:tc>
          <w:tcPr/>
          <w:p>
            <w:pPr>
              <w:pStyle w:val="Compact"/>
              <w:jc w:val="left"/>
            </w:pPr>
            <w:r>
              <w:t xml:space="preserve">2–3 days (desk)</w:t>
            </w:r>
          </w:p>
        </w:tc>
      </w:tr>
      <w:tr>
        <w:tc>
          <w:tcPr/>
          <w:p>
            <w:pPr>
              <w:pStyle w:val="Compact"/>
              <w:jc w:val="left"/>
            </w:pPr>
            <w:r>
              <w:t xml:space="preserve">Governance needs (35–45%)</w:t>
            </w:r>
          </w:p>
        </w:tc>
        <w:tc>
          <w:tcPr/>
          <w:p>
            <w:pPr>
              <w:pStyle w:val="Compact"/>
              <w:jc w:val="left"/>
            </w:pPr>
            <w:r>
              <w:t xml:space="preserve">10–15 discovery interviews with mid-market PMO leads</w:t>
            </w:r>
          </w:p>
        </w:tc>
        <w:tc>
          <w:tcPr/>
          <w:p>
            <w:pPr>
              <w:pStyle w:val="Compact"/>
              <w:jc w:val="left"/>
            </w:pPr>
            <w:r>
              <w:t xml:space="preserve">2–3 weeks</w:t>
            </w:r>
          </w:p>
        </w:tc>
      </w:tr>
      <w:tr>
        <w:tc>
          <w:tcPr/>
          <w:p>
            <w:pPr>
              <w:pStyle w:val="Compact"/>
              <w:jc w:val="left"/>
            </w:pPr>
            <w:r>
              <w:t xml:space="preserve">ARPU (£400/mo)</w:t>
            </w:r>
          </w:p>
        </w:tc>
        <w:tc>
          <w:tcPr/>
          <w:p>
            <w:pPr>
              <w:pStyle w:val="Compact"/>
              <w:jc w:val="left"/>
            </w:pPr>
            <w:r>
              <w:t xml:space="preserve">Van Westendorp pricing in discovery interviews</w:t>
            </w:r>
          </w:p>
        </w:tc>
        <w:tc>
          <w:tcPr/>
          <w:p>
            <w:pPr>
              <w:pStyle w:val="Compact"/>
              <w:jc w:val="left"/>
            </w:pPr>
            <w:r>
              <w:t xml:space="preserve">Bundled</w:t>
            </w:r>
          </w:p>
        </w:tc>
      </w:tr>
    </w:tbl>
    <w:p>
      <w:r>
        <w:pict>
          <v:rect style="width:0;height:1.5pt" o:hralign="center" o:hrstd="t" o:hr="t"/>
        </w:pict>
      </w:r>
    </w:p>
    <w:bookmarkEnd w:id="27"/>
    <w:bookmarkEnd w:id="28"/>
    <w:bookmarkStart w:id="34" w:name="competitive-landscape"/>
    <w:p>
      <w:pPr>
        <w:pStyle w:val="Heading2"/>
      </w:pPr>
      <w:r>
        <w:t xml:space="preserve">2. Competitive Landscape</w:t>
      </w:r>
    </w:p>
    <w:bookmarkStart w:id="29" w:name="X24e8c4af0e96c87aa66ff7be18553283cda608b"/>
    <w:p>
      <w:pPr>
        <w:pStyle w:val="Heading3"/>
      </w:pPr>
      <w:r>
        <w:t xml:space="preserve">2.1 Summary Matrix (16 Vendors, 10 Capabilities)</w:t>
      </w:r>
    </w:p>
    <w:tbl>
      <w:tblPr>
        <w:tblStyle w:val="Table"/>
        <w:tblW w:type="pct" w:w="5000"/>
        <w:tblLook w:firstRow="1" w:lastRow="0" w:firstColumn="0" w:lastColumn="0" w:noHBand="0" w:noVBand="0" w:val="0020"/>
        <w:jc w:val="start"/>
      </w:tblPr>
      <w:tblGrid>
        <w:gridCol w:w="653"/>
        <w:gridCol w:w="489"/>
        <w:gridCol w:w="979"/>
        <w:gridCol w:w="1143"/>
        <w:gridCol w:w="408"/>
        <w:gridCol w:w="1061"/>
        <w:gridCol w:w="1306"/>
        <w:gridCol w:w="326"/>
        <w:gridCol w:w="326"/>
        <w:gridCol w:w="571"/>
        <w:gridCol w:w="653"/>
      </w:tblGrid>
      <w:tr>
        <w:trPr>
          <w:tblHeader w:val="true"/>
        </w:trPr>
        <w:tc>
          <w:tcPr/>
          <w:p>
            <w:pPr>
              <w:pStyle w:val="Compact"/>
              <w:jc w:val="left"/>
            </w:pPr>
            <w:r>
              <w:t xml:space="preserve">Vendor</w:t>
            </w:r>
          </w:p>
        </w:tc>
        <w:tc>
          <w:tcPr/>
          <w:p>
            <w:pPr>
              <w:pStyle w:val="Compact"/>
              <w:jc w:val="left"/>
            </w:pPr>
            <w:r>
              <w:t xml:space="preserve">RAID</w:t>
            </w:r>
          </w:p>
        </w:tc>
        <w:tc>
          <w:tcPr/>
          <w:p>
            <w:pPr>
              <w:pStyle w:val="Compact"/>
              <w:jc w:val="left"/>
            </w:pPr>
            <w:r>
              <w:t xml:space="preserve">Escalation</w:t>
            </w:r>
          </w:p>
        </w:tc>
        <w:tc>
          <w:tcPr/>
          <w:p>
            <w:pPr>
              <w:pStyle w:val="Compact"/>
              <w:jc w:val="left"/>
            </w:pPr>
            <w:r>
              <w:t xml:space="preserve">Decision Log</w:t>
            </w:r>
          </w:p>
        </w:tc>
        <w:tc>
          <w:tcPr/>
          <w:p>
            <w:pPr>
              <w:pStyle w:val="Compact"/>
              <w:jc w:val="left"/>
            </w:pPr>
            <w:r>
              <w:t xml:space="preserve">P3O</w:t>
            </w:r>
          </w:p>
        </w:tc>
        <w:tc>
          <w:tcPr/>
          <w:p>
            <w:pPr>
              <w:pStyle w:val="Compact"/>
              <w:jc w:val="left"/>
            </w:pPr>
            <w:r>
              <w:t xml:space="preserve">Meeting→Gov†</w:t>
            </w:r>
          </w:p>
        </w:tc>
        <w:tc>
          <w:tcPr/>
          <w:p>
            <w:pPr>
              <w:pStyle w:val="Compact"/>
              <w:jc w:val="left"/>
            </w:pPr>
            <w:r>
              <w:t xml:space="preserve">Gov. Reporting</w:t>
            </w:r>
          </w:p>
        </w:tc>
        <w:tc>
          <w:tcPr/>
          <w:p>
            <w:pPr>
              <w:pStyle w:val="Compact"/>
              <w:jc w:val="left"/>
            </w:pPr>
            <w:r>
              <w:t xml:space="preserve">AI</w:t>
            </w:r>
          </w:p>
        </w:tc>
        <w:tc>
          <w:tcPr/>
          <w:p>
            <w:pPr>
              <w:pStyle w:val="Compact"/>
              <w:jc w:val="left"/>
            </w:pPr>
            <w:r>
              <w:t xml:space="preserve">API</w:t>
            </w:r>
          </w:p>
        </w:tc>
        <w:tc>
          <w:tcPr/>
          <w:p>
            <w:pPr>
              <w:pStyle w:val="Compact"/>
              <w:jc w:val="left"/>
            </w:pPr>
            <w:r>
              <w:t xml:space="preserve">Price</w:t>
            </w:r>
          </w:p>
        </w:tc>
        <w:tc>
          <w:tcPr/>
          <w:p>
            <w:pPr>
              <w:pStyle w:val="Compact"/>
              <w:jc w:val="left"/>
            </w:pPr>
            <w:r>
              <w:t xml:space="preserve">Target</w:t>
            </w:r>
          </w:p>
        </w:tc>
      </w:tr>
      <w:tr>
        <w:tc>
          <w:tcPr/>
          <w:p>
            <w:pPr>
              <w:pStyle w:val="Compact"/>
              <w:jc w:val="left"/>
            </w:pPr>
            <w:r>
              <w:rPr>
                <w:bCs/>
                <w:b/>
              </w:rPr>
              <w:t xml:space="preserve">Planview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~£15–20/u/m ($19–25)</w:t>
            </w:r>
          </w:p>
        </w:tc>
        <w:tc>
          <w:tcPr/>
          <w:p>
            <w:pPr>
              <w:pStyle w:val="Compact"/>
              <w:jc w:val="left"/>
            </w:pPr>
            <w:r>
              <w:t xml:space="preserve">Enterprise</w:t>
            </w:r>
          </w:p>
        </w:tc>
      </w:tr>
      <w:tr>
        <w:tc>
          <w:tcPr/>
          <w:p>
            <w:pPr>
              <w:pStyle w:val="Compact"/>
              <w:jc w:val="left"/>
            </w:pPr>
            <w:r>
              <w:rPr>
                <w:bCs/>
                <w:b/>
              </w:rPr>
              <w:t xml:space="preserve">ServiceNow SPM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~£80–160+/u/m ($100–200+)</w:t>
            </w:r>
          </w:p>
        </w:tc>
        <w:tc>
          <w:tcPr/>
          <w:p>
            <w:pPr>
              <w:pStyle w:val="Compact"/>
              <w:jc w:val="left"/>
            </w:pPr>
            <w:r>
              <w:t xml:space="preserve">Enterprise</w:t>
            </w:r>
          </w:p>
        </w:tc>
      </w:tr>
      <w:tr>
        <w:tc>
          <w:tcPr/>
          <w:p>
            <w:pPr>
              <w:pStyle w:val="Compact"/>
              <w:jc w:val="left"/>
            </w:pPr>
            <w:r>
              <w:rPr>
                <w:bCs/>
                <w:b/>
              </w:rPr>
              <w:t xml:space="preserve">Clarity PPM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~£23–48/u/m ($29–60)</w:t>
            </w:r>
          </w:p>
        </w:tc>
        <w:tc>
          <w:tcPr/>
          <w:p>
            <w:pPr>
              <w:pStyle w:val="Compact"/>
              <w:jc w:val="left"/>
            </w:pPr>
            <w:r>
              <w:t xml:space="preserve">Enterprise/Gov</w:t>
            </w:r>
          </w:p>
        </w:tc>
      </w:tr>
      <w:tr>
        <w:tc>
          <w:tcPr/>
          <w:p>
            <w:pPr>
              <w:pStyle w:val="Compact"/>
              <w:jc w:val="left"/>
            </w:pPr>
            <w:r>
              <w:rPr>
                <w:bCs/>
                <w:b/>
              </w:rPr>
              <w:t xml:space="preserve">Planisware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~£24–40/u/m ($30–50)</w:t>
            </w:r>
          </w:p>
        </w:tc>
        <w:tc>
          <w:tcPr/>
          <w:p>
            <w:pPr>
              <w:pStyle w:val="Compact"/>
              <w:jc w:val="left"/>
            </w:pPr>
            <w:r>
              <w:t xml:space="preserve">Enterprise</w:t>
            </w:r>
          </w:p>
        </w:tc>
      </w:tr>
      <w:tr>
        <w:tc>
          <w:tcPr/>
          <w:p>
            <w:pPr>
              <w:pStyle w:val="Compact"/>
              <w:jc w:val="left"/>
            </w:pPr>
            <w:r>
              <w:rPr>
                <w:bCs/>
                <w:b/>
              </w:rPr>
              <w:t xml:space="preserve">Microsoft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Free–£44/u/m ($0–55+$30 Copilot)</w:t>
            </w:r>
          </w:p>
        </w:tc>
        <w:tc>
          <w:tcPr/>
          <w:p>
            <w:pPr>
              <w:pStyle w:val="Compact"/>
              <w:jc w:val="left"/>
            </w:pPr>
            <w:r>
              <w:t xml:space="preserve">All sizes</w:t>
            </w:r>
          </w:p>
        </w:tc>
      </w:tr>
      <w:tr>
        <w:tc>
          <w:tcPr/>
          <w:p>
            <w:pPr>
              <w:pStyle w:val="Compact"/>
              <w:jc w:val="left"/>
            </w:pPr>
            <w:r>
              <w:rPr>
                <w:bCs/>
                <w:b/>
              </w:rPr>
              <w:t xml:space="preserve">Smartsheet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~£7–15/u/m ($9–19)</w:t>
            </w:r>
          </w:p>
        </w:tc>
        <w:tc>
          <w:tcPr/>
          <w:p>
            <w:pPr>
              <w:pStyle w:val="Compact"/>
              <w:jc w:val="left"/>
            </w:pPr>
            <w:r>
              <w:t xml:space="preserve">Mid→Ent</w:t>
            </w:r>
          </w:p>
        </w:tc>
      </w:tr>
      <w:tr>
        <w:tc>
          <w:tcPr/>
          <w:p>
            <w:pPr>
              <w:pStyle w:val="Compact"/>
              <w:jc w:val="left"/>
            </w:pPr>
            <w:r>
              <w:rPr>
                <w:bCs/>
                <w:b/>
              </w:rPr>
              <w:t xml:space="preserve">Monday.com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~£7–24/u/m ($9–30)</w:t>
            </w:r>
          </w:p>
        </w:tc>
        <w:tc>
          <w:tcPr/>
          <w:p>
            <w:pPr>
              <w:pStyle w:val="Compact"/>
              <w:jc w:val="left"/>
            </w:pPr>
            <w:r>
              <w:t xml:space="preserve">SMB→Mid</w:t>
            </w:r>
          </w:p>
        </w:tc>
      </w:tr>
      <w:tr>
        <w:tc>
          <w:tcPr/>
          <w:p>
            <w:pPr>
              <w:pStyle w:val="Compact"/>
              <w:jc w:val="left"/>
            </w:pPr>
            <w:r>
              <w:rPr>
                <w:bCs/>
                <w:b/>
              </w:rPr>
              <w:t xml:space="preserve">Asana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~£9–20/u/m ($11–25)</w:t>
            </w:r>
          </w:p>
        </w:tc>
        <w:tc>
          <w:tcPr/>
          <w:p>
            <w:pPr>
              <w:pStyle w:val="Compact"/>
              <w:jc w:val="left"/>
            </w:pPr>
            <w:r>
              <w:t xml:space="preserve">SMB→Ent</w:t>
            </w:r>
          </w:p>
        </w:tc>
      </w:tr>
      <w:tr>
        <w:tc>
          <w:tcPr/>
          <w:p>
            <w:pPr>
              <w:pStyle w:val="Compact"/>
              <w:jc w:val="left"/>
            </w:pPr>
            <w:r>
              <w:rPr>
                <w:bCs/>
                <w:b/>
              </w:rPr>
              <w:t xml:space="preserve">Celoxis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~£12–20/u/m ($15–25)</w:t>
            </w:r>
          </w:p>
        </w:tc>
        <w:tc>
          <w:tcPr/>
          <w:p>
            <w:pPr>
              <w:pStyle w:val="Compact"/>
              <w:jc w:val="left"/>
            </w:pPr>
            <w:r>
              <w:t xml:space="preserve">SMB→Mid</w:t>
            </w:r>
          </w:p>
        </w:tc>
      </w:tr>
      <w:tr>
        <w:tc>
          <w:tcPr/>
          <w:p>
            <w:pPr>
              <w:pStyle w:val="Compact"/>
              <w:jc w:val="left"/>
            </w:pPr>
            <w:r>
              <w:rPr>
                <w:bCs/>
                <w:b/>
              </w:rPr>
              <w:t xml:space="preserve">Completix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~£10/u/m ($12.50)</w:t>
            </w:r>
          </w:p>
        </w:tc>
        <w:tc>
          <w:tcPr/>
          <w:p>
            <w:pPr>
              <w:pStyle w:val="Compact"/>
              <w:jc w:val="left"/>
            </w:pPr>
            <w:r>
              <w:t xml:space="preserve">SMB→Mid</w:t>
            </w:r>
          </w:p>
        </w:tc>
      </w:tr>
      <w:tr>
        <w:tc>
          <w:tcPr/>
          <w:p>
            <w:pPr>
              <w:pStyle w:val="Compact"/>
              <w:jc w:val="left"/>
            </w:pPr>
            <w:r>
              <w:rPr>
                <w:bCs/>
                <w:b/>
              </w:rPr>
              <w:t xml:space="preserve">Tempo (Jira)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~£2–4/u/m ($2–5)</w:t>
            </w:r>
          </w:p>
        </w:tc>
        <w:tc>
          <w:tcPr/>
          <w:p>
            <w:pPr>
              <w:pStyle w:val="Compact"/>
              <w:jc w:val="left"/>
            </w:pPr>
            <w:r>
              <w:t xml:space="preserve">Mid (Jira)</w:t>
            </w:r>
          </w:p>
        </w:tc>
      </w:tr>
      <w:tr>
        <w:tc>
          <w:tcPr/>
          <w:p>
            <w:pPr>
              <w:pStyle w:val="Compact"/>
              <w:jc w:val="left"/>
            </w:pPr>
            <w:r>
              <w:rPr>
                <w:bCs/>
                <w:b/>
              </w:rPr>
              <w:t xml:space="preserve">Targetprocess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~£24–40/u/m ($30–50 est.)</w:t>
            </w:r>
          </w:p>
        </w:tc>
        <w:tc>
          <w:tcPr/>
          <w:p>
            <w:pPr>
              <w:pStyle w:val="Compact"/>
              <w:jc w:val="left"/>
            </w:pPr>
            <w:r>
              <w:t xml:space="preserve">Enterprise</w:t>
            </w:r>
          </w:p>
        </w:tc>
      </w:tr>
      <w:tr>
        <w:tc>
          <w:tcPr/>
          <w:p>
            <w:pPr>
              <w:pStyle w:val="Compact"/>
              <w:jc w:val="left"/>
            </w:pPr>
            <w:r>
              <w:rPr>
                <w:bCs/>
                <w:b/>
              </w:rPr>
              <w:t xml:space="preserve">Aha!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~£47–119/u/m ($59–149)</w:t>
            </w:r>
          </w:p>
        </w:tc>
        <w:tc>
          <w:tcPr/>
          <w:p>
            <w:pPr>
              <w:pStyle w:val="Compact"/>
              <w:jc w:val="left"/>
            </w:pPr>
            <w:r>
              <w:t xml:space="preserve">Mid→Ent</w:t>
            </w:r>
          </w:p>
        </w:tc>
      </w:tr>
      <w:tr>
        <w:tc>
          <w:tcPr/>
          <w:p>
            <w:pPr>
              <w:pStyle w:val="Compact"/>
              <w:jc w:val="left"/>
            </w:pPr>
            <w:r>
              <w:rPr>
                <w:bCs/>
                <w:b/>
              </w:rPr>
              <w:t xml:space="preserve">Productboard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~£15–47/u/m ($19–59)</w:t>
            </w:r>
          </w:p>
        </w:tc>
        <w:tc>
          <w:tcPr/>
          <w:p>
            <w:pPr>
              <w:pStyle w:val="Compact"/>
              <w:jc w:val="left"/>
            </w:pPr>
            <w:r>
              <w:t xml:space="preserve">Mid (Product)</w:t>
            </w:r>
          </w:p>
        </w:tc>
      </w:tr>
      <w:tr>
        <w:tc>
          <w:tcPr/>
          <w:p>
            <w:pPr>
              <w:pStyle w:val="Compact"/>
              <w:jc w:val="left"/>
            </w:pPr>
            <w:r>
              <w:rPr>
                <w:bCs/>
                <w:b/>
              </w:rPr>
              <w:t xml:space="preserve">Sciforma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~£12–72/u/m ($15–90)</w:t>
            </w:r>
          </w:p>
        </w:tc>
        <w:tc>
          <w:tcPr/>
          <w:p>
            <w:pPr>
              <w:pStyle w:val="Compact"/>
              <w:jc w:val="left"/>
            </w:pPr>
            <w:r>
              <w:t xml:space="preserve">Mid→Ent</w:t>
            </w:r>
          </w:p>
        </w:tc>
      </w:tr>
      <w:tr>
        <w:tc>
          <w:tcPr/>
          <w:p>
            <w:pPr>
              <w:pStyle w:val="Compact"/>
              <w:jc w:val="left"/>
            </w:pPr>
            <w:r>
              <w:rPr>
                <w:bCs/>
                <w:b/>
              </w:rPr>
              <w:t xml:space="preserve">KeyedIn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~£20/u/m ($25)</w:t>
            </w:r>
          </w:p>
        </w:tc>
        <w:tc>
          <w:tcPr/>
          <w:p>
            <w:pPr>
              <w:pStyle w:val="Compact"/>
              <w:jc w:val="left"/>
            </w:pPr>
            <w:r>
              <w:t xml:space="preserve">Mid→Ent</w:t>
            </w:r>
          </w:p>
        </w:tc>
      </w:tr>
    </w:tbl>
    <w:p>
      <w:pPr>
        <w:pStyle w:val="BodyText"/>
      </w:pPr>
      <w:r>
        <w:rPr>
          <w:bCs/>
          <w:b/>
        </w:rPr>
        <w:t xml:space="preserve">Legend:</w:t>
      </w:r>
      <w:r>
        <w:t xml:space="preserve"> </w:t>
      </w:r>
      <w:r>
        <w:t xml:space="preserve">✅ Native | ⚠️ Partial | ❌ Not available | ✅✅ Industry-leading</w:t>
      </w:r>
    </w:p>
    <w:p>
      <w:pPr>
        <w:pStyle w:val="BodyText"/>
      </w:pPr>
      <w:r>
        <w:rPr>
          <w:bCs/>
          <w:b/>
        </w:rPr>
        <w:t xml:space="preserve">† Meeting→Gov (Meeting-to-Governance Traceability):</w:t>
      </w:r>
      <w:r>
        <w:t xml:space="preserve"> </w:t>
      </w:r>
      <w:r>
        <w:t xml:space="preserve">Assesses whether the vendor natively extracts</w:t>
      </w:r>
      <w:r>
        <w:t xml:space="preserve"> </w:t>
      </w:r>
      <w:r>
        <w:rPr>
          <w:iCs/>
          <w:i/>
        </w:rPr>
        <w:t xml:space="preserve">structured governance artefacts</w:t>
      </w:r>
      <w:r>
        <w:t xml:space="preserve"> </w:t>
      </w:r>
      <w:r>
        <w:t xml:space="preserve">— RAID items, formal decision records, escalation triggers — from meeting content and routes them through approval workflows. Does</w:t>
      </w:r>
      <w:r>
        <w:t xml:space="preserve"> </w:t>
      </w:r>
      <w:r>
        <w:rPr>
          <w:bCs/>
          <w:b/>
        </w:rPr>
        <w:t xml:space="preserve">not</w:t>
      </w:r>
      <w:r>
        <w:t xml:space="preserve"> </w:t>
      </w:r>
      <w:r>
        <w:t xml:space="preserve">assess basic meeting-to-task integration (which exists via Otter.ai, Fireflies.ai, Teams Premium). The ❌ across 15 vendors reflects absence of governance-grade meeting extraction.</w:t>
      </w:r>
    </w:p>
    <w:p>
      <w:pPr>
        <w:pStyle w:val="BodyText"/>
      </w:pPr>
      <w:r>
        <w:t xml:space="preserve">*</w:t>
      </w:r>
      <w:r>
        <w:rPr>
          <w:bCs/>
          <w:b/>
        </w:rPr>
        <w:t xml:space="preserve">Microsoft is the ONLY vendor scoring ⚠️.</w:t>
      </w:r>
      <w:r>
        <w:t xml:space="preserve"> </w:t>
      </w:r>
      <w:r>
        <w:t xml:space="preserve">Their Facilitator + Project Manager Agent creates tasks from meetings — but generic tasks, not RAID entries, decision records, or governance artefacts. This is the closest any competitor comes to Helm’s planned differentiator.</w:t>
      </w:r>
    </w:p>
    <w:bookmarkEnd w:id="29"/>
    <w:bookmarkStart w:id="30" w:name="ai-landscape"/>
    <w:p>
      <w:pPr>
        <w:pStyle w:val="Heading3"/>
      </w:pPr>
      <w:r>
        <w:t xml:space="preserve">2.2 AI Landscape</w:t>
      </w:r>
    </w:p>
    <w:tbl>
      <w:tblPr>
        <w:tblStyle w:val="Table"/>
        <w:tblW w:type="pct" w:w="5000"/>
        <w:tblLook w:firstRow="1" w:lastRow="0" w:firstColumn="0" w:lastColumn="0" w:noHBand="0" w:noVBand="0" w:val="0020"/>
        <w:jc w:val="start"/>
      </w:tblPr>
      <w:tblGrid>
        <w:gridCol w:w="1624"/>
        <w:gridCol w:w="2030"/>
        <w:gridCol w:w="1421"/>
        <w:gridCol w:w="2843"/>
      </w:tblGrid>
      <w:tr>
        <w:trPr>
          <w:tblHeader w:val="true"/>
        </w:trPr>
        <w:tc>
          <w:tcPr/>
          <w:p>
            <w:pPr>
              <w:pStyle w:val="Compact"/>
              <w:jc w:val="left"/>
            </w:pPr>
            <w:r>
              <w:t xml:space="preserve">Vendor</w:t>
            </w:r>
          </w:p>
        </w:tc>
        <w:tc>
          <w:tcPr/>
          <w:p>
            <w:pPr>
              <w:pStyle w:val="Compact"/>
              <w:jc w:val="left"/>
            </w:pPr>
            <w:r>
              <w:t xml:space="preserve">AI Brand</w:t>
            </w:r>
          </w:p>
        </w:tc>
        <w:tc>
          <w:tcPr/>
          <w:p>
            <w:pPr>
              <w:pStyle w:val="Compact"/>
              <w:jc w:val="left"/>
            </w:pPr>
            <w:r>
              <w:t xml:space="preserve">Focus</w:t>
            </w:r>
          </w:p>
        </w:tc>
        <w:tc>
          <w:tcPr/>
          <w:p>
            <w:pPr>
              <w:pStyle w:val="Compact"/>
              <w:jc w:val="left"/>
            </w:pPr>
            <w:r>
              <w:t xml:space="preserve">Meeting→Gov?</w:t>
            </w:r>
          </w:p>
        </w:tc>
      </w:tr>
      <w:tr>
        <w:tc>
          <w:tcPr/>
          <w:p>
            <w:pPr>
              <w:pStyle w:val="Compact"/>
              <w:jc w:val="left"/>
            </w:pPr>
            <w:r>
              <w:rPr>
                <w:bCs/>
                <w:b/>
              </w:rPr>
              <w:t xml:space="preserve">Planview</w:t>
            </w:r>
          </w:p>
        </w:tc>
        <w:tc>
          <w:tcPr/>
          <w:p>
            <w:pPr>
              <w:pStyle w:val="Compact"/>
              <w:jc w:val="left"/>
            </w:pPr>
            <w:r>
              <w:t xml:space="preserve">Anvi</w:t>
            </w:r>
          </w:p>
        </w:tc>
        <w:tc>
          <w:tcPr/>
          <w:p>
            <w:pPr>
              <w:pStyle w:val="Compact"/>
              <w:jc w:val="left"/>
            </w:pPr>
            <w:r>
              <w:t xml:space="preserve">Risk detection, sentiment, custom agents</w:t>
            </w:r>
          </w:p>
        </w:tc>
        <w:tc>
          <w:tcPr/>
          <w:p>
            <w:pPr>
              <w:pStyle w:val="Compact"/>
              <w:jc w:val="left"/>
            </w:pPr>
            <w:r>
              <w:t xml:space="preserve">❌</w:t>
            </w:r>
          </w:p>
        </w:tc>
      </w:tr>
      <w:tr>
        <w:tc>
          <w:tcPr/>
          <w:p>
            <w:pPr>
              <w:pStyle w:val="Compact"/>
              <w:jc w:val="left"/>
            </w:pPr>
            <w:r>
              <w:rPr>
                <w:bCs/>
                <w:b/>
              </w:rPr>
              <w:t xml:space="preserve">ServiceNow</w:t>
            </w:r>
          </w:p>
        </w:tc>
        <w:tc>
          <w:tcPr/>
          <w:p>
            <w:pPr>
              <w:pStyle w:val="Compact"/>
              <w:jc w:val="left"/>
            </w:pPr>
            <w:r>
              <w:t xml:space="preserve">Now Assist</w:t>
            </w:r>
          </w:p>
        </w:tc>
        <w:tc>
          <w:tcPr/>
          <w:p>
            <w:pPr>
              <w:pStyle w:val="Compact"/>
              <w:jc w:val="left"/>
            </w:pPr>
            <w:r>
              <w:t xml:space="preserve">Demand creation, user stories</w:t>
            </w:r>
          </w:p>
        </w:tc>
        <w:tc>
          <w:tcPr/>
          <w:p>
            <w:pPr>
              <w:pStyle w:val="Compact"/>
              <w:jc w:val="left"/>
            </w:pPr>
            <w:r>
              <w:t xml:space="preserve">❌</w:t>
            </w:r>
          </w:p>
        </w:tc>
      </w:tr>
      <w:tr>
        <w:tc>
          <w:tcPr/>
          <w:p>
            <w:pPr>
              <w:pStyle w:val="Compact"/>
              <w:jc w:val="left"/>
            </w:pPr>
            <w:r>
              <w:rPr>
                <w:bCs/>
                <w:b/>
              </w:rPr>
              <w:t xml:space="preserve">Microsoft</w:t>
            </w:r>
          </w:p>
        </w:tc>
        <w:tc>
          <w:tcPr/>
          <w:p>
            <w:pPr>
              <w:pStyle w:val="Compact"/>
              <w:jc w:val="left"/>
            </w:pPr>
            <w:r>
              <w:t xml:space="preserve">Copilot + Agents</w:t>
            </w:r>
          </w:p>
        </w:tc>
        <w:tc>
          <w:tcPr/>
          <w:p>
            <w:pPr>
              <w:pStyle w:val="Compact"/>
              <w:jc w:val="left"/>
            </w:pPr>
            <w:r>
              <w:t xml:space="preserve">Meeting recaps, task extraction, plan generation</w:t>
            </w:r>
          </w:p>
        </w:tc>
        <w:tc>
          <w:tcPr/>
          <w:p>
            <w:pPr>
              <w:pStyle w:val="Compact"/>
              <w:jc w:val="left"/>
            </w:pPr>
            <w:r>
              <w:rPr>
                <w:bCs/>
                <w:b/>
              </w:rPr>
              <w:t xml:space="preserve">⚠️ Tasks only</w:t>
            </w:r>
          </w:p>
        </w:tc>
      </w:tr>
      <w:tr>
        <w:tc>
          <w:tcPr/>
          <w:p>
            <w:pPr>
              <w:pStyle w:val="Compact"/>
              <w:jc w:val="left"/>
            </w:pPr>
            <w:r>
              <w:rPr>
                <w:bCs/>
                <w:b/>
              </w:rPr>
              <w:t xml:space="preserve">Monday.com</w:t>
            </w:r>
          </w:p>
        </w:tc>
        <w:tc>
          <w:tcPr/>
          <w:p>
            <w:pPr>
              <w:pStyle w:val="Compact"/>
              <w:jc w:val="left"/>
            </w:pPr>
            <w:r>
              <w:t xml:space="preserve">monday AI</w:t>
            </w:r>
          </w:p>
        </w:tc>
        <w:tc>
          <w:tcPr/>
          <w:p>
            <w:pPr>
              <w:pStyle w:val="Compact"/>
              <w:jc w:val="left"/>
            </w:pPr>
            <w:r>
              <w:t xml:space="preserve">Content generation, categorisation</w:t>
            </w:r>
          </w:p>
        </w:tc>
        <w:tc>
          <w:tcPr/>
          <w:p>
            <w:pPr>
              <w:pStyle w:val="Compact"/>
              <w:jc w:val="left"/>
            </w:pPr>
            <w:r>
              <w:t xml:space="preserve">❌</w:t>
            </w:r>
          </w:p>
        </w:tc>
      </w:tr>
      <w:tr>
        <w:tc>
          <w:tcPr/>
          <w:p>
            <w:pPr>
              <w:pStyle w:val="Compact"/>
              <w:jc w:val="left"/>
            </w:pPr>
            <w:r>
              <w:rPr>
                <w:bCs/>
                <w:b/>
              </w:rPr>
              <w:t xml:space="preserve">Planisware</w:t>
            </w:r>
          </w:p>
        </w:tc>
        <w:tc>
          <w:tcPr/>
          <w:p>
            <w:pPr>
              <w:pStyle w:val="Compact"/>
              <w:jc w:val="left"/>
            </w:pPr>
            <w:r>
              <w:t xml:space="preserve">Oscar + ML</w:t>
            </w:r>
          </w:p>
        </w:tc>
        <w:tc>
          <w:tcPr/>
          <w:p>
            <w:pPr>
              <w:pStyle w:val="Compact"/>
              <w:jc w:val="left"/>
            </w:pPr>
            <w:r>
              <w:t xml:space="preserve">WBS generation, Monte Carlo, PSO optimisation</w:t>
            </w:r>
          </w:p>
        </w:tc>
        <w:tc>
          <w:tcPr/>
          <w:p>
            <w:pPr>
              <w:pStyle w:val="Compact"/>
              <w:jc w:val="left"/>
            </w:pPr>
            <w:r>
              <w:t xml:space="preserve">❌</w:t>
            </w:r>
          </w:p>
        </w:tc>
      </w:tr>
      <w:tr>
        <w:tc>
          <w:tcPr/>
          <w:p>
            <w:pPr>
              <w:pStyle w:val="Compact"/>
              <w:jc w:val="left"/>
            </w:pPr>
            <w:r>
              <w:rPr>
                <w:bCs/>
                <w:b/>
              </w:rPr>
              <w:t xml:space="preserve">Asana</w:t>
            </w:r>
          </w:p>
        </w:tc>
        <w:tc>
          <w:tcPr/>
          <w:p>
            <w:pPr>
              <w:pStyle w:val="Compact"/>
              <w:jc w:val="left"/>
            </w:pPr>
            <w:r>
              <w:t xml:space="preserve">Intelligence</w:t>
            </w:r>
          </w:p>
        </w:tc>
        <w:tc>
          <w:tcPr/>
          <w:p>
            <w:pPr>
              <w:pStyle w:val="Compact"/>
              <w:jc w:val="left"/>
            </w:pPr>
            <w:r>
              <w:t xml:space="preserve">AI Teammates, AI Studio</w:t>
            </w:r>
          </w:p>
        </w:tc>
        <w:tc>
          <w:tcPr/>
          <w:p>
            <w:pPr>
              <w:pStyle w:val="Compact"/>
              <w:jc w:val="left"/>
            </w:pPr>
            <w:r>
              <w:t xml:space="preserve">❌</w:t>
            </w:r>
          </w:p>
        </w:tc>
      </w:tr>
    </w:tbl>
    <w:p>
      <w:pPr>
        <w:pStyle w:val="BodyText"/>
      </w:pPr>
      <w:r>
        <w:rPr>
          <w:bCs/>
          <w:b/>
        </w:rPr>
        <w:t xml:space="preserve">Key gap confirmed:</w:t>
      </w:r>
      <w:r>
        <w:t xml:space="preserve"> </w:t>
      </w:r>
      <w:r>
        <w:t xml:space="preserve">Meeting-adjacent AI exists (Otter, Fireflies, Teams, Microsoft Facilitator) — but these produce flat task lists, not structured governance artefacts.</w:t>
      </w:r>
      <w:r>
        <w:t xml:space="preserve"> </w:t>
      </w:r>
      <w:r>
        <w:rPr>
          <w:bCs/>
          <w:b/>
        </w:rPr>
        <w:t xml:space="preserve">No vendor offers an AI pipeline from meeting transcript → classified RAID entries → approval gate → governed PPM record.</w:t>
      </w:r>
      <w:r>
        <w:t xml:space="preserve"> </w:t>
      </w:r>
      <w:r>
        <w:t xml:space="preserve">This is Helm’s positioning.</w:t>
      </w:r>
    </w:p>
    <w:bookmarkEnd w:id="30"/>
    <w:bookmarkStart w:id="31" w:name="microsoft-the-closest-competitor"/>
    <w:p>
      <w:pPr>
        <w:pStyle w:val="Heading3"/>
      </w:pPr>
      <w:r>
        <w:t xml:space="preserve">2.3 Microsoft — The Closest Competitor</w:t>
      </w:r>
    </w:p>
    <w:p>
      <w:pPr>
        <w:pStyle w:val="FirstParagraph"/>
      </w:pPr>
      <w:r>
        <w:t xml:space="preserve">Microsoft warrants special attention as the only vendor with any meeting-to-action capability:</w:t>
      </w:r>
    </w:p>
    <w:tbl>
      <w:tblPr>
        <w:tblStyle w:val="Table"/>
        <w:tblW w:type="pct" w:w="5000"/>
        <w:tblLook w:firstRow="1" w:lastRow="0" w:firstColumn="0" w:lastColumn="0" w:noHBand="0" w:noVBand="0" w:val="0020"/>
        <w:jc w:val="start"/>
      </w:tblPr>
      <w:tblGrid>
        <w:gridCol w:w="1152"/>
        <w:gridCol w:w="4464"/>
        <w:gridCol w:w="2304"/>
      </w:tblGrid>
      <w:tr>
        <w:trPr>
          <w:tblHeader w:val="true"/>
        </w:trPr>
        <w:tc>
          <w:tcPr/>
          <w:p>
            <w:pPr>
              <w:pStyle w:val="Compact"/>
              <w:jc w:val="left"/>
            </w:pPr>
            <w:r>
              <w:t xml:space="preserve">Aspect</w:t>
            </w:r>
          </w:p>
        </w:tc>
        <w:tc>
          <w:tcPr/>
          <w:p>
            <w:pPr>
              <w:pStyle w:val="Compact"/>
              <w:jc w:val="left"/>
            </w:pPr>
            <w:r>
              <w:t xml:space="preserve">Microsoft (Facilitator + PMA)</w:t>
            </w:r>
          </w:p>
        </w:tc>
        <w:tc>
          <w:tcPr/>
          <w:p>
            <w:pPr>
              <w:pStyle w:val="Compact"/>
              <w:jc w:val="left"/>
            </w:pPr>
            <w:r>
              <w:t xml:space="preserve">Helm (Planned)</w:t>
            </w:r>
          </w:p>
        </w:tc>
      </w:tr>
      <w:tr>
        <w:tc>
          <w:tcPr/>
          <w:p>
            <w:pPr>
              <w:pStyle w:val="Compact"/>
              <w:jc w:val="left"/>
            </w:pPr>
            <w:r>
              <w:t xml:space="preserve">Output type</w:t>
            </w:r>
          </w:p>
        </w:tc>
        <w:tc>
          <w:tcPr/>
          <w:p>
            <w:pPr>
              <w:pStyle w:val="Compact"/>
              <w:jc w:val="left"/>
            </w:pPr>
            <w:r>
              <w:t xml:space="preserve">Generic Planner tasks</w:t>
            </w:r>
          </w:p>
        </w:tc>
        <w:tc>
          <w:tcPr/>
          <w:p>
            <w:pPr>
              <w:pStyle w:val="Compact"/>
              <w:jc w:val="left"/>
            </w:pPr>
            <w:r>
              <w:t xml:space="preserve">Typed RAID entries, decision records, actions</w:t>
            </w:r>
          </w:p>
        </w:tc>
      </w:tr>
      <w:tr>
        <w:tc>
          <w:tcPr/>
          <w:p>
            <w:pPr>
              <w:pStyle w:val="Compact"/>
              <w:jc w:val="left"/>
            </w:pPr>
            <w:r>
              <w:t xml:space="preserve">Risk identification</w:t>
            </w:r>
          </w:p>
        </w:tc>
        <w:tc>
          <w:tcPr/>
          <w:p>
            <w:pPr>
              <w:pStyle w:val="Compact"/>
              <w:jc w:val="left"/>
            </w:pPr>
            <w:r>
              <w:t xml:space="preserve">Prompt-based text response</w:t>
            </w:r>
          </w:p>
        </w:tc>
        <w:tc>
          <w:tcPr/>
          <w:p>
            <w:pPr>
              <w:pStyle w:val="Compact"/>
              <w:jc w:val="left"/>
            </w:pPr>
            <w:r>
              <w:t xml:space="preserve">Structured risk register (severity, probability, owner)</w:t>
            </w:r>
          </w:p>
        </w:tc>
      </w:tr>
      <w:tr>
        <w:tc>
          <w:tcPr/>
          <w:p>
            <w:pPr>
              <w:pStyle w:val="Compact"/>
              <w:jc w:val="left"/>
            </w:pPr>
            <w:r>
              <w:t xml:space="preserve">Decision capture</w:t>
            </w:r>
          </w:p>
        </w:tc>
        <w:tc>
          <w:tcPr/>
          <w:p>
            <w:pPr>
              <w:pStyle w:val="Compact"/>
              <w:jc w:val="left"/>
            </w:pPr>
            <w:r>
              <w:t xml:space="preserve">Freeform text in Loop notes</w:t>
            </w:r>
          </w:p>
        </w:tc>
        <w:tc>
          <w:tcPr/>
          <w:p>
            <w:pPr>
              <w:pStyle w:val="Compact"/>
              <w:jc w:val="left"/>
            </w:pPr>
            <w:r>
              <w:t xml:space="preserve">First-class entity (rationale, stakeholders, audit trail)</w:t>
            </w:r>
          </w:p>
        </w:tc>
      </w:tr>
      <w:tr>
        <w:tc>
          <w:tcPr/>
          <w:p>
            <w:pPr>
              <w:pStyle w:val="Compact"/>
              <w:jc w:val="left"/>
            </w:pPr>
            <w:r>
              <w:t xml:space="preserve">Governance reporting</w:t>
            </w:r>
          </w:p>
        </w:tc>
        <w:tc>
          <w:tcPr/>
          <w:p>
            <w:pPr>
              <w:pStyle w:val="Compact"/>
              <w:jc w:val="left"/>
            </w:pPr>
            <w:r>
              <w:t xml:space="preserve">Task-level status reports</w:t>
            </w:r>
          </w:p>
        </w:tc>
        <w:tc>
          <w:tcPr/>
          <w:p>
            <w:pPr>
              <w:pStyle w:val="Compact"/>
              <w:jc w:val="left"/>
            </w:pPr>
            <w:r>
              <w:t xml:space="preserve">Board-ready governance packs from structured data</w:t>
            </w:r>
          </w:p>
        </w:tc>
      </w:tr>
      <w:tr>
        <w:tc>
          <w:tcPr/>
          <w:p>
            <w:pPr>
              <w:pStyle w:val="Compact"/>
              <w:jc w:val="left"/>
            </w:pPr>
            <w:r>
              <w:t xml:space="preserve">P3O linkage</w:t>
            </w:r>
          </w:p>
        </w:tc>
        <w:tc>
          <w:tcPr/>
          <w:p>
            <w:pPr>
              <w:pStyle w:val="Compact"/>
              <w:jc w:val="left"/>
            </w:pPr>
            <w:r>
              <w:t xml:space="preserve">Flat portfolios (no Programme)</w:t>
            </w:r>
          </w:p>
        </w:tc>
        <w:tc>
          <w:tcPr/>
          <w:p>
            <w:pPr>
              <w:pStyle w:val="Compact"/>
              <w:jc w:val="left"/>
            </w:pPr>
            <w:r>
              <w:t xml:space="preserve">Portfolio → Programme → Project</w:t>
            </w:r>
          </w:p>
        </w:tc>
      </w:tr>
      <w:tr>
        <w:tc>
          <w:tcPr/>
          <w:p>
            <w:pPr>
              <w:pStyle w:val="Compact"/>
              <w:jc w:val="left"/>
            </w:pPr>
            <w:r>
              <w:t xml:space="preserve">Effective cost with AI</w:t>
            </w:r>
          </w:p>
        </w:tc>
        <w:tc>
          <w:tcPr/>
          <w:p>
            <w:pPr>
              <w:pStyle w:val="Compact"/>
              <w:jc w:val="left"/>
            </w:pPr>
            <w:r>
              <w:t xml:space="preserve">£32–68/u/m ($40–85)</w:t>
            </w:r>
          </w:p>
        </w:tc>
        <w:tc>
          <w:tcPr/>
          <w:p>
            <w:pPr>
              <w:pStyle w:val="Compact"/>
              <w:jc w:val="left"/>
            </w:pPr>
            <w:r>
              <w:t xml:space="preserve">Target £16–36/u/m ($20–45)</w:t>
            </w:r>
          </w:p>
        </w:tc>
      </w:tr>
    </w:tbl>
    <w:p>
      <w:pPr>
        <w:pStyle w:val="BodyText"/>
      </w:pPr>
      <w:r>
        <w:rPr>
          <w:bCs/>
          <w:b/>
        </w:rPr>
        <w:t xml:space="preserve">Threat level: MEDIUM-HIGH.</w:t>
      </w:r>
      <w:r>
        <w:t xml:space="preserve"> </w:t>
      </w:r>
      <w:r>
        <w:t xml:space="preserve">Not because Microsoft’s governance features compete (they don’t), but because 400M M365 seats mean the</w:t>
      </w:r>
      <w:r>
        <w:t xml:space="preserve"> </w:t>
      </w:r>
      <w:r>
        <w:t xml:space="preserve">“</w:t>
      </w:r>
      <w:r>
        <w:t xml:space="preserve">good enough</w:t>
      </w:r>
      <w:r>
        <w:t xml:space="preserve">”</w:t>
      </w:r>
      <w:r>
        <w:t xml:space="preserve"> </w:t>
      </w:r>
      <w:r>
        <w:t xml:space="preserve">Planner is already on every desk. Helm must be positioned as complementary to M365, not competing with it.</w:t>
      </w:r>
    </w:p>
    <w:p>
      <w:pPr>
        <w:pStyle w:val="BodyText"/>
      </w:pPr>
      <w:r>
        <w:rPr>
          <w:iCs/>
          <w:i/>
        </w:rPr>
        <w:t xml:space="preserve">Full Microsoft analysis: see</w:t>
      </w:r>
      <w:r>
        <w:rPr>
          <w:iCs/>
          <w:i/>
        </w:rPr>
        <w:t xml:space="preserve"> </w:t>
      </w:r>
      <w:r>
        <w:rPr>
          <w:rStyle w:val="VerbatimChar"/>
          <w:iCs/>
          <w:i/>
        </w:rPr>
        <w:t xml:space="preserve">staging/microsoft-competitive-entry.md</w:t>
      </w:r>
      <w:r>
        <w:rPr>
          <w:iCs/>
          <w:i/>
        </w:rPr>
        <w:t xml:space="preserve"> </w:t>
      </w:r>
      <w:r>
        <w:rPr>
          <w:iCs/>
          <w:i/>
        </w:rPr>
        <w:t xml:space="preserve">and</w:t>
      </w:r>
      <w:r>
        <w:rPr>
          <w:iCs/>
          <w:i/>
        </w:rPr>
        <w:t xml:space="preserve"> </w:t>
      </w:r>
      <w:r>
        <w:rPr>
          <w:rStyle w:val="VerbatimChar"/>
          <w:iCs/>
          <w:i/>
        </w:rPr>
        <w:t xml:space="preserve">staging/microsoft-threat-assessment.md</w:t>
      </w:r>
    </w:p>
    <w:bookmarkEnd w:id="31"/>
    <w:bookmarkStart w:id="32" w:name="competitive-threats"/>
    <w:p>
      <w:pPr>
        <w:pStyle w:val="Heading3"/>
      </w:pPr>
      <w:r>
        <w:t xml:space="preserve">2.4 Competitive Threats</w:t>
      </w:r>
    </w:p>
    <w:tbl>
      <w:tblPr>
        <w:tblStyle w:val="Table"/>
        <w:tblW w:type="pct" w:w="5000"/>
        <w:tblLook w:firstRow="1" w:lastRow="0" w:firstColumn="0" w:lastColumn="0" w:noHBand="0" w:noVBand="0" w:val="0020"/>
        <w:jc w:val="start"/>
      </w:tblPr>
      <w:tblGrid>
        <w:gridCol w:w="2534"/>
        <w:gridCol w:w="1900"/>
        <w:gridCol w:w="3484"/>
      </w:tblGrid>
      <w:tr>
        <w:trPr>
          <w:tblHeader w:val="true"/>
        </w:trPr>
        <w:tc>
          <w:tcPr/>
          <w:p>
            <w:pPr>
              <w:pStyle w:val="Compact"/>
              <w:jc w:val="left"/>
            </w:pPr>
            <w:r>
              <w:t xml:space="preserve">Threat</w:t>
            </w:r>
          </w:p>
        </w:tc>
        <w:tc>
          <w:tcPr/>
          <w:p>
            <w:pPr>
              <w:pStyle w:val="Compact"/>
              <w:jc w:val="left"/>
            </w:pPr>
            <w:r>
              <w:t xml:space="preserve">Risk</w:t>
            </w:r>
          </w:p>
        </w:tc>
        <w:tc>
          <w:tcPr/>
          <w:p>
            <w:pPr>
              <w:pStyle w:val="Compact"/>
              <w:jc w:val="left"/>
            </w:pPr>
            <w:r>
              <w:t xml:space="preserve">Rationale</w:t>
            </w:r>
          </w:p>
        </w:tc>
      </w:tr>
      <w:tr>
        <w:tc>
          <w:tcPr/>
          <w:p>
            <w:pPr>
              <w:pStyle w:val="Compact"/>
              <w:jc w:val="left"/>
            </w:pPr>
            <w:r>
              <w:t xml:space="preserve">Microsoft Copilot evolves toward governance</w:t>
            </w:r>
          </w:p>
        </w:tc>
        <w:tc>
          <w:tcPr/>
          <w:p>
            <w:pPr>
              <w:pStyle w:val="Compact"/>
              <w:jc w:val="left"/>
            </w:pPr>
            <w:r>
              <w:rPr>
                <w:bCs/>
                <w:b/>
              </w:rPr>
              <w:t xml:space="preserve">MEDIUM-HIGH</w:t>
            </w:r>
          </w:p>
        </w:tc>
        <w:tc>
          <w:tcPr/>
          <w:p>
            <w:pPr>
              <w:pStyle w:val="Compact"/>
              <w:jc w:val="left"/>
            </w:pPr>
            <w:r>
              <w:t xml:space="preserve">400M distribution + rapid AI investment. Watch Facilitator feature evolution.</w:t>
            </w:r>
          </w:p>
        </w:tc>
      </w:tr>
      <w:tr>
        <w:tc>
          <w:tcPr/>
          <w:p>
            <w:pPr>
              <w:pStyle w:val="Compact"/>
              <w:jc w:val="left"/>
            </w:pPr>
            <w:r>
              <w:t xml:space="preserve">PPM vendor acquires a meeting AI tool</w:t>
            </w:r>
          </w:p>
        </w:tc>
        <w:tc>
          <w:tcPr/>
          <w:p>
            <w:pPr>
              <w:pStyle w:val="Compact"/>
              <w:jc w:val="left"/>
            </w:pPr>
            <w:r>
              <w:rPr>
                <w:bCs/>
                <w:b/>
              </w:rPr>
              <w:t xml:space="preserve">MEDIUM</w:t>
            </w:r>
          </w:p>
        </w:tc>
        <w:tc>
          <w:tcPr/>
          <w:p>
            <w:pPr>
              <w:pStyle w:val="Compact"/>
              <w:jc w:val="left"/>
            </w:pPr>
            <w:r>
              <w:t xml:space="preserve">If Planview/ServiceNow acquires Otter or Fireflies, the combined entity would have transcripts + governance data model. Primary escalation trigger to monitor.</w:t>
            </w:r>
          </w:p>
        </w:tc>
      </w:tr>
      <w:tr>
        <w:tc>
          <w:tcPr/>
          <w:p>
            <w:pPr>
              <w:pStyle w:val="Compact"/>
              <w:jc w:val="left"/>
            </w:pPr>
            <w:r>
              <w:t xml:space="preserve">Standalone meeting AI (Otter, Fireflies, Fathom) adds governance extraction</w:t>
            </w:r>
          </w:p>
        </w:tc>
        <w:tc>
          <w:tcPr/>
          <w:p>
            <w:pPr>
              <w:pStyle w:val="Compact"/>
              <w:jc w:val="left"/>
            </w:pPr>
            <w:r>
              <w:rPr>
                <w:bCs/>
                <w:b/>
              </w:rPr>
              <w:t xml:space="preserve">LOW</w:t>
            </w:r>
          </w:p>
        </w:tc>
        <w:tc>
          <w:tcPr/>
          <w:p>
            <w:pPr>
              <w:pStyle w:val="Compact"/>
              <w:jc w:val="left"/>
            </w:pPr>
            <w:r>
              <w:t xml:space="preserve">Have transcript data but wrong business model, wrong buyer persona, no governance data model. 18–36 month build even if they decided today. See §2.5.</w:t>
            </w:r>
          </w:p>
        </w:tc>
      </w:tr>
      <w:tr>
        <w:tc>
          <w:tcPr/>
          <w:p>
            <w:pPr>
              <w:pStyle w:val="Compact"/>
              <w:jc w:val="left"/>
            </w:pPr>
            <w:r>
              <w:t xml:space="preserve">Planview adds meeting AI</w:t>
            </w:r>
          </w:p>
        </w:tc>
        <w:tc>
          <w:tcPr/>
          <w:p>
            <w:pPr>
              <w:pStyle w:val="Compact"/>
              <w:jc w:val="left"/>
            </w:pPr>
            <w:r>
              <w:rPr>
                <w:bCs/>
                <w:b/>
              </w:rPr>
              <w:t xml:space="preserve">MEDIUM</w:t>
            </w:r>
          </w:p>
        </w:tc>
        <w:tc>
          <w:tcPr/>
          <w:p>
            <w:pPr>
              <w:pStyle w:val="Compact"/>
              <w:jc w:val="left"/>
            </w:pPr>
            <w:r>
              <w:t xml:space="preserve">Enterprise-only pricing. Different segment.</w:t>
            </w:r>
          </w:p>
        </w:tc>
      </w:tr>
      <w:tr>
        <w:tc>
          <w:tcPr/>
          <w:p>
            <w:pPr>
              <w:pStyle w:val="Compact"/>
              <w:jc w:val="left"/>
            </w:pPr>
            <w:r>
              <w:t xml:space="preserve">Asana AI Teammates expand to governance</w:t>
            </w:r>
          </w:p>
        </w:tc>
        <w:tc>
          <w:tcPr/>
          <w:p>
            <w:pPr>
              <w:pStyle w:val="Compact"/>
              <w:jc w:val="left"/>
            </w:pPr>
            <w:r>
              <w:rPr>
                <w:bCs/>
                <w:b/>
              </w:rPr>
              <w:t xml:space="preserve">MEDIUM</w:t>
            </w:r>
          </w:p>
        </w:tc>
        <w:tc>
          <w:tcPr/>
          <w:p>
            <w:pPr>
              <w:pStyle w:val="Compact"/>
              <w:jc w:val="left"/>
            </w:pPr>
            <w:r>
              <w:t xml:space="preserve">Task automation ≠ governance. Would require fundamental product shift.</w:t>
            </w:r>
          </w:p>
        </w:tc>
      </w:tr>
      <w:tr>
        <w:tc>
          <w:tcPr/>
          <w:p>
            <w:pPr>
              <w:pStyle w:val="Compact"/>
              <w:jc w:val="left"/>
            </w:pPr>
            <w:r>
              <w:t xml:space="preserve">Monday/Smartsheet add RAID management</w:t>
            </w:r>
          </w:p>
        </w:tc>
        <w:tc>
          <w:tcPr/>
          <w:p>
            <w:pPr>
              <w:pStyle w:val="Compact"/>
              <w:jc w:val="left"/>
            </w:pPr>
            <w:r>
              <w:rPr>
                <w:bCs/>
                <w:b/>
              </w:rPr>
              <w:t xml:space="preserve">LOW-MEDIUM</w:t>
            </w:r>
          </w:p>
        </w:tc>
        <w:tc>
          <w:tcPr/>
          <w:p>
            <w:pPr>
              <w:pStyle w:val="Compact"/>
              <w:jc w:val="left"/>
            </w:pPr>
            <w:r>
              <w:t xml:space="preserve">RAID adds complexity conflicting with simplicity UX.</w:t>
            </w:r>
          </w:p>
        </w:tc>
      </w:tr>
    </w:tbl>
    <w:bookmarkEnd w:id="32"/>
    <w:bookmarkStart w:id="33" w:name="standalone-meeting-ai-deep-analysis"/>
    <w:p>
      <w:pPr>
        <w:pStyle w:val="Heading3"/>
      </w:pPr>
      <w:r>
        <w:t xml:space="preserve">2.5 Standalone Meeting AI — Deep Analysis</w:t>
      </w:r>
    </w:p>
    <w:p>
      <w:pPr>
        <w:pStyle w:val="FirstParagraph"/>
      </w:pPr>
      <w:r>
        <w:t xml:space="preserve">Otter.ai ($100M+ ARR, 35M users), Fireflies.ai ($1B valuation, 20M+ users), and Fathom (Series A, 90× growth) are the three dominant AI meeting assistants. All three extract action items from transcripts and push them to PM tools (Asana, Jira, Monday.com).</w:t>
      </w:r>
      <w:r>
        <w:t xml:space="preserve"> </w:t>
      </w:r>
      <w:r>
        <w:rPr>
          <w:bCs/>
          <w:b/>
        </w:rPr>
        <w:t xml:space="preserve">None produce structured governance artefacts.</w:t>
      </w:r>
    </w:p>
    <w:p>
      <w:pPr>
        <w:pStyle w:val="BodyText"/>
      </w:pPr>
      <w:r>
        <w:rPr>
          <w:bCs/>
          <w:b/>
        </w:rPr>
        <w:t xml:space="preserve">What they create:</w:t>
      </w:r>
      <w:r>
        <w:t xml:space="preserve"> </w:t>
      </w:r>
      <w:r>
        <w:t xml:space="preserve">Flat tasks with freeform description text and an assignee. No RAID typing, no severity/probability scoring, no approval routing, no audit trails, no governance metadata.</w:t>
      </w:r>
    </w:p>
    <w:p>
      <w:pPr>
        <w:pStyle w:val="BodyText"/>
      </w:pPr>
      <w:r>
        <w:rPr>
          <w:bCs/>
          <w:b/>
        </w:rPr>
        <w:t xml:space="preserve">Why they won’t pivot to governance:</w:t>
      </w:r>
    </w:p>
    <w:tbl>
      <w:tblPr>
        <w:tblStyle w:val="Table"/>
        <w:tblW w:type="pct" w:w="5000"/>
        <w:tblLook w:firstRow="1" w:lastRow="0" w:firstColumn="0" w:lastColumn="0" w:noHBand="0" w:noVBand="0" w:val="0020"/>
        <w:jc w:val="start"/>
      </w:tblPr>
      <w:tblGrid>
        <w:gridCol w:w="4192"/>
        <w:gridCol w:w="3727"/>
      </w:tblGrid>
      <w:tr>
        <w:trPr>
          <w:tblHeader w:val="true"/>
        </w:trPr>
        <w:tc>
          <w:tcPr/>
          <w:p>
            <w:pPr>
              <w:pStyle w:val="Compact"/>
              <w:jc w:val="left"/>
            </w:pPr>
            <w:r>
              <w:t xml:space="preserve">Barrier</w:t>
            </w:r>
          </w:p>
        </w:tc>
        <w:tc>
          <w:tcPr/>
          <w:p>
            <w:pPr>
              <w:pStyle w:val="Compact"/>
              <w:jc w:val="left"/>
            </w:pPr>
            <w:r>
              <w:t xml:space="preserve">Detail</w:t>
            </w:r>
          </w:p>
        </w:tc>
      </w:tr>
      <w:tr>
        <w:tc>
          <w:tcPr/>
          <w:p>
            <w:pPr>
              <w:pStyle w:val="Compact"/>
              <w:jc w:val="left"/>
            </w:pPr>
            <w:r>
              <w:rPr>
                <w:bCs/>
                <w:b/>
              </w:rPr>
              <w:t xml:space="preserve">Wrong data model</w:t>
            </w:r>
          </w:p>
        </w:tc>
        <w:tc>
          <w:tcPr/>
          <w:p>
            <w:pPr>
              <w:pStyle w:val="Compact"/>
              <w:jc w:val="left"/>
            </w:pPr>
            <w:r>
              <w:t xml:space="preserve">Their architecture is transcript → summary → task. Governance requires a new entity layer (Risk, Assumption, Issue, Decision) with typed fields, relationships, and workflow state.</w:t>
            </w:r>
          </w:p>
        </w:tc>
      </w:tr>
      <w:tr>
        <w:tc>
          <w:tcPr/>
          <w:p>
            <w:pPr>
              <w:pStyle w:val="Compact"/>
              <w:jc w:val="left"/>
            </w:pPr>
            <w:r>
              <w:rPr>
                <w:bCs/>
                <w:b/>
              </w:rPr>
              <w:t xml:space="preserve">Wrong buyer</w:t>
            </w:r>
          </w:p>
        </w:tc>
        <w:tc>
          <w:tcPr/>
          <w:p>
            <w:pPr>
              <w:pStyle w:val="Compact"/>
              <w:jc w:val="left"/>
            </w:pPr>
            <w:r>
              <w:t xml:space="preserve">Their customers are sales managers and team leads. PMO directors are a different persona, different sales motion, different procurement process.</w:t>
            </w:r>
          </w:p>
        </w:tc>
      </w:tr>
      <w:tr>
        <w:tc>
          <w:tcPr/>
          <w:p>
            <w:pPr>
              <w:pStyle w:val="Compact"/>
              <w:jc w:val="left"/>
            </w:pPr>
            <w:r>
              <w:rPr>
                <w:bCs/>
                <w:b/>
              </w:rPr>
              <w:t xml:space="preserve">Wrong incentive</w:t>
            </w:r>
          </w:p>
        </w:tc>
        <w:tc>
          <w:tcPr/>
          <w:p>
            <w:pPr>
              <w:pStyle w:val="Compact"/>
              <w:jc w:val="left"/>
            </w:pPr>
            <w:r>
              <w:t xml:space="preserve">Otter just hit $100M ARR on meeting productivity. Fireflies raised at $1B on conversation intelligence. Why chase a niche governance SAM?</w:t>
            </w:r>
          </w:p>
        </w:tc>
      </w:tr>
      <w:tr>
        <w:tc>
          <w:tcPr/>
          <w:p>
            <w:pPr>
              <w:pStyle w:val="Compact"/>
              <w:jc w:val="left"/>
            </w:pPr>
            <w:r>
              <w:rPr>
                <w:bCs/>
                <w:b/>
              </w:rPr>
              <w:t xml:space="preserve">Wrong DNA</w:t>
            </w:r>
          </w:p>
        </w:tc>
        <w:tc>
          <w:tcPr/>
          <w:p>
            <w:pPr>
              <w:pStyle w:val="Compact"/>
              <w:jc w:val="left"/>
            </w:pPr>
            <w:r>
              <w:t xml:space="preserve">These are media/AI companies building transcription and NLP. Governance workflows are enterprise software — different engineering discipline entirely.</w:t>
            </w:r>
          </w:p>
        </w:tc>
      </w:tr>
      <w:tr>
        <w:tc>
          <w:tcPr/>
          <w:p>
            <w:pPr>
              <w:pStyle w:val="Compact"/>
              <w:jc w:val="left"/>
            </w:pPr>
            <w:r>
              <w:rPr>
                <w:bCs/>
                <w:b/>
              </w:rPr>
              <w:t xml:space="preserve">No roadmap signals</w:t>
            </w:r>
          </w:p>
        </w:tc>
        <w:tc>
          <w:tcPr/>
          <w:p>
            <w:pPr>
              <w:pStyle w:val="Compact"/>
              <w:jc w:val="left"/>
            </w:pPr>
            <w:r>
              <w:t xml:space="preserve">Zero mention of RAID, decision records, PMO, governance, or compliance in any product announcement, blog, or job listing across all three vendors.</w:t>
            </w:r>
          </w:p>
        </w:tc>
      </w:tr>
    </w:tbl>
    <w:p>
      <w:pPr>
        <w:pStyle w:val="BodyText"/>
      </w:pPr>
      <w:r>
        <w:rPr>
          <w:bCs/>
          <w:b/>
        </w:rPr>
        <w:t xml:space="preserve">Build estimate if they decided today:</w:t>
      </w:r>
      <w:r>
        <w:t xml:space="preserve"> </w:t>
      </w:r>
      <w:r>
        <w:t xml:space="preserve">18–36 months (governance data model: 6–12mo, classification AI: 3–6mo, approval workflows: 9–18mo, governance reporting: 6–12mo, plus PMO domain hiring: 6–12mo).</w:t>
      </w:r>
    </w:p>
    <w:p>
      <w:pPr>
        <w:pStyle w:val="BodyText"/>
      </w:pPr>
      <w:r>
        <w:rPr>
          <w:bCs/>
          <w:b/>
        </w:rPr>
        <w:t xml:space="preserve">The one scenario that elevates risk:</w:t>
      </w:r>
      <w:r>
        <w:t xml:space="preserve"> </w:t>
      </w:r>
      <w:r>
        <w:t xml:space="preserve">A PPM vendor (Planview, ServiceNow, Broadcom/Clarity)</w:t>
      </w:r>
      <w:r>
        <w:t xml:space="preserve"> </w:t>
      </w:r>
      <w:r>
        <w:rPr>
          <w:bCs/>
          <w:b/>
        </w:rPr>
        <w:t xml:space="preserve">acquires</w:t>
      </w:r>
      <w:r>
        <w:t xml:space="preserve"> </w:t>
      </w:r>
      <w:r>
        <w:t xml:space="preserve">one of these tools and bolts transcript intelligence onto their existing governance data model. This is the primary trigger to monitor — not organic feature development.</w:t>
      </w:r>
    </w:p>
    <w:p>
      <w:pPr>
        <w:pStyle w:val="BodyText"/>
      </w:pPr>
      <w:r>
        <w:rPr>
          <w:bCs/>
          <w:b/>
        </w:rPr>
        <w:t xml:space="preserve">Strategic implication:</w:t>
      </w:r>
      <w:r>
        <w:t xml:space="preserve"> </w:t>
      </w:r>
      <w:r>
        <w:t xml:space="preserve">Helm should</w:t>
      </w:r>
      <w:r>
        <w:t xml:space="preserve"> </w:t>
      </w:r>
      <w:r>
        <w:rPr>
          <w:bCs/>
          <w:b/>
        </w:rPr>
        <w:t xml:space="preserve">consume their transcripts, not compete with them</w:t>
      </w:r>
      <w:r>
        <w:t xml:space="preserve">. Otter has a Public API and MCP Server; Fireflies has webhooks and Zapier; Fathom has a Public API. The pitch:</w:t>
      </w:r>
      <w:r>
        <w:t xml:space="preserve"> </w:t>
      </w:r>
      <w:r>
        <w:rPr>
          <w:iCs/>
          <w:i/>
        </w:rPr>
        <w:t xml:space="preserve">“</w:t>
      </w:r>
      <w:r>
        <w:rPr>
          <w:iCs/>
          <w:i/>
        </w:rPr>
        <w:t xml:space="preserve">Keep Otter for meeting notes. Add Helm for governance.</w:t>
      </w:r>
      <w:r>
        <w:rPr>
          <w:iCs/>
          <w:i/>
        </w:rPr>
        <w:t xml:space="preserve">”</w:t>
      </w:r>
    </w:p>
    <w:p>
      <w:pPr>
        <w:pStyle w:val="BodyText"/>
      </w:pPr>
      <w:r>
        <w:rPr>
          <w:iCs/>
          <w:i/>
        </w:rPr>
        <w:t xml:space="preserve">Full analysis: see</w:t>
      </w:r>
      <w:r>
        <w:rPr>
          <w:iCs/>
          <w:i/>
        </w:rPr>
        <w:t xml:space="preserve"> </w:t>
      </w:r>
      <w:r>
        <w:rPr>
          <w:rStyle w:val="VerbatimChar"/>
          <w:iCs/>
          <w:i/>
        </w:rPr>
        <w:t xml:space="preserve">staging/meeting-ai-threat-assessment.md</w:t>
      </w:r>
      <w:r>
        <w:rPr>
          <w:iCs/>
          <w:i/>
        </w:rPr>
        <w:t xml:space="preserve"> </w:t>
      </w:r>
      <w:r>
        <w:rPr>
          <w:iCs/>
          <w:i/>
        </w:rPr>
        <w:t xml:space="preserve">(23KB, 25+ inline citations)</w:t>
      </w:r>
    </w:p>
    <w:p>
      <w:r>
        <w:pict>
          <v:rect style="width:0;height:1.5pt" o:hralign="center" o:hrstd="t" o:hr="t"/>
        </w:pict>
      </w:r>
    </w:p>
    <w:bookmarkEnd w:id="33"/>
    <w:bookmarkEnd w:id="34"/>
    <w:bookmarkStart w:id="38" w:name="user-evidence"/>
    <w:p>
      <w:pPr>
        <w:pStyle w:val="Heading2"/>
      </w:pPr>
      <w:r>
        <w:t xml:space="preserve">3. User Evidence</w:t>
      </w:r>
    </w:p>
    <w:bookmarkStart w:id="35" w:name="the-mid-market-governance-gap-quantified"/>
    <w:p>
      <w:pPr>
        <w:pStyle w:val="Heading3"/>
      </w:pPr>
      <w:r>
        <w:t xml:space="preserve">3.1 The Mid-Market Governance Gap — Quantified</w:t>
      </w:r>
    </w:p>
    <w:tbl>
      <w:tblPr>
        <w:tblStyle w:val="Table"/>
        <w:tblW w:type="pct" w:w="5000"/>
        <w:tblLook w:firstRow="1" w:lastRow="0" w:firstColumn="0" w:lastColumn="0" w:noHBand="0" w:noVBand="0" w:val="0020"/>
        <w:jc w:val="start"/>
      </w:tblPr>
      <w:tblGrid>
        <w:gridCol w:w="2534"/>
        <w:gridCol w:w="2851"/>
        <w:gridCol w:w="2534"/>
      </w:tblGrid>
      <w:tr>
        <w:trPr>
          <w:tblHeader w:val="true"/>
        </w:trPr>
        <w:tc>
          <w:tcPr/>
          <w:p>
            <w:pPr>
              <w:pStyle w:val="Compact"/>
              <w:jc w:val="left"/>
            </w:pPr>
            <w:r>
              <w:t xml:space="preserve">Metric</w:t>
            </w:r>
          </w:p>
        </w:tc>
        <w:tc>
          <w:tcPr/>
          <w:p>
            <w:pPr>
              <w:pStyle w:val="Compact"/>
              <w:jc w:val="left"/>
            </w:pPr>
            <w:r>
              <w:t xml:space="preserve">Finding</w:t>
            </w:r>
          </w:p>
        </w:tc>
        <w:tc>
          <w:tcPr/>
          <w:p>
            <w:pPr>
              <w:pStyle w:val="Compact"/>
              <w:jc w:val="left"/>
            </w:pPr>
            <w:r>
              <w:t xml:space="preserve">Source</w:t>
            </w:r>
          </w:p>
        </w:tc>
      </w:tr>
      <w:tr>
        <w:tc>
          <w:tcPr/>
          <w:p>
            <w:pPr>
              <w:pStyle w:val="Compact"/>
              <w:jc w:val="left"/>
            </w:pPr>
            <w:r>
              <w:t xml:space="preserve">Organisations with a PMO</w:t>
            </w:r>
          </w:p>
        </w:tc>
        <w:tc>
          <w:tcPr/>
          <w:p>
            <w:pPr>
              <w:pStyle w:val="Compact"/>
              <w:jc w:val="left"/>
            </w:pPr>
            <w:r>
              <w:t xml:space="preserve">82% (89% per 2025)</w:t>
            </w:r>
          </w:p>
        </w:tc>
        <w:tc>
          <w:tcPr/>
          <w:p>
            <w:pPr>
              <w:pStyle w:val="Compact"/>
              <w:jc w:val="left"/>
            </w:pPr>
            <w:r>
              <w:t xml:space="preserve">Wellingtone</w:t>
            </w:r>
          </w:p>
        </w:tc>
      </w:tr>
      <w:tr>
        <w:tc>
          <w:tcPr/>
          <w:p>
            <w:pPr>
              <w:pStyle w:val="Compact"/>
              <w:jc w:val="left"/>
            </w:pPr>
            <w:r>
              <w:t xml:space="preserve">Satisfied with PM maturity</w:t>
            </w:r>
          </w:p>
        </w:tc>
        <w:tc>
          <w:tcPr/>
          <w:p>
            <w:pPr>
              <w:pStyle w:val="Compact"/>
              <w:jc w:val="left"/>
            </w:pPr>
            <w:r>
              <w:rPr>
                <w:bCs/>
                <w:b/>
              </w:rPr>
              <w:t xml:space="preserve">Only 37%</w:t>
            </w:r>
          </w:p>
        </w:tc>
        <w:tc>
          <w:tcPr/>
          <w:p>
            <w:pPr>
              <w:pStyle w:val="Compact"/>
              <w:jc w:val="left"/>
            </w:pPr>
            <w:r>
              <w:t xml:space="preserve">Wellingtone 2025</w:t>
            </w:r>
          </w:p>
        </w:tc>
      </w:tr>
      <w:tr>
        <w:tc>
          <w:tcPr/>
          <w:p>
            <w:pPr>
              <w:pStyle w:val="Compact"/>
              <w:jc w:val="left"/>
            </w:pPr>
            <w:r>
              <w:t xml:space="preserve">Spend 1+ day manually collating reports</w:t>
            </w:r>
          </w:p>
        </w:tc>
        <w:tc>
          <w:tcPr/>
          <w:p>
            <w:pPr>
              <w:pStyle w:val="Compact"/>
              <w:jc w:val="left"/>
            </w:pPr>
            <w:r>
              <w:rPr>
                <w:bCs/>
                <w:b/>
              </w:rPr>
              <w:t xml:space="preserve">42%</w:t>
            </w:r>
          </w:p>
        </w:tc>
        <w:tc>
          <w:tcPr/>
          <w:p>
            <w:pPr>
              <w:pStyle w:val="Compact"/>
              <w:jc w:val="left"/>
            </w:pPr>
            <w:r>
              <w:t xml:space="preserve">Wellingtone 2025</w:t>
            </w:r>
          </w:p>
        </w:tc>
      </w:tr>
      <w:tr>
        <w:tc>
          <w:tcPr/>
          <w:p>
            <w:pPr>
              <w:pStyle w:val="Compact"/>
              <w:jc w:val="left"/>
            </w:pPr>
            <w:r>
              <w:t xml:space="preserve">No access to real-time KPIs</w:t>
            </w:r>
          </w:p>
        </w:tc>
        <w:tc>
          <w:tcPr/>
          <w:p>
            <w:pPr>
              <w:pStyle w:val="Compact"/>
              <w:jc w:val="left"/>
            </w:pPr>
            <w:r>
              <w:rPr>
                <w:bCs/>
                <w:b/>
              </w:rPr>
              <w:t xml:space="preserve">~50%</w:t>
            </w:r>
          </w:p>
        </w:tc>
        <w:tc>
          <w:tcPr/>
          <w:p>
            <w:pPr>
              <w:pStyle w:val="Compact"/>
              <w:jc w:val="left"/>
            </w:pPr>
            <w:r>
              <w:t xml:space="preserve">Wellingtone 2025</w:t>
            </w:r>
          </w:p>
        </w:tc>
      </w:tr>
      <w:tr>
        <w:tc>
          <w:tcPr/>
          <w:p>
            <w:pPr>
              <w:pStyle w:val="Compact"/>
              <w:jc w:val="left"/>
            </w:pPr>
            <w:r>
              <w:t xml:space="preserve">Projects fully successful</w:t>
            </w:r>
          </w:p>
        </w:tc>
        <w:tc>
          <w:tcPr/>
          <w:p>
            <w:pPr>
              <w:pStyle w:val="Compact"/>
              <w:jc w:val="left"/>
            </w:pPr>
            <w:r>
              <w:t xml:space="preserve">Only 31%</w:t>
            </w:r>
          </w:p>
        </w:tc>
        <w:tc>
          <w:tcPr/>
          <w:p>
            <w:pPr>
              <w:pStyle w:val="Compact"/>
              <w:jc w:val="left"/>
            </w:pPr>
            <w:r>
              <w:t xml:space="preserve">Standish CHAOS</w:t>
            </w:r>
          </w:p>
        </w:tc>
      </w:tr>
      <w:tr>
        <w:tc>
          <w:tcPr/>
          <w:p>
            <w:pPr>
              <w:pStyle w:val="Compact"/>
              <w:jc w:val="left"/>
            </w:pPr>
            <w:r>
              <w:t xml:space="preserve">PMOs less than 4 years old</w:t>
            </w:r>
          </w:p>
        </w:tc>
        <w:tc>
          <w:tcPr/>
          <w:p>
            <w:pPr>
              <w:pStyle w:val="Compact"/>
              <w:jc w:val="left"/>
            </w:pPr>
            <w:r>
              <w:t xml:space="preserve">~50%</w:t>
            </w:r>
          </w:p>
        </w:tc>
        <w:tc>
          <w:tcPr/>
          <w:p>
            <w:pPr>
              <w:pStyle w:val="Compact"/>
              <w:jc w:val="left"/>
            </w:pPr>
            <w:r>
              <w:t xml:space="preserve">Wellingtone 2025</w:t>
            </w:r>
          </w:p>
        </w:tc>
      </w:tr>
      <w:tr>
        <w:tc>
          <w:tcPr/>
          <w:p>
            <w:pPr>
              <w:pStyle w:val="Compact"/>
              <w:jc w:val="left"/>
            </w:pPr>
            <w:r>
              <w:t xml:space="preserve">Annual waste from poor PM</w:t>
            </w:r>
          </w:p>
        </w:tc>
        <w:tc>
          <w:tcPr/>
          <w:p>
            <w:pPr>
              <w:pStyle w:val="Compact"/>
              <w:jc w:val="left"/>
            </w:pPr>
            <w:r>
              <w:t xml:space="preserve">~£1.6 trillion ($2T)</w:t>
            </w:r>
          </w:p>
        </w:tc>
        <w:tc>
          <w:tcPr/>
          <w:p>
            <w:pPr>
              <w:pStyle w:val="Compact"/>
              <w:jc w:val="left"/>
            </w:pPr>
            <w:r>
              <w:t xml:space="preserve">PMI via Voyage Advisory</w:t>
            </w:r>
          </w:p>
        </w:tc>
      </w:tr>
    </w:tbl>
    <w:bookmarkEnd w:id="35"/>
    <w:bookmarkStart w:id="36" w:name="user-complaints-40-sourced-quotes"/>
    <w:p>
      <w:pPr>
        <w:pStyle w:val="Heading3"/>
      </w:pPr>
      <w:r>
        <w:t xml:space="preserve">3.2 User Complaints — 40 Sourced Quotes</w:t>
      </w:r>
    </w:p>
    <w:tbl>
      <w:tblPr>
        <w:tblStyle w:val="Table"/>
        <w:tblW w:type="pct" w:w="5000"/>
        <w:tblLook w:firstRow="1" w:lastRow="0" w:firstColumn="0" w:lastColumn="0" w:noHBand="0" w:noVBand="0" w:val="0020"/>
        <w:jc w:val="start"/>
      </w:tblPr>
      <w:tblGrid>
        <w:gridCol w:w="1584"/>
        <w:gridCol w:w="1584"/>
        <w:gridCol w:w="4752"/>
      </w:tblGrid>
      <w:tr>
        <w:trPr>
          <w:tblHeader w:val="true"/>
        </w:trPr>
        <w:tc>
          <w:tcPr/>
          <w:p>
            <w:pPr>
              <w:pStyle w:val="Compact"/>
              <w:jc w:val="left"/>
            </w:pPr>
            <w:r>
              <w:t xml:space="preserve">Theme</w:t>
            </w:r>
          </w:p>
        </w:tc>
        <w:tc>
          <w:tcPr/>
          <w:p>
            <w:pPr>
              <w:pStyle w:val="Compact"/>
              <w:jc w:val="left"/>
            </w:pPr>
            <w:r>
              <w:t xml:space="preserve">Count</w:t>
            </w:r>
          </w:p>
        </w:tc>
        <w:tc>
          <w:tcPr/>
          <w:p>
            <w:pPr>
              <w:pStyle w:val="Compact"/>
              <w:jc w:val="left"/>
            </w:pPr>
            <w:r>
              <w:t xml:space="preserve">Representative Quote</w:t>
            </w:r>
          </w:p>
        </w:tc>
      </w:tr>
      <w:tr>
        <w:tc>
          <w:tcPr/>
          <w:p>
            <w:pPr>
              <w:pStyle w:val="Compact"/>
              <w:jc w:val="left"/>
            </w:pPr>
            <w:r>
              <w:t xml:space="preserve">Missing portfolio/programme visibility</w:t>
            </w:r>
          </w:p>
        </w:tc>
        <w:tc>
          <w:tcPr/>
          <w:p>
            <w:pPr>
              <w:pStyle w:val="Compact"/>
              <w:jc w:val="left"/>
            </w:pPr>
            <w:r>
              <w:t xml:space="preserve">9</w:t>
            </w:r>
          </w:p>
        </w:tc>
        <w:tc>
          <w:tcPr/>
          <w:p>
            <w:pPr>
              <w:pStyle w:val="Compact"/>
              <w:jc w:val="left"/>
            </w:pPr>
            <w:r>
              <w:t xml:space="preserve">“</w:t>
            </w:r>
            <w:r>
              <w:t xml:space="preserve">Asana for portfolio management lacks robust work intake, prioritisation scoring models, enterprise resource capacity planning, portfolio-level risk management</w:t>
            </w:r>
            <w:r>
              <w:t xml:space="preserve">”</w:t>
            </w:r>
            <w:r>
              <w:t xml:space="preserve"> </w:t>
            </w:r>
            <w:r>
              <w:t xml:space="preserve">— Acuity PPM</w:t>
            </w:r>
          </w:p>
        </w:tc>
      </w:tr>
      <w:tr>
        <w:tc>
          <w:tcPr/>
          <w:p>
            <w:pPr>
              <w:pStyle w:val="Compact"/>
              <w:jc w:val="left"/>
            </w:pPr>
            <w:r>
              <w:t xml:space="preserve">No governance features (RAID, audit)</w:t>
            </w:r>
          </w:p>
        </w:tc>
        <w:tc>
          <w:tcPr/>
          <w:p>
            <w:pPr>
              <w:pStyle w:val="Compact"/>
              <w:jc w:val="left"/>
            </w:pPr>
            <w:r>
              <w:t xml:space="preserve">9</w:t>
            </w:r>
          </w:p>
        </w:tc>
        <w:tc>
          <w:tcPr/>
          <w:p>
            <w:pPr>
              <w:pStyle w:val="Compact"/>
              <w:jc w:val="left"/>
            </w:pPr>
            <w:r>
              <w:t xml:space="preserve">“</w:t>
            </w:r>
            <w:r>
              <w:t xml:space="preserve">The main request is to have some form of RAID logging</w:t>
            </w:r>
            <w:r>
              <w:t xml:space="preserve">”</w:t>
            </w:r>
            <w:r>
              <w:t xml:space="preserve"> </w:t>
            </w:r>
            <w:r>
              <w:t xml:space="preserve">— Reddit r/projectmanagement</w:t>
            </w:r>
          </w:p>
        </w:tc>
      </w:tr>
      <w:tr>
        <w:tc>
          <w:tcPr/>
          <w:p>
            <w:pPr>
              <w:pStyle w:val="Compact"/>
              <w:jc w:val="left"/>
            </w:pPr>
            <w:r>
              <w:t xml:space="preserve">Reporting limitations</w:t>
            </w:r>
          </w:p>
        </w:tc>
        <w:tc>
          <w:tcPr/>
          <w:p>
            <w:pPr>
              <w:pStyle w:val="Compact"/>
              <w:jc w:val="left"/>
            </w:pPr>
            <w:r>
              <w:t xml:space="preserve">9</w:t>
            </w:r>
          </w:p>
        </w:tc>
        <w:tc>
          <w:tcPr/>
          <w:p>
            <w:pPr>
              <w:pStyle w:val="Compact"/>
              <w:jc w:val="left"/>
            </w:pPr>
            <w:r>
              <w:t xml:space="preserve">“</w:t>
            </w:r>
            <w:r>
              <w:t xml:space="preserve">Time-tracking and reporting tools are quite limited</w:t>
            </w:r>
            <w:r>
              <w:t xml:space="preserve">”</w:t>
            </w:r>
            <w:r>
              <w:t xml:space="preserve"> </w:t>
            </w:r>
            <w:r>
              <w:t xml:space="preserve">— SoftwareReviews</w:t>
            </w:r>
          </w:p>
        </w:tc>
      </w:tr>
      <w:tr>
        <w:tc>
          <w:tcPr/>
          <w:p>
            <w:pPr>
              <w:pStyle w:val="Compact"/>
              <w:jc w:val="left"/>
            </w:pPr>
            <w:r>
              <w:t xml:space="preserve">Multi-project dependency failures</w:t>
            </w:r>
          </w:p>
        </w:tc>
        <w:tc>
          <w:tcPr/>
          <w:p>
            <w:pPr>
              <w:pStyle w:val="Compact"/>
              <w:jc w:val="left"/>
            </w:pPr>
            <w:r>
              <w:t xml:space="preserve">8</w:t>
            </w:r>
          </w:p>
        </w:tc>
        <w:tc>
          <w:tcPr/>
          <w:p>
            <w:pPr>
              <w:pStyle w:val="Compact"/>
              <w:jc w:val="left"/>
            </w:pPr>
            <w:r>
              <w:t xml:space="preserve">“</w:t>
            </w:r>
            <w:r>
              <w:t xml:space="preserve">Sheets crawl once you hit a few hundred rows with dependencies</w:t>
            </w:r>
            <w:r>
              <w:t xml:space="preserve">”</w:t>
            </w:r>
            <w:r>
              <w:t xml:space="preserve"> </w:t>
            </w:r>
            <w:r>
              <w:t xml:space="preserve">— Reddit</w:t>
            </w:r>
          </w:p>
        </w:tc>
      </w:tr>
      <w:tr>
        <w:tc>
          <w:tcPr/>
          <w:p>
            <w:pPr>
              <w:pStyle w:val="Compact"/>
              <w:jc w:val="left"/>
            </w:pPr>
            <w:r>
              <w:t xml:space="preserve">UX complexity at scale</w:t>
            </w:r>
          </w:p>
        </w:tc>
        <w:tc>
          <w:tcPr/>
          <w:p>
            <w:pPr>
              <w:pStyle w:val="Compact"/>
              <w:jc w:val="left"/>
            </w:pPr>
            <w:r>
              <w:t xml:space="preserve">5</w:t>
            </w:r>
          </w:p>
        </w:tc>
        <w:tc>
          <w:tcPr/>
          <w:p>
            <w:pPr>
              <w:pStyle w:val="Compact"/>
              <w:jc w:val="left"/>
            </w:pPr>
            <w:r>
              <w:t xml:space="preserve">“</w:t>
            </w:r>
            <w:r>
              <w:t xml:space="preserve">Monday can be infuriatingly complex to use</w:t>
            </w:r>
            <w:r>
              <w:t xml:space="preserve">”</w:t>
            </w:r>
            <w:r>
              <w:t xml:space="preserve"> </w:t>
            </w:r>
            <w:r>
              <w:t xml:space="preserve">— SmartTask</w:t>
            </w:r>
          </w:p>
        </w:tc>
      </w:tr>
    </w:tbl>
    <w:p>
      <w:pPr>
        <w:pStyle w:val="BodyText"/>
      </w:pPr>
      <w:r>
        <w:rPr>
          <w:iCs/>
          <w:i/>
        </w:rPr>
        <w:t xml:space="preserve">Full 40-quote catalogue: see</w:t>
      </w:r>
      <w:r>
        <w:rPr>
          <w:iCs/>
          <w:i/>
        </w:rPr>
        <w:t xml:space="preserve"> </w:t>
      </w:r>
      <w:r>
        <w:rPr>
          <w:rStyle w:val="VerbatimChar"/>
          <w:iCs/>
          <w:i/>
        </w:rPr>
        <w:t xml:space="preserve">user-evidence-and-surveys.md</w:t>
      </w:r>
    </w:p>
    <w:bookmarkEnd w:id="36"/>
    <w:bookmarkStart w:id="37" w:name="ai-adoption"/>
    <w:p>
      <w:pPr>
        <w:pStyle w:val="Heading3"/>
      </w:pPr>
      <w:r>
        <w:t xml:space="preserve">3.3 AI Adoption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Finding</w:t>
            </w:r>
          </w:p>
        </w:tc>
        <w:tc>
          <w:tcPr/>
          <w:p>
            <w:pPr>
              <w:pStyle w:val="Compact"/>
              <w:jc w:val="left"/>
            </w:pPr>
            <w:r>
              <w:t xml:space="preserve">Source</w:t>
            </w:r>
          </w:p>
        </w:tc>
      </w:tr>
      <w:tr>
        <w:tc>
          <w:tcPr/>
          <w:p>
            <w:pPr>
              <w:pStyle w:val="Compact"/>
              <w:jc w:val="left"/>
            </w:pPr>
            <w:r>
              <w:t xml:space="preserve">PMs using AI</w:t>
            </w:r>
          </w:p>
        </w:tc>
        <w:tc>
          <w:tcPr/>
          <w:p>
            <w:pPr>
              <w:pStyle w:val="Compact"/>
              <w:jc w:val="left"/>
            </w:pPr>
            <w:r>
              <w:t xml:space="preserve">51%</w:t>
            </w:r>
          </w:p>
        </w:tc>
        <w:tc>
          <w:tcPr/>
          <w:p>
            <w:pPr>
              <w:pStyle w:val="Compact"/>
              <w:jc w:val="left"/>
            </w:pPr>
            <w:r>
              <w:t xml:space="preserve">Xergy/Proteus</w:t>
            </w:r>
          </w:p>
        </w:tc>
      </w:tr>
      <w:tr>
        <w:tc>
          <w:tcPr/>
          <w:p>
            <w:pPr>
              <w:pStyle w:val="Compact"/>
              <w:jc w:val="left"/>
            </w:pPr>
            <w:r>
              <w:t xml:space="preserve">Senior leaders expecting AI role (5yr)</w:t>
            </w:r>
          </w:p>
        </w:tc>
        <w:tc>
          <w:tcPr/>
          <w:p>
            <w:pPr>
              <w:pStyle w:val="Compact"/>
              <w:jc w:val="left"/>
            </w:pPr>
            <w:r>
              <w:t xml:space="preserve">82%</w:t>
            </w:r>
          </w:p>
        </w:tc>
        <w:tc>
          <w:tcPr/>
          <w:p>
            <w:pPr>
              <w:pStyle w:val="Compact"/>
              <w:jc w:val="left"/>
            </w:pPr>
            <w:r>
              <w:t xml:space="preserve">PMI</w:t>
            </w:r>
          </w:p>
        </w:tc>
      </w:tr>
      <w:tr>
        <w:tc>
          <w:tcPr/>
          <w:p>
            <w:pPr>
              <w:pStyle w:val="Compact"/>
              <w:jc w:val="left"/>
            </w:pPr>
            <w:r>
              <w:t xml:space="preserve">PMs with extensive AI skills</w:t>
            </w:r>
          </w:p>
        </w:tc>
        <w:tc>
          <w:tcPr/>
          <w:p>
            <w:pPr>
              <w:pStyle w:val="Compact"/>
              <w:jc w:val="left"/>
            </w:pPr>
            <w:r>
              <w:rPr>
                <w:bCs/>
                <w:b/>
              </w:rPr>
              <w:t xml:space="preserve">Only ~20%</w:t>
            </w:r>
          </w:p>
        </w:tc>
        <w:tc>
          <w:tcPr/>
          <w:p>
            <w:pPr>
              <w:pStyle w:val="Compact"/>
              <w:jc w:val="left"/>
            </w:pPr>
            <w:r>
              <w:t xml:space="preserve">PMI Pulse 2025</w:t>
            </w:r>
          </w:p>
        </w:tc>
      </w:tr>
      <w:tr>
        <w:tc>
          <w:tcPr/>
          <w:p>
            <w:pPr>
              <w:pStyle w:val="Compact"/>
              <w:jc w:val="left"/>
            </w:pPr>
            <w:r>
              <w:t xml:space="preserve">Main AI adoption barrier</w:t>
            </w:r>
          </w:p>
        </w:tc>
        <w:tc>
          <w:tcPr/>
          <w:p>
            <w:pPr>
              <w:pStyle w:val="Compact"/>
              <w:jc w:val="left"/>
            </w:pPr>
            <w:r>
              <w:t xml:space="preserve">Resistance to change (26%)</w:t>
            </w:r>
          </w:p>
        </w:tc>
        <w:tc>
          <w:tcPr/>
          <w:p>
            <w:pPr>
              <w:pStyle w:val="Compact"/>
              <w:jc w:val="left"/>
            </w:pPr>
            <w:r>
              <w:t xml:space="preserve">Xergy</w:t>
            </w:r>
          </w:p>
        </w:tc>
      </w:tr>
    </w:tbl>
    <w:p>
      <w:r>
        <w:pict>
          <v:rect style="width:0;height:1.5pt" o:hralign="center" o:hrstd="t" o:hr="t"/>
        </w:pict>
      </w:r>
    </w:p>
    <w:bookmarkEnd w:id="37"/>
    <w:bookmarkEnd w:id="38"/>
    <w:bookmarkStart w:id="39" w:name="regulatory-drivers"/>
    <w:p>
      <w:pPr>
        <w:pStyle w:val="Heading2"/>
      </w:pPr>
      <w:r>
        <w:t xml:space="preserve">4. Regulatory Drivers</w:t>
      </w:r>
    </w:p>
    <w:p>
      <w:pPr>
        <w:pStyle w:val="FirstParagraph"/>
      </w:pPr>
      <w:r>
        <w:rPr>
          <w:bCs/>
          <w:b/>
        </w:rPr>
        <w:t xml:space="preserve">FCA Operational Resilience (PS21/3)</w:t>
      </w:r>
      <w:r>
        <w:t xml:space="preserve"> </w:t>
      </w:r>
      <w:r>
        <w:t xml:space="preserve">— Mandatory compliance deadline</w:t>
      </w:r>
      <w:r>
        <w:t xml:space="preserve"> </w:t>
      </w:r>
      <w:r>
        <w:rPr>
          <w:bCs/>
          <w:b/>
        </w:rPr>
        <w:t xml:space="preserve">31 March 2025 (passed)</w:t>
      </w:r>
      <w:r>
        <w:t xml:space="preserve">. Requires continuous, auditable governance of resilience programmes.</w:t>
      </w:r>
      <w:r>
        <w:t xml:space="preserve"> </w:t>
      </w:r>
      <w:r>
        <w:rPr>
          <w:bCs/>
          <w:b/>
        </w:rPr>
        <w:t xml:space="preserve">Driver: HIGH.</w:t>
      </w:r>
    </w:p>
    <w:p>
      <w:pPr>
        <w:pStyle w:val="BodyText"/>
      </w:pPr>
      <w:r>
        <w:rPr>
          <w:bCs/>
          <w:b/>
        </w:rPr>
        <w:t xml:space="preserve">EU DORA</w:t>
      </w:r>
      <w:r>
        <w:t xml:space="preserve"> </w:t>
      </w:r>
      <w:r>
        <w:t xml:space="preserve">— Mandatory since</w:t>
      </w:r>
      <w:r>
        <w:t xml:space="preserve"> </w:t>
      </w:r>
      <w:r>
        <w:rPr>
          <w:bCs/>
          <w:b/>
        </w:rPr>
        <w:t xml:space="preserve">17 January 2025</w:t>
      </w:r>
      <w:r>
        <w:t xml:space="preserve">. Article 6 requires documented ICT risk management framework.</w:t>
      </w:r>
      <w:r>
        <w:t xml:space="preserve"> </w:t>
      </w:r>
      <w:r>
        <w:rPr>
          <w:bCs/>
          <w:b/>
        </w:rPr>
        <w:t xml:space="preserve">Driver: HIGH.</w:t>
      </w:r>
    </w:p>
    <w:p>
      <w:pPr>
        <w:pStyle w:val="BodyText"/>
      </w:pPr>
      <w:r>
        <w:rPr>
          <w:bCs/>
          <w:b/>
        </w:rPr>
        <w:t xml:space="preserve">Supporting:</w:t>
      </w:r>
      <w:r>
        <w:t xml:space="preserve"> </w:t>
      </w:r>
      <w:r>
        <w:t xml:space="preserve">Basel III (indirect), MiFID II (indirect), IOMFSA Governance Codes (mandatory for IOM-regulated entities).</w:t>
      </w:r>
    </w:p>
    <w:p>
      <w:pPr>
        <w:pStyle w:val="BodyText"/>
      </w:pPr>
      <w:r>
        <w:rPr>
          <w:bCs/>
          <w:b/>
        </w:rPr>
        <w:t xml:space="preserve">IoM beachhead:</w:t>
      </w:r>
      <w:r>
        <w:t xml:space="preserve"> </w:t>
      </w:r>
      <w:r>
        <w:t xml:space="preserve">Financial services = ~27% of IoM economy. Estimated 200–400 regulated entities, typically in Helm’s 50–500 employee sweet spot.</w:t>
      </w:r>
    </w:p>
    <w:p>
      <w:r>
        <w:pict>
          <v:rect style="width:0;height:1.5pt" o:hralign="center" o:hrstd="t" o:hr="t"/>
        </w:pict>
      </w:r>
    </w:p>
    <w:bookmarkEnd w:id="39"/>
    <w:bookmarkStart w:id="42" w:name="technical-approach-ai-framework"/>
    <w:p>
      <w:pPr>
        <w:pStyle w:val="Heading2"/>
      </w:pPr>
      <w:r>
        <w:t xml:space="preserve">5. Technical Approach — AI Framework</w:t>
      </w:r>
    </w:p>
    <w:bookmarkStart w:id="40" w:name="recommendation-langgraph-not-metagpt"/>
    <w:p>
      <w:pPr>
        <w:pStyle w:val="Heading3"/>
      </w:pPr>
      <w:r>
        <w:t xml:space="preserve">5.1 Recommendation: LangGraph, Not MetaGPT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MetaGPT</w:t>
            </w:r>
          </w:p>
        </w:tc>
        <w:tc>
          <w:tcPr/>
          <w:p>
            <w:pPr>
              <w:pStyle w:val="Compact"/>
              <w:jc w:val="left"/>
            </w:pPr>
            <w:r>
              <w:t xml:space="preserve">CrewAI</w:t>
            </w:r>
          </w:p>
        </w:tc>
        <w:tc>
          <w:tcPr/>
          <w:p>
            <w:pPr>
              <w:pStyle w:val="Compact"/>
              <w:jc w:val="left"/>
            </w:pPr>
            <w:r>
              <w:t xml:space="preserve">LangGraph ⭐</w:t>
            </w:r>
          </w:p>
        </w:tc>
      </w:tr>
      <w:tr>
        <w:tc>
          <w:tcPr/>
          <w:p>
            <w:pPr>
              <w:pStyle w:val="Compact"/>
              <w:jc w:val="left"/>
            </w:pPr>
            <w:r>
              <w:t xml:space="preserve">Durable Execution</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t xml:space="preserve">Human-in-the-Loop</w:t>
            </w:r>
          </w:p>
        </w:tc>
        <w:tc>
          <w:tcPr/>
          <w:p>
            <w:pPr>
              <w:pStyle w:val="Compact"/>
              <w:jc w:val="left"/>
            </w:pPr>
            <w:r>
              <w:t xml:space="preserve">❌</w:t>
            </w:r>
          </w:p>
        </w:tc>
        <w:tc>
          <w:tcPr/>
          <w:p>
            <w:pPr>
              <w:pStyle w:val="Compact"/>
              <w:jc w:val="left"/>
            </w:pPr>
            <w:r>
              <w:t xml:space="preserve">Limited</w:t>
            </w:r>
          </w:p>
        </w:tc>
        <w:tc>
          <w:tcPr/>
          <w:p>
            <w:pPr>
              <w:pStyle w:val="Compact"/>
              <w:jc w:val="left"/>
            </w:pPr>
            <w:r>
              <w:rPr>
                <w:bCs/>
                <w:b/>
              </w:rPr>
              <w:t xml:space="preserve">✅ (first-class)</w:t>
            </w:r>
          </w:p>
        </w:tc>
      </w:tr>
      <w:tr>
        <w:tc>
          <w:tcPr/>
          <w:p>
            <w:pPr>
              <w:pStyle w:val="Compact"/>
              <w:jc w:val="left"/>
            </w:pPr>
            <w:r>
              <w:t xml:space="preserve">JS/TS Support</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 (langgraphjs)</w:t>
            </w:r>
          </w:p>
        </w:tc>
      </w:tr>
      <w:tr>
        <w:tc>
          <w:tcPr/>
          <w:p>
            <w:pPr>
              <w:pStyle w:val="Compact"/>
              <w:jc w:val="left"/>
            </w:pPr>
            <w:r>
              <w:t xml:space="preserve">Helm Relevance</w:t>
            </w:r>
          </w:p>
        </w:tc>
        <w:tc>
          <w:tcPr/>
          <w:p>
            <w:pPr>
              <w:pStyle w:val="Compact"/>
              <w:jc w:val="left"/>
            </w:pPr>
            <w:r>
              <w:t xml:space="preserve">LOW-MEDIUM</w:t>
            </w:r>
          </w:p>
        </w:tc>
        <w:tc>
          <w:tcPr/>
          <w:p>
            <w:pPr>
              <w:pStyle w:val="Compact"/>
              <w:jc w:val="left"/>
            </w:pPr>
            <w:r>
              <w:t xml:space="preserve">HIGH</w:t>
            </w:r>
          </w:p>
        </w:tc>
        <w:tc>
          <w:tcPr/>
          <w:p>
            <w:pPr>
              <w:pStyle w:val="Compact"/>
              <w:jc w:val="left"/>
            </w:pPr>
            <w:r>
              <w:rPr>
                <w:bCs/>
                <w:b/>
              </w:rPr>
              <w:t xml:space="preserve">HIGHEST</w:t>
            </w:r>
          </w:p>
        </w:tc>
      </w:tr>
    </w:tbl>
    <w:p>
      <w:pPr>
        <w:pStyle w:val="BodyText"/>
      </w:pPr>
      <w:r>
        <w:t xml:space="preserve">MetaGPT is a software company simulator — wrong domain. LangGraph is the only framework with durable execution (governance pipelines survive failures), first-class HITL (approval gates), and JS support (Next.js stack).</w:t>
      </w:r>
    </w:p>
    <w:bookmarkEnd w:id="40"/>
    <w:bookmarkStart w:id="41" w:name="helm-ai-pipeline"/>
    <w:p>
      <w:pPr>
        <w:pStyle w:val="Heading3"/>
      </w:pPr>
      <w:r>
        <w:t xml:space="preserve">5.2 Helm AI Pipeline</w:t>
      </w:r>
    </w:p>
    <w:p>
      <w:pPr>
        <w:pStyle w:val="SourceCode"/>
      </w:pPr>
      <w:r>
        <w:rPr>
          <w:rStyle w:val="VerbatimChar"/>
        </w:rPr>
        <w:t xml:space="preserve">Meeting → Transcription → Extraction Agent → Classification Agent</w:t>
      </w:r>
      <w:r>
        <w:br/>
      </w:r>
      <w:r>
        <w:rPr>
          <w:rStyle w:val="VerbatimChar"/>
        </w:rPr>
        <w:t xml:space="preserve">    → Human Review Gate (LangGraph interrupt) → RAID Integration</w:t>
      </w:r>
      <w:r>
        <w:br/>
      </w:r>
      <w:r>
        <w:rPr>
          <w:rStyle w:val="VerbatimChar"/>
        </w:rPr>
        <w:t xml:space="preserve">    → Reporting Agent → Dashboard</w:t>
      </w:r>
    </w:p>
    <w:p>
      <w:r>
        <w:pict>
          <v:rect style="width:0;height:1.5pt" o:hralign="center" o:hrstd="t" o:hr="t"/>
        </w:pict>
      </w:r>
    </w:p>
    <w:bookmarkEnd w:id="41"/>
    <w:bookmarkEnd w:id="42"/>
    <w:bookmarkStart w:id="46" w:name="helms-positioning"/>
    <w:p>
      <w:pPr>
        <w:pStyle w:val="Heading2"/>
      </w:pPr>
      <w:r>
        <w:t xml:space="preserve">6. Helm’s Positioning</w:t>
      </w:r>
    </w:p>
    <w:bookmarkStart w:id="43" w:name="unique-value-proposition"/>
    <w:p>
      <w:pPr>
        <w:pStyle w:val="Heading3"/>
      </w:pPr>
      <w:r>
        <w:t xml:space="preserve">6.1 Unique Value Proposition</w:t>
      </w:r>
    </w:p>
    <w:p>
      <w:pPr>
        <w:numPr>
          <w:ilvl w:val="0"/>
          <w:numId w:val="1001"/>
        </w:numPr>
      </w:pPr>
      <w:r>
        <w:rPr>
          <w:bCs/>
          <w:b/>
        </w:rPr>
        <w:t xml:space="preserve">Meeting-to-Governance Traceability:</w:t>
      </w:r>
      <w:r>
        <w:t xml:space="preserve"> </w:t>
      </w:r>
      <w:r>
        <w:t xml:space="preserve">❌ across 15 PPM vendors, ⚠️ for Microsoft (tasks only, not governance artefacts). No tool extracts structured RAID items, decision records, or escalation triggers from meetings and routes them through approval workflows. Existing integrations create tasks; Helm creates governed, auditable, first-class PPM entities.</w:t>
      </w:r>
    </w:p>
    <w:p>
      <w:pPr>
        <w:numPr>
          <w:ilvl w:val="0"/>
          <w:numId w:val="1001"/>
        </w:numPr>
      </w:pPr>
      <w:r>
        <w:rPr>
          <w:bCs/>
          <w:b/>
        </w:rPr>
        <w:t xml:space="preserve">First-Class Decision Logging:</w:t>
      </w:r>
      <w:r>
        <w:t xml:space="preserve"> </w:t>
      </w:r>
      <w:r>
        <w:t xml:space="preserve">Only Completix includes decisions in RAID. Most tools treat decisions as notes. Helm owns this.</w:t>
      </w:r>
    </w:p>
    <w:p>
      <w:pPr>
        <w:numPr>
          <w:ilvl w:val="0"/>
          <w:numId w:val="1001"/>
        </w:numPr>
      </w:pPr>
      <w:r>
        <w:rPr>
          <w:bCs/>
          <w:b/>
        </w:rPr>
        <w:t xml:space="preserve">P3O-Native Design:</w:t>
      </w:r>
      <w:r>
        <w:t xml:space="preserve"> </w:t>
      </w:r>
      <w:r>
        <w:t xml:space="preserve">Only 4–5 vendors support Portfolio → Programme → Project. None in mid-market pricing.</w:t>
      </w:r>
    </w:p>
    <w:p>
      <w:pPr>
        <w:numPr>
          <w:ilvl w:val="0"/>
          <w:numId w:val="1001"/>
        </w:numPr>
      </w:pPr>
      <w:r>
        <w:rPr>
          <w:bCs/>
          <w:b/>
        </w:rPr>
        <w:t xml:space="preserve">Governance-AI Focus:</w:t>
      </w:r>
      <w:r>
        <w:t xml:space="preserve"> </w:t>
      </w:r>
      <w:r>
        <w:t xml:space="preserve">Competitors focus AI on resource optimisation, content generation, or IT workflows. Helm focuses on governance intelligence.</w:t>
      </w:r>
    </w:p>
    <w:bookmarkEnd w:id="43"/>
    <w:bookmarkStart w:id="44" w:name="positioning-statement"/>
    <w:p>
      <w:pPr>
        <w:pStyle w:val="Heading3"/>
      </w:pPr>
      <w:r>
        <w:t xml:space="preserve">6.2 Positioning Statement</w:t>
      </w:r>
    </w:p>
    <w:p>
      <w:pPr>
        <w:pStyle w:val="BlockText"/>
      </w:pPr>
      <w:r>
        <w:rPr>
          <w:bCs/>
          <w:b/>
        </w:rPr>
        <w:t xml:space="preserve">Helm:</w:t>
      </w:r>
      <w:r>
        <w:t xml:space="preserve"> </w:t>
      </w:r>
      <w:r>
        <w:t xml:space="preserve">Governance-first portfolio management for regulated mid-market organisations. AI that turns meetings into accountability.</w:t>
      </w:r>
    </w:p>
    <w:p>
      <w:pPr>
        <w:pStyle w:val="FirstParagraph"/>
      </w:pPr>
      <w:r>
        <w:rPr>
          <w:bCs/>
          <w:b/>
        </w:rPr>
        <w:t xml:space="preserve">Market position:</w:t>
      </w:r>
      <w:r>
        <w:t xml:space="preserve"> </w:t>
      </w:r>
      <w:r>
        <w:t xml:space="preserve">Mid-market governance-native PPM with AI-powered meeting-to-governance pipeline. Priced at £16–36/user/month ($20–45) — premium over generic tools, a fraction of enterprise SPM.</w:t>
      </w:r>
    </w:p>
    <w:bookmarkEnd w:id="44"/>
    <w:bookmarkStart w:id="45" w:name="what-still-needs-validation"/>
    <w:p>
      <w:pPr>
        <w:pStyle w:val="Heading3"/>
      </w:pPr>
      <w:r>
        <w:t xml:space="preserve">6.3 What Still Needs Validation</w:t>
      </w:r>
    </w:p>
    <w:tbl>
      <w:tblPr>
        <w:tblStyle w:val="Table"/>
        <w:tblW w:type="pct" w:w="5000"/>
        <w:tblLook w:firstRow="1" w:lastRow="0" w:firstColumn="0" w:lastColumn="0" w:noHBand="0" w:noVBand="0" w:val="0020"/>
        <w:jc w:val="start"/>
      </w:tblPr>
      <w:tblGrid>
        <w:gridCol w:w="1523"/>
        <w:gridCol w:w="3960"/>
        <w:gridCol w:w="2436"/>
      </w:tblGrid>
      <w:tr>
        <w:trPr>
          <w:tblHeader w:val="true"/>
        </w:trPr>
        <w:tc>
          <w:tcPr/>
          <w:p>
            <w:pPr>
              <w:pStyle w:val="Compact"/>
              <w:jc w:val="left"/>
            </w:pPr>
            <w:r>
              <w:t xml:space="preserve">Gap</w:t>
            </w:r>
          </w:p>
        </w:tc>
        <w:tc>
          <w:tcPr/>
          <w:p>
            <w:pPr>
              <w:pStyle w:val="Compact"/>
              <w:jc w:val="left"/>
            </w:pPr>
            <w:r>
              <w:t xml:space="preserve">How to Close</w:t>
            </w:r>
          </w:p>
        </w:tc>
        <w:tc>
          <w:tcPr/>
          <w:p>
            <w:pPr>
              <w:pStyle w:val="Compact"/>
              <w:jc w:val="left"/>
            </w:pPr>
            <w:r>
              <w:t xml:space="preserve">Effort</w:t>
            </w:r>
          </w:p>
        </w:tc>
      </w:tr>
      <w:tr>
        <w:tc>
          <w:tcPr/>
          <w:p>
            <w:pPr>
              <w:pStyle w:val="Compact"/>
              <w:jc w:val="left"/>
            </w:pPr>
            <w:r>
              <w:t xml:space="preserve">Customer interviews</w:t>
            </w:r>
          </w:p>
        </w:tc>
        <w:tc>
          <w:tcPr/>
          <w:p>
            <w:pPr>
              <w:pStyle w:val="Compact"/>
              <w:jc w:val="left"/>
            </w:pPr>
            <w:r>
              <w:t xml:space="preserve">10–20 mid-market PMO leads in financial services</w:t>
            </w:r>
          </w:p>
        </w:tc>
        <w:tc>
          <w:tcPr/>
          <w:p>
            <w:pPr>
              <w:pStyle w:val="Compact"/>
              <w:jc w:val="left"/>
            </w:pPr>
            <w:r>
              <w:t xml:space="preserve">3–4 weeks</w:t>
            </w:r>
          </w:p>
        </w:tc>
      </w:tr>
      <w:tr>
        <w:tc>
          <w:tcPr/>
          <w:p>
            <w:pPr>
              <w:pStyle w:val="Compact"/>
              <w:jc w:val="left"/>
            </w:pPr>
            <w:r>
              <w:t xml:space="preserve">Willingness to pay</w:t>
            </w:r>
          </w:p>
        </w:tc>
        <w:tc>
          <w:tcPr/>
          <w:p>
            <w:pPr>
              <w:pStyle w:val="Compact"/>
              <w:jc w:val="left"/>
            </w:pPr>
            <w:r>
              <w:t xml:space="preserve">Van Westendorp in discovery interviews</w:t>
            </w:r>
          </w:p>
        </w:tc>
        <w:tc>
          <w:tcPr/>
          <w:p>
            <w:pPr>
              <w:pStyle w:val="Compact"/>
              <w:jc w:val="left"/>
            </w:pPr>
            <w:r>
              <w:t xml:space="preserve">Bundled</w:t>
            </w:r>
          </w:p>
        </w:tc>
      </w:tr>
      <w:tr>
        <w:tc>
          <w:tcPr/>
          <w:p>
            <w:pPr>
              <w:pStyle w:val="Compact"/>
              <w:jc w:val="left"/>
            </w:pPr>
            <w:r>
              <w:t xml:space="preserve">Meeting-AI demand</w:t>
            </w:r>
          </w:p>
        </w:tc>
        <w:tc>
          <w:tcPr/>
          <w:p>
            <w:pPr>
              <w:pStyle w:val="Compact"/>
              <w:jc w:val="left"/>
            </w:pPr>
            <w:r>
              <w:t xml:space="preserve">Validate meeting→governance is a purchase driver</w:t>
            </w:r>
          </w:p>
        </w:tc>
        <w:tc>
          <w:tcPr/>
          <w:p>
            <w:pPr>
              <w:pStyle w:val="Compact"/>
              <w:jc w:val="left"/>
            </w:pPr>
            <w:r>
              <w:t xml:space="preserve">Bundled</w:t>
            </w:r>
          </w:p>
        </w:tc>
      </w:tr>
      <w:tr>
        <w:tc>
          <w:tcPr/>
          <w:p>
            <w:pPr>
              <w:pStyle w:val="Compact"/>
              <w:jc w:val="left"/>
            </w:pPr>
            <w:r>
              <w:t xml:space="preserve">SAM assumptions</w:t>
            </w:r>
          </w:p>
        </w:tc>
        <w:tc>
          <w:tcPr/>
          <w:p>
            <w:pPr>
              <w:pStyle w:val="Compact"/>
              <w:jc w:val="left"/>
            </w:pPr>
            <w:r>
              <w:t xml:space="preserve">Sector filter (desk research, 2–3 days) + governance needs (interviews)</w:t>
            </w:r>
          </w:p>
        </w:tc>
        <w:tc>
          <w:tcPr/>
          <w:p>
            <w:pPr>
              <w:pStyle w:val="Compact"/>
              <w:jc w:val="left"/>
            </w:pPr>
            <w:r>
              <w:t xml:space="preserve">See above</w:t>
            </w:r>
          </w:p>
        </w:tc>
      </w:tr>
      <w:tr>
        <w:tc>
          <w:tcPr/>
          <w:p>
            <w:pPr>
              <w:pStyle w:val="Compact"/>
              <w:jc w:val="left"/>
            </w:pPr>
            <w:r>
              <w:t xml:space="preserve">IOM beachhead</w:t>
            </w:r>
          </w:p>
        </w:tc>
        <w:tc>
          <w:tcPr/>
          <w:p>
            <w:pPr>
              <w:pStyle w:val="Compact"/>
              <w:jc w:val="left"/>
            </w:pPr>
            <w:r>
              <w:t xml:space="preserve">Pull IOMFSA register, filter by size, target 5–10 for discovery</w:t>
            </w:r>
          </w:p>
        </w:tc>
        <w:tc>
          <w:tcPr/>
          <w:p>
            <w:pPr>
              <w:pStyle w:val="Compact"/>
              <w:jc w:val="left"/>
            </w:pPr>
            <w:r>
              <w:t xml:space="preserve">1 week</w:t>
            </w:r>
          </w:p>
        </w:tc>
      </w:tr>
    </w:tbl>
    <w:p>
      <w:r>
        <w:pict>
          <v:rect style="width:0;height:1.5pt" o:hralign="center" o:hrstd="t" o:hr="t"/>
        </w:pict>
      </w:r>
    </w:p>
    <w:bookmarkEnd w:id="45"/>
    <w:bookmarkEnd w:id="46"/>
    <w:bookmarkStart w:id="52" w:name="research-methodology-timeline"/>
    <w:p>
      <w:pPr>
        <w:pStyle w:val="Heading2"/>
      </w:pPr>
      <w:r>
        <w:t xml:space="preserve">7. Research Methodology &amp; Timeline</w:t>
      </w:r>
    </w:p>
    <w:p>
      <w:pPr>
        <w:pStyle w:val="FirstParagraph"/>
      </w:pPr>
      <w:r>
        <w:t xml:space="preserve">This document was produced through three rounds of AI-assisted desk research over 48 hours, with human review and critique between each round.</w:t>
      </w:r>
    </w:p>
    <w:bookmarkStart w:id="47" w:name="round-1-initial-research-30-january-2026"/>
    <w:p>
      <w:pPr>
        <w:pStyle w:val="Heading3"/>
      </w:pPr>
      <w:r>
        <w:t xml:space="preserve">Round 1 — Initial Research (30 January 2026)</w:t>
      </w:r>
    </w:p>
    <w:tbl>
      <w:tblPr>
        <w:tblStyle w:val="Table"/>
        <w:tblW w:type="pct" w:w="5000"/>
        <w:tblLook w:firstRow="1" w:lastRow="0" w:firstColumn="0" w:lastColumn="0" w:noHBand="0" w:noVBand="0" w:val="0020"/>
        <w:jc w:val="start"/>
      </w:tblPr>
      <w:tblGrid>
        <w:gridCol w:w="2640"/>
        <w:gridCol w:w="2262"/>
        <w:gridCol w:w="3017"/>
      </w:tblGrid>
      <w:tr>
        <w:trPr>
          <w:tblHeader w:val="true"/>
        </w:trPr>
        <w:tc>
          <w:tcPr/>
          <w:p>
            <w:pPr>
              <w:pStyle w:val="Compact"/>
              <w:jc w:val="left"/>
            </w:pPr>
            <w:r>
              <w:t xml:space="preserve">Agent</w:t>
            </w:r>
          </w:p>
        </w:tc>
        <w:tc>
          <w:tcPr/>
          <w:p>
            <w:pPr>
              <w:pStyle w:val="Compact"/>
              <w:jc w:val="left"/>
            </w:pPr>
            <w:r>
              <w:t xml:space="preserve">Task</w:t>
            </w:r>
          </w:p>
        </w:tc>
        <w:tc>
          <w:tcPr/>
          <w:p>
            <w:pPr>
              <w:pStyle w:val="Compact"/>
              <w:jc w:val="left"/>
            </w:pPr>
            <w:r>
              <w:t xml:space="preserve">Output</w:t>
            </w:r>
          </w:p>
        </w:tc>
      </w:tr>
      <w:tr>
        <w:tc>
          <w:tcPr/>
          <w:p>
            <w:pPr>
              <w:pStyle w:val="Compact"/>
              <w:jc w:val="left"/>
            </w:pPr>
            <w:r>
              <w:t xml:space="preserve">research-competitive</w:t>
            </w:r>
          </w:p>
        </w:tc>
        <w:tc>
          <w:tcPr/>
          <w:p>
            <w:pPr>
              <w:pStyle w:val="Compact"/>
              <w:jc w:val="left"/>
            </w:pPr>
            <w:r>
              <w:t xml:space="preserve">15-vendor capability matrix across 10 dimensions</w:t>
            </w:r>
          </w:p>
        </w:tc>
        <w:tc>
          <w:tcPr/>
          <w:p>
            <w:pPr>
              <w:pStyle w:val="Compact"/>
              <w:jc w:val="left"/>
            </w:pPr>
            <w:r>
              <w:rPr>
                <w:rStyle w:val="VerbatimChar"/>
              </w:rPr>
              <w:t xml:space="preserve">competitive-intelligence.md</w:t>
            </w:r>
            <w:r>
              <w:t xml:space="preserve"> </w:t>
            </w:r>
            <w:r>
              <w:t xml:space="preserve">(55KB)</w:t>
            </w:r>
          </w:p>
        </w:tc>
      </w:tr>
      <w:tr>
        <w:tc>
          <w:tcPr/>
          <w:p>
            <w:pPr>
              <w:pStyle w:val="Compact"/>
              <w:jc w:val="left"/>
            </w:pPr>
            <w:r>
              <w:t xml:space="preserve">research-market-data</w:t>
            </w:r>
          </w:p>
        </w:tc>
        <w:tc>
          <w:tcPr/>
          <w:p>
            <w:pPr>
              <w:pStyle w:val="Compact"/>
              <w:jc w:val="left"/>
            </w:pPr>
            <w:r>
              <w:t xml:space="preserve">Market sizing reconciliation across 7 research firms</w:t>
            </w:r>
          </w:p>
        </w:tc>
        <w:tc>
          <w:tcPr/>
          <w:p>
            <w:pPr>
              <w:pStyle w:val="Compact"/>
              <w:jc w:val="left"/>
            </w:pPr>
            <w:r>
              <w:rPr>
                <w:rStyle w:val="VerbatimChar"/>
              </w:rPr>
              <w:t xml:space="preserve">market-data-verification.md</w:t>
            </w:r>
            <w:r>
              <w:t xml:space="preserve"> </w:t>
            </w:r>
            <w:r>
              <w:t xml:space="preserve">(32KB)</w:t>
            </w:r>
          </w:p>
        </w:tc>
      </w:tr>
      <w:tr>
        <w:tc>
          <w:tcPr/>
          <w:p>
            <w:pPr>
              <w:pStyle w:val="Compact"/>
              <w:jc w:val="left"/>
            </w:pPr>
            <w:r>
              <w:t xml:space="preserve">research-evidence</w:t>
            </w:r>
          </w:p>
        </w:tc>
        <w:tc>
          <w:tcPr/>
          <w:p>
            <w:pPr>
              <w:pStyle w:val="Compact"/>
              <w:jc w:val="left"/>
            </w:pPr>
            <w:r>
              <w:t xml:space="preserve">User complaints + industry survey data</w:t>
            </w:r>
          </w:p>
        </w:tc>
        <w:tc>
          <w:tcPr/>
          <w:p>
            <w:pPr>
              <w:pStyle w:val="Compact"/>
              <w:jc w:val="left"/>
            </w:pPr>
            <w:r>
              <w:rPr>
                <w:rStyle w:val="VerbatimChar"/>
              </w:rPr>
              <w:t xml:space="preserve">user-evidence-and-surveys.md</w:t>
            </w:r>
            <w:r>
              <w:t xml:space="preserve"> </w:t>
            </w:r>
            <w:r>
              <w:t xml:space="preserve">(36KB)</w:t>
            </w:r>
          </w:p>
        </w:tc>
      </w:tr>
      <w:tr>
        <w:tc>
          <w:tcPr/>
          <w:p>
            <w:pPr>
              <w:pStyle w:val="Compact"/>
              <w:jc w:val="left"/>
            </w:pPr>
            <w:r>
              <w:t xml:space="preserve">research-technical</w:t>
            </w:r>
          </w:p>
        </w:tc>
        <w:tc>
          <w:tcPr/>
          <w:p>
            <w:pPr>
              <w:pStyle w:val="Compact"/>
              <w:jc w:val="left"/>
            </w:pPr>
            <w:r>
              <w:t xml:space="preserve">AI framework evaluation (MetaGPT, CrewAI, LangGraph)</w:t>
            </w:r>
          </w:p>
        </w:tc>
        <w:tc>
          <w:tcPr/>
          <w:p>
            <w:pPr>
              <w:pStyle w:val="Compact"/>
              <w:jc w:val="left"/>
            </w:pPr>
            <w:r>
              <w:rPr>
                <w:rStyle w:val="VerbatimChar"/>
              </w:rPr>
              <w:t xml:space="preserve">technical-landscape.md</w:t>
            </w:r>
            <w:r>
              <w:t xml:space="preserve"> </w:t>
            </w:r>
            <w:r>
              <w:t xml:space="preserve">(27KB)</w:t>
            </w:r>
          </w:p>
        </w:tc>
      </w:tr>
    </w:tbl>
    <w:p>
      <w:pPr>
        <w:pStyle w:val="BodyText"/>
      </w:pPr>
      <w:r>
        <w:rPr>
          <w:bCs/>
          <w:b/>
        </w:rPr>
        <w:t xml:space="preserve">Output:</w:t>
      </w:r>
      <w:r>
        <w:t xml:space="preserve"> </w:t>
      </w:r>
      <w:r>
        <w:t xml:space="preserve">market-validation-revised-v2.md — graded</w:t>
      </w:r>
      <w:r>
        <w:t xml:space="preserve"> </w:t>
      </w:r>
      <w:r>
        <w:rPr>
          <w:bCs/>
          <w:b/>
        </w:rPr>
        <w:t xml:space="preserve">B+</w:t>
      </w:r>
      <w:r>
        <w:t xml:space="preserve"> </w:t>
      </w:r>
      <w:r>
        <w:t xml:space="preserve">by external reviewer.</w:t>
      </w:r>
    </w:p>
    <w:bookmarkEnd w:id="47"/>
    <w:bookmarkStart w:id="48" w:name="X0387d3df93ec6e7f0ed24eef9ff9aa3e808a200"/>
    <w:p>
      <w:pPr>
        <w:pStyle w:val="Heading3"/>
      </w:pPr>
      <w:r>
        <w:t xml:space="preserve">Round 2 — Addressing B+ Critiques (31 January 2026, AM)</w:t>
      </w:r>
    </w:p>
    <w:tbl>
      <w:tblPr>
        <w:tblStyle w:val="Table"/>
        <w:tblW w:type="pct" w:w="5000"/>
        <w:tblLook w:firstRow="1" w:lastRow="0" w:firstColumn="0" w:lastColumn="0" w:noHBand="0" w:noVBand="0" w:val="0020"/>
        <w:jc w:val="start"/>
      </w:tblPr>
      <w:tblGrid>
        <w:gridCol w:w="2640"/>
        <w:gridCol w:w="2262"/>
        <w:gridCol w:w="3017"/>
      </w:tblGrid>
      <w:tr>
        <w:trPr>
          <w:tblHeader w:val="true"/>
        </w:trPr>
        <w:tc>
          <w:tcPr/>
          <w:p>
            <w:pPr>
              <w:pStyle w:val="Compact"/>
              <w:jc w:val="left"/>
            </w:pPr>
            <w:r>
              <w:t xml:space="preserve">Agent</w:t>
            </w:r>
          </w:p>
        </w:tc>
        <w:tc>
          <w:tcPr/>
          <w:p>
            <w:pPr>
              <w:pStyle w:val="Compact"/>
              <w:jc w:val="left"/>
            </w:pPr>
            <w:r>
              <w:t xml:space="preserve">Task</w:t>
            </w:r>
          </w:p>
        </w:tc>
        <w:tc>
          <w:tcPr/>
          <w:p>
            <w:pPr>
              <w:pStyle w:val="Compact"/>
              <w:jc w:val="left"/>
            </w:pPr>
            <w:r>
              <w:t xml:space="preserve">Output</w:t>
            </w:r>
          </w:p>
        </w:tc>
      </w:tr>
      <w:tr>
        <w:tc>
          <w:tcPr/>
          <w:p>
            <w:pPr>
              <w:pStyle w:val="Compact"/>
              <w:jc w:val="left"/>
            </w:pPr>
            <w:r>
              <w:t xml:space="preserve">research-microsoft</w:t>
            </w:r>
          </w:p>
        </w:tc>
        <w:tc>
          <w:tcPr/>
          <w:p>
            <w:pPr>
              <w:pStyle w:val="Compact"/>
              <w:jc w:val="left"/>
            </w:pPr>
            <w:r>
              <w:t xml:space="preserve">Microsoft PPM + Copilot competitive entry</w:t>
            </w:r>
          </w:p>
        </w:tc>
        <w:tc>
          <w:tcPr/>
          <w:p>
            <w:pPr>
              <w:pStyle w:val="Compact"/>
              <w:jc w:val="left"/>
            </w:pPr>
            <w:r>
              <w:rPr>
                <w:rStyle w:val="VerbatimChar"/>
              </w:rPr>
              <w:t xml:space="preserve">staging/microsoft-competitive-entry.md</w:t>
            </w:r>
            <w:r>
              <w:t xml:space="preserve"> </w:t>
            </w:r>
            <w:r>
              <w:t xml:space="preserve">(19KB)</w:t>
            </w:r>
          </w:p>
        </w:tc>
      </w:tr>
      <w:tr>
        <w:tc>
          <w:tcPr/>
          <w:p>
            <w:pPr>
              <w:pStyle w:val="Compact"/>
              <w:jc w:val="left"/>
            </w:pPr>
            <w:r>
              <w:t xml:space="preserve">refine-definition</w:t>
            </w:r>
          </w:p>
        </w:tc>
        <w:tc>
          <w:tcPr/>
          <w:p>
            <w:pPr>
              <w:pStyle w:val="Compact"/>
              <w:jc w:val="left"/>
            </w:pPr>
            <w:r>
              <w:t xml:space="preserve">Tighten</w:t>
            </w:r>
            <w:r>
              <w:t xml:space="preserve"> </w:t>
            </w:r>
            <w:r>
              <w:t xml:space="preserve">“</w:t>
            </w:r>
            <w:r>
              <w:t xml:space="preserve">Meeting-to-Governance Traceability</w:t>
            </w:r>
            <w:r>
              <w:t xml:space="preserve">”</w:t>
            </w:r>
            <w:r>
              <w:t xml:space="preserve"> </w:t>
            </w:r>
            <w:r>
              <w:t xml:space="preserve">definition</w:t>
            </w:r>
          </w:p>
        </w:tc>
        <w:tc>
          <w:tcPr/>
          <w:p>
            <w:pPr>
              <w:pStyle w:val="Compact"/>
              <w:jc w:val="left"/>
            </w:pPr>
            <w:r>
              <w:rPr>
                <w:rStyle w:val="VerbatimChar"/>
              </w:rPr>
              <w:t xml:space="preserve">staging/refined-definition-sections.md</w:t>
            </w:r>
            <w:r>
              <w:t xml:space="preserve"> </w:t>
            </w:r>
            <w:r>
              <w:t xml:space="preserve">(8KB)</w:t>
            </w:r>
          </w:p>
        </w:tc>
      </w:tr>
      <w:tr>
        <w:tc>
          <w:tcPr/>
          <w:p>
            <w:pPr>
              <w:pStyle w:val="Compact"/>
              <w:jc w:val="left"/>
            </w:pPr>
            <w:r>
              <w:t xml:space="preserve">sam-sensitivity</w:t>
            </w:r>
          </w:p>
        </w:tc>
        <w:tc>
          <w:tcPr/>
          <w:p>
            <w:pPr>
              <w:pStyle w:val="Compact"/>
              <w:jc w:val="left"/>
            </w:pPr>
            <w:r>
              <w:t xml:space="preserve">10-scenario SAM sensitivity analysis</w:t>
            </w:r>
          </w:p>
        </w:tc>
        <w:tc>
          <w:tcPr/>
          <w:p>
            <w:pPr>
              <w:pStyle w:val="Compact"/>
              <w:jc w:val="left"/>
            </w:pPr>
            <w:r>
              <w:rPr>
                <w:rStyle w:val="VerbatimChar"/>
              </w:rPr>
              <w:t xml:space="preserve">staging/sam-sensitivity.md</w:t>
            </w:r>
            <w:r>
              <w:t xml:space="preserve"> </w:t>
            </w:r>
            <w:r>
              <w:t xml:space="preserve">(6KB)</w:t>
            </w:r>
          </w:p>
        </w:tc>
      </w:tr>
      <w:tr>
        <w:tc>
          <w:tcPr/>
          <w:p>
            <w:pPr>
              <w:pStyle w:val="Compact"/>
              <w:jc w:val="left"/>
            </w:pPr>
            <w:r>
              <w:t xml:space="preserve">currency-fix</w:t>
            </w:r>
          </w:p>
        </w:tc>
        <w:tc>
          <w:tcPr/>
          <w:p>
            <w:pPr>
              <w:pStyle w:val="Compact"/>
              <w:jc w:val="left"/>
            </w:pPr>
            <w:r>
              <w:t xml:space="preserve">GBP standardisation (9 specific changes)</w:t>
            </w:r>
          </w:p>
        </w:tc>
        <w:tc>
          <w:tcPr/>
          <w:p>
            <w:pPr>
              <w:pStyle w:val="Compact"/>
              <w:jc w:val="left"/>
            </w:pPr>
            <w:r>
              <w:rPr>
                <w:rStyle w:val="VerbatimChar"/>
              </w:rPr>
              <w:t xml:space="preserve">staging/currency-fixes.md</w:t>
            </w:r>
            <w:r>
              <w:t xml:space="preserve"> </w:t>
            </w:r>
            <w:r>
              <w:t xml:space="preserve">(6KB)</w:t>
            </w:r>
          </w:p>
        </w:tc>
      </w:tr>
      <w:tr>
        <w:tc>
          <w:tcPr/>
          <w:p>
            <w:pPr>
              <w:pStyle w:val="Compact"/>
              <w:jc w:val="left"/>
            </w:pPr>
            <w:r>
              <w:t xml:space="preserve">citations-appendix</w:t>
            </w:r>
          </w:p>
        </w:tc>
        <w:tc>
          <w:tcPr/>
          <w:p>
            <w:pPr>
              <w:pStyle w:val="Compact"/>
              <w:jc w:val="left"/>
            </w:pPr>
            <w:r>
              <w:t xml:space="preserve">20 key citations with URLs and reliability ratings</w:t>
            </w:r>
          </w:p>
        </w:tc>
        <w:tc>
          <w:tcPr/>
          <w:p>
            <w:pPr>
              <w:pStyle w:val="Compact"/>
              <w:jc w:val="left"/>
            </w:pPr>
            <w:r>
              <w:rPr>
                <w:rStyle w:val="VerbatimChar"/>
              </w:rPr>
              <w:t xml:space="preserve">staging/citations-appendix.md</w:t>
            </w:r>
            <w:r>
              <w:t xml:space="preserve"> </w:t>
            </w:r>
            <w:r>
              <w:t xml:space="preserve">(10KB)</w:t>
            </w:r>
          </w:p>
        </w:tc>
      </w:tr>
    </w:tbl>
    <w:p>
      <w:pPr>
        <w:pStyle w:val="BodyText"/>
      </w:pPr>
      <w:r>
        <w:rPr>
          <w:bCs/>
          <w:b/>
        </w:rPr>
        <w:t xml:space="preserve">Output:</w:t>
      </w:r>
      <w:r>
        <w:t xml:space="preserve"> </w:t>
      </w:r>
      <w:r>
        <w:t xml:space="preserve">market-validation-v3.md — graded</w:t>
      </w:r>
      <w:r>
        <w:t xml:space="preserve"> </w:t>
      </w:r>
      <w:r>
        <w:rPr>
          <w:bCs/>
          <w:b/>
        </w:rPr>
        <w:t xml:space="preserve">A-</w:t>
      </w:r>
      <w:r>
        <w:t xml:space="preserve"> </w:t>
      </w:r>
      <w:r>
        <w:t xml:space="preserve">by external reviewer.</w:t>
      </w:r>
    </w:p>
    <w:bookmarkEnd w:id="48"/>
    <w:bookmarkStart w:id="49" w:name="Xb0026d87fe950160757f6833a8ed5bef72c7572"/>
    <w:p>
      <w:pPr>
        <w:pStyle w:val="Heading3"/>
      </w:pPr>
      <w:r>
        <w:t xml:space="preserve">Round 3 — Final Refinements (31 January 2026, PM)</w:t>
      </w:r>
    </w:p>
    <w:tbl>
      <w:tblPr>
        <w:tblStyle w:val="Table"/>
        <w:tblW w:type="pct" w:w="5000"/>
        <w:tblLook w:firstRow="1" w:lastRow="0" w:firstColumn="0" w:lastColumn="0" w:noHBand="0" w:noVBand="0" w:val="0020"/>
        <w:jc w:val="start"/>
      </w:tblPr>
      <w:tblGrid>
        <w:gridCol w:w="2640"/>
        <w:gridCol w:w="2262"/>
        <w:gridCol w:w="3017"/>
      </w:tblGrid>
      <w:tr>
        <w:trPr>
          <w:tblHeader w:val="true"/>
        </w:trPr>
        <w:tc>
          <w:tcPr/>
          <w:p>
            <w:pPr>
              <w:pStyle w:val="Compact"/>
              <w:jc w:val="left"/>
            </w:pPr>
            <w:r>
              <w:t xml:space="preserve">Agent</w:t>
            </w:r>
          </w:p>
        </w:tc>
        <w:tc>
          <w:tcPr/>
          <w:p>
            <w:pPr>
              <w:pStyle w:val="Compact"/>
              <w:jc w:val="left"/>
            </w:pPr>
            <w:r>
              <w:t xml:space="preserve">Task</w:t>
            </w:r>
          </w:p>
        </w:tc>
        <w:tc>
          <w:tcPr/>
          <w:p>
            <w:pPr>
              <w:pStyle w:val="Compact"/>
              <w:jc w:val="left"/>
            </w:pPr>
            <w:r>
              <w:t xml:space="preserve">Output</w:t>
            </w:r>
          </w:p>
        </w:tc>
      </w:tr>
      <w:tr>
        <w:tc>
          <w:tcPr/>
          <w:p>
            <w:pPr>
              <w:pStyle w:val="Compact"/>
              <w:jc w:val="left"/>
            </w:pPr>
            <w:r>
              <w:t xml:space="preserve">research-meeting-ai-threat</w:t>
            </w:r>
          </w:p>
        </w:tc>
        <w:tc>
          <w:tcPr/>
          <w:p>
            <w:pPr>
              <w:pStyle w:val="Compact"/>
              <w:jc w:val="left"/>
            </w:pPr>
            <w:r>
              <w:t xml:space="preserve">Otter/Fireflies/Fathom deep threat assessment</w:t>
            </w:r>
          </w:p>
        </w:tc>
        <w:tc>
          <w:tcPr/>
          <w:p>
            <w:pPr>
              <w:pStyle w:val="Compact"/>
              <w:jc w:val="left"/>
            </w:pPr>
            <w:r>
              <w:rPr>
                <w:rStyle w:val="VerbatimChar"/>
              </w:rPr>
              <w:t xml:space="preserve">staging/meeting-ai-threat-assessment.md</w:t>
            </w:r>
            <w:r>
              <w:t xml:space="preserve"> </w:t>
            </w:r>
            <w:r>
              <w:t xml:space="preserve">(23KB)</w:t>
            </w:r>
          </w:p>
        </w:tc>
      </w:tr>
    </w:tbl>
    <w:p>
      <w:pPr>
        <w:pStyle w:val="BodyText"/>
      </w:pPr>
      <w:r>
        <w:rPr>
          <w:bCs/>
          <w:b/>
        </w:rPr>
        <w:t xml:space="preserve">Output:</w:t>
      </w:r>
      <w:r>
        <w:t xml:space="preserve"> </w:t>
      </w:r>
      <w:r>
        <w:t xml:space="preserve">market-validation-v3.1.md (this document).</w:t>
      </w:r>
    </w:p>
    <w:bookmarkEnd w:id="49"/>
    <w:bookmarkStart w:id="50" w:name="summary"/>
    <w:p>
      <w:pPr>
        <w:pStyle w:val="Heading3"/>
      </w:pPr>
      <w:r>
        <w:t xml:space="preserve">Summary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Count</w:t>
            </w:r>
          </w:p>
        </w:tc>
      </w:tr>
      <w:tr>
        <w:tc>
          <w:tcPr/>
          <w:p>
            <w:pPr>
              <w:pStyle w:val="Compact"/>
              <w:jc w:val="left"/>
            </w:pPr>
            <w:r>
              <w:t xml:space="preserve">Research sub-agents dispatched</w:t>
            </w:r>
          </w:p>
        </w:tc>
        <w:tc>
          <w:tcPr/>
          <w:p>
            <w:pPr>
              <w:pStyle w:val="Compact"/>
              <w:jc w:val="left"/>
            </w:pPr>
            <w:r>
              <w:t xml:space="preserve">12</w:t>
            </w:r>
          </w:p>
        </w:tc>
      </w:tr>
      <w:tr>
        <w:tc>
          <w:tcPr/>
          <w:p>
            <w:pPr>
              <w:pStyle w:val="Compact"/>
              <w:jc w:val="left"/>
            </w:pPr>
            <w:r>
              <w:t xml:space="preserve">Unique sources cited</w:t>
            </w:r>
          </w:p>
        </w:tc>
        <w:tc>
          <w:tcPr/>
          <w:p>
            <w:pPr>
              <w:pStyle w:val="Compact"/>
              <w:jc w:val="left"/>
            </w:pPr>
            <w:r>
              <w:t xml:space="preserve">100+</w:t>
            </w:r>
          </w:p>
        </w:tc>
      </w:tr>
      <w:tr>
        <w:tc>
          <w:tcPr/>
          <w:p>
            <w:pPr>
              <w:pStyle w:val="Compact"/>
              <w:jc w:val="left"/>
            </w:pPr>
            <w:r>
              <w:t xml:space="preserve">Vendors analysed</w:t>
            </w:r>
          </w:p>
        </w:tc>
        <w:tc>
          <w:tcPr/>
          <w:p>
            <w:pPr>
              <w:pStyle w:val="Compact"/>
              <w:jc w:val="left"/>
            </w:pPr>
            <w:r>
              <w:t xml:space="preserve">16 PPM + 3 standalone meeting AI</w:t>
            </w:r>
          </w:p>
        </w:tc>
      </w:tr>
      <w:tr>
        <w:tc>
          <w:tcPr/>
          <w:p>
            <w:pPr>
              <w:pStyle w:val="Compact"/>
              <w:jc w:val="left"/>
            </w:pPr>
            <w:r>
              <w:t xml:space="preserve">Industry surveys referenced</w:t>
            </w:r>
          </w:p>
        </w:tc>
        <w:tc>
          <w:tcPr/>
          <w:p>
            <w:pPr>
              <w:pStyle w:val="Compact"/>
              <w:jc w:val="left"/>
            </w:pPr>
            <w:r>
              <w:t xml:space="preserve">6</w:t>
            </w:r>
          </w:p>
        </w:tc>
      </w:tr>
      <w:tr>
        <w:tc>
          <w:tcPr/>
          <w:p>
            <w:pPr>
              <w:pStyle w:val="Compact"/>
              <w:jc w:val="left"/>
            </w:pPr>
            <w:r>
              <w:t xml:space="preserve">User complaints sourced</w:t>
            </w:r>
          </w:p>
        </w:tc>
        <w:tc>
          <w:tcPr/>
          <w:p>
            <w:pPr>
              <w:pStyle w:val="Compact"/>
              <w:jc w:val="left"/>
            </w:pPr>
            <w:r>
              <w:t xml:space="preserve">40</w:t>
            </w:r>
          </w:p>
        </w:tc>
      </w:tr>
      <w:tr>
        <w:tc>
          <w:tcPr/>
          <w:p>
            <w:pPr>
              <w:pStyle w:val="Compact"/>
              <w:jc w:val="left"/>
            </w:pPr>
            <w:r>
              <w:t xml:space="preserve">External reviews</w:t>
            </w:r>
          </w:p>
        </w:tc>
        <w:tc>
          <w:tcPr/>
          <w:p>
            <w:pPr>
              <w:pStyle w:val="Compact"/>
              <w:jc w:val="left"/>
            </w:pPr>
            <w:r>
              <w:t xml:space="preserve">3 (C+ → B+ → A-)</w:t>
            </w:r>
          </w:p>
        </w:tc>
      </w:tr>
      <w:tr>
        <w:tc>
          <w:tcPr/>
          <w:p>
            <w:pPr>
              <w:pStyle w:val="Compact"/>
              <w:jc w:val="left"/>
            </w:pPr>
            <w:r>
              <w:t xml:space="preserve">Total research output</w:t>
            </w:r>
          </w:p>
        </w:tc>
        <w:tc>
          <w:tcPr/>
          <w:p>
            <w:pPr>
              <w:pStyle w:val="Compact"/>
              <w:jc w:val="left"/>
            </w:pPr>
            <w:r>
              <w:t xml:space="preserve">~220KB across 11 specialist documents</w:t>
            </w:r>
          </w:p>
        </w:tc>
      </w:tr>
      <w:tr>
        <w:tc>
          <w:tcPr/>
          <w:p>
            <w:pPr>
              <w:pStyle w:val="Compact"/>
              <w:jc w:val="left"/>
            </w:pPr>
            <w:r>
              <w:t xml:space="preserve">Calendar time</w:t>
            </w:r>
          </w:p>
        </w:tc>
        <w:tc>
          <w:tcPr/>
          <w:p>
            <w:pPr>
              <w:pStyle w:val="Compact"/>
              <w:jc w:val="left"/>
            </w:pPr>
            <w:r>
              <w:t xml:space="preserve">~48 hours (30–31 January 2026)</w:t>
            </w:r>
          </w:p>
        </w:tc>
      </w:tr>
    </w:tbl>
    <w:bookmarkEnd w:id="50"/>
    <w:bookmarkStart w:id="51" w:name="what-this-research-does-not-include"/>
    <w:p>
      <w:pPr>
        <w:pStyle w:val="Heading3"/>
      </w:pPr>
      <w:r>
        <w:t xml:space="preserve">What This Research Does NOT Include</w:t>
      </w:r>
    </w:p>
    <w:tbl>
      <w:tblPr>
        <w:tblStyle w:val="Table"/>
        <w:tblW w:type="pct" w:w="5000"/>
        <w:tblLook w:firstRow="1" w:lastRow="0" w:firstColumn="0" w:lastColumn="0" w:noHBand="0" w:noVBand="0" w:val="0020"/>
        <w:jc w:val="start"/>
      </w:tblPr>
      <w:tblGrid>
        <w:gridCol w:w="1584"/>
        <w:gridCol w:w="1584"/>
        <w:gridCol w:w="4752"/>
      </w:tblGrid>
      <w:tr>
        <w:trPr>
          <w:tblHeader w:val="true"/>
        </w:trPr>
        <w:tc>
          <w:tcPr/>
          <w:p>
            <w:pPr>
              <w:pStyle w:val="Compact"/>
              <w:jc w:val="left"/>
            </w:pPr>
            <w:r>
              <w:t xml:space="preserve">Gap</w:t>
            </w:r>
          </w:p>
        </w:tc>
        <w:tc>
          <w:tcPr/>
          <w:p>
            <w:pPr>
              <w:pStyle w:val="Compact"/>
              <w:jc w:val="left"/>
            </w:pPr>
            <w:r>
              <w:t xml:space="preserve">Why</w:t>
            </w:r>
          </w:p>
        </w:tc>
        <w:tc>
          <w:tcPr/>
          <w:p>
            <w:pPr>
              <w:pStyle w:val="Compact"/>
              <w:jc w:val="left"/>
            </w:pPr>
            <w:r>
              <w:t xml:space="preserve">Path to Close</w:t>
            </w:r>
          </w:p>
        </w:tc>
      </w:tr>
      <w:tr>
        <w:tc>
          <w:tcPr/>
          <w:p>
            <w:pPr>
              <w:pStyle w:val="Compact"/>
              <w:jc w:val="left"/>
            </w:pPr>
            <w:r>
              <w:t xml:space="preserve">Primary customer interviews</w:t>
            </w:r>
          </w:p>
        </w:tc>
        <w:tc>
          <w:tcPr/>
          <w:p>
            <w:pPr>
              <w:pStyle w:val="Compact"/>
              <w:jc w:val="left"/>
            </w:pPr>
            <w:r>
              <w:t xml:space="preserve">Desk research phase only</w:t>
            </w:r>
          </w:p>
        </w:tc>
        <w:tc>
          <w:tcPr/>
          <w:p>
            <w:pPr>
              <w:pStyle w:val="Compact"/>
              <w:jc w:val="left"/>
            </w:pPr>
            <w:r>
              <w:t xml:space="preserve">LinkedIn polls (w/c 3 Feb) → discovery interviews (Feb–Mar)</w:t>
            </w:r>
          </w:p>
        </w:tc>
      </w:tr>
      <w:tr>
        <w:tc>
          <w:tcPr/>
          <w:p>
            <w:pPr>
              <w:pStyle w:val="Compact"/>
              <w:jc w:val="left"/>
            </w:pPr>
            <w:r>
              <w:t xml:space="preserve">IoM beachhead validation</w:t>
            </w:r>
          </w:p>
        </w:tc>
        <w:tc>
          <w:tcPr/>
          <w:p>
            <w:pPr>
              <w:pStyle w:val="Compact"/>
              <w:jc w:val="left"/>
            </w:pPr>
            <w:r>
              <w:t xml:space="preserve">IOMFSA register not yet pulled</w:t>
            </w:r>
          </w:p>
        </w:tc>
        <w:tc>
          <w:tcPr/>
          <w:p>
            <w:pPr>
              <w:pStyle w:val="Compact"/>
              <w:jc w:val="left"/>
            </w:pPr>
            <w:r>
              <w:t xml:space="preserve">Desk research, ~1 week</w:t>
            </w:r>
          </w:p>
        </w:tc>
      </w:tr>
      <w:tr>
        <w:tc>
          <w:tcPr/>
          <w:p>
            <w:pPr>
              <w:pStyle w:val="Compact"/>
              <w:jc w:val="left"/>
            </w:pPr>
            <w:r>
              <w:t xml:space="preserve">Willingness-to-pay data</w:t>
            </w:r>
          </w:p>
        </w:tc>
        <w:tc>
          <w:tcPr/>
          <w:p>
            <w:pPr>
              <w:pStyle w:val="Compact"/>
              <w:jc w:val="left"/>
            </w:pPr>
            <w:r>
              <w:t xml:space="preserve">Requires direct market contact</w:t>
            </w:r>
          </w:p>
        </w:tc>
        <w:tc>
          <w:tcPr/>
          <w:p>
            <w:pPr>
              <w:pStyle w:val="Compact"/>
              <w:jc w:val="left"/>
            </w:pPr>
            <w:r>
              <w:t xml:space="preserve">Van Westendorp in discovery interviews</w:t>
            </w:r>
          </w:p>
        </w:tc>
      </w:tr>
      <w:tr>
        <w:tc>
          <w:tcPr/>
          <w:p>
            <w:pPr>
              <w:pStyle w:val="Compact"/>
              <w:jc w:val="left"/>
            </w:pPr>
            <w:r>
              <w:t xml:space="preserve">Competitor product demos</w:t>
            </w:r>
          </w:p>
        </w:tc>
        <w:tc>
          <w:tcPr/>
          <w:p>
            <w:pPr>
              <w:pStyle w:val="Compact"/>
              <w:jc w:val="left"/>
            </w:pPr>
            <w:r>
              <w:t xml:space="preserve">Time-intensive, low priority at this stage</w:t>
            </w:r>
          </w:p>
        </w:tc>
        <w:tc>
          <w:tcPr/>
          <w:p>
            <w:pPr>
              <w:pStyle w:val="Compact"/>
              <w:jc w:val="left"/>
            </w:pPr>
            <w:r>
              <w:t xml:space="preserve">Schedule after initial validation</w:t>
            </w:r>
          </w:p>
        </w:tc>
      </w:tr>
    </w:tbl>
    <w:p>
      <w:r>
        <w:pict>
          <v:rect style="width:0;height:1.5pt" o:hralign="center" o:hrstd="t" o:hr="t"/>
        </w:pict>
      </w:r>
    </w:p>
    <w:bookmarkEnd w:id="51"/>
    <w:bookmarkEnd w:id="52"/>
    <w:bookmarkStart w:id="53" w:name="appendix-key-citations"/>
    <w:p>
      <w:pPr>
        <w:pStyle w:val="Heading2"/>
      </w:pPr>
      <w:r>
        <w:t xml:space="preserve">8. Appendix: Key Citations</w:t>
      </w:r>
    </w:p>
    <w:tbl>
      <w:tblPr>
        <w:tblStyle w:val="Table"/>
        <w:tblW w:type="pct" w:w="5000"/>
        <w:tblLook w:firstRow="1" w:lastRow="0" w:firstColumn="0" w:lastColumn="0" w:noHBand="0" w:noVBand="0" w:val="0020"/>
        <w:jc w:val="start"/>
      </w:tblPr>
      <w:tblGrid>
        <w:gridCol w:w="660"/>
        <w:gridCol w:w="1540"/>
        <w:gridCol w:w="1760"/>
        <w:gridCol w:w="1100"/>
        <w:gridCol w:w="2860"/>
      </w:tblGrid>
      <w:tr>
        <w:trPr>
          <w:tblHeader w:val="true"/>
        </w:trPr>
        <w:tc>
          <w:tcPr/>
          <w:p>
            <w:pPr>
              <w:pStyle w:val="Compact"/>
              <w:jc w:val="left"/>
            </w:pPr>
            <w:r>
              <w:t xml:space="preserve">#</w:t>
            </w:r>
          </w:p>
        </w:tc>
        <w:tc>
          <w:tcPr/>
          <w:p>
            <w:pPr>
              <w:pStyle w:val="Compact"/>
              <w:jc w:val="left"/>
            </w:pPr>
            <w:r>
              <w:t xml:space="preserve">Claim</w:t>
            </w:r>
          </w:p>
        </w:tc>
        <w:tc>
          <w:tcPr/>
          <w:p>
            <w:pPr>
              <w:pStyle w:val="Compact"/>
              <w:jc w:val="left"/>
            </w:pPr>
            <w:r>
              <w:t xml:space="preserve">Source</w:t>
            </w:r>
          </w:p>
        </w:tc>
        <w:tc>
          <w:tcPr/>
          <w:p>
            <w:pPr>
              <w:pStyle w:val="Compact"/>
              <w:jc w:val="left"/>
            </w:pPr>
            <w:r>
              <w:t xml:space="preserve">URL</w:t>
            </w:r>
          </w:p>
        </w:tc>
        <w:tc>
          <w:tcPr/>
          <w:p>
            <w:pPr>
              <w:pStyle w:val="Compact"/>
              <w:jc w:val="left"/>
            </w:pPr>
            <w:r>
              <w:t xml:space="preserve">Reliability</w:t>
            </w:r>
          </w:p>
        </w:tc>
      </w:tr>
      <w:tr>
        <w:tc>
          <w:tcPr/>
          <w:p>
            <w:pPr>
              <w:pStyle w:val="Compact"/>
              <w:jc w:val="left"/>
            </w:pPr>
            <w:r>
              <w:t xml:space="preserve">1</w:t>
            </w:r>
          </w:p>
        </w:tc>
        <w:tc>
          <w:tcPr/>
          <w:p>
            <w:pPr>
              <w:pStyle w:val="Compact"/>
              <w:jc w:val="left"/>
            </w:pPr>
            <w:r>
              <w:t xml:space="preserve">PPM market ~£5.2B ($6.5B, 2023)</w:t>
            </w:r>
          </w:p>
        </w:tc>
        <w:tc>
          <w:tcPr/>
          <w:p>
            <w:pPr>
              <w:pStyle w:val="Compact"/>
              <w:jc w:val="left"/>
            </w:pPr>
            <w:r>
              <w:t xml:space="preserve">IDC PPM Forecast</w:t>
            </w:r>
          </w:p>
        </w:tc>
        <w:tc>
          <w:tcPr/>
          <w:p>
            <w:pPr>
              <w:pStyle w:val="Compact"/>
              <w:jc w:val="left"/>
            </w:pPr>
            <w:r>
              <w:t xml:space="preserve">https://my.idc.com/getdoc.jsp?containerId=US51141624</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Enterprise 60.30% of spend</w:t>
            </w:r>
          </w:p>
        </w:tc>
        <w:tc>
          <w:tcPr/>
          <w:p>
            <w:pPr>
              <w:pStyle w:val="Compact"/>
              <w:jc w:val="left"/>
            </w:pPr>
            <w:r>
              <w:t xml:space="preserve">Mordor Intelligence PPM</w:t>
            </w:r>
          </w:p>
        </w:tc>
        <w:tc>
          <w:tcPr/>
          <w:p>
            <w:pPr>
              <w:pStyle w:val="Compact"/>
              <w:jc w:val="left"/>
            </w:pPr>
            <w:r>
              <w:t xml:space="preserve">https://www.mordorintelligence.com/industry-reports/project-portfolio-management-market</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Enterprise &gt;61.0% (cross-verify)</w:t>
            </w:r>
          </w:p>
        </w:tc>
        <w:tc>
          <w:tcPr/>
          <w:p>
            <w:pPr>
              <w:pStyle w:val="Compact"/>
              <w:jc w:val="left"/>
            </w:pPr>
            <w:r>
              <w:t xml:space="preserve">Grand View Research PPM</w:t>
            </w:r>
          </w:p>
        </w:tc>
        <w:tc>
          <w:tcPr/>
          <w:p>
            <w:pPr>
              <w:pStyle w:val="Compact"/>
              <w:jc w:val="left"/>
            </w:pPr>
            <w:r>
              <w:t xml:space="preserve">https://www.grandviewresearch.com/press-release/global-project-portfolio-management-ppm-market</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Top 10 vendors = 60.5%</w:t>
            </w:r>
          </w:p>
        </w:tc>
        <w:tc>
          <w:tcPr/>
          <w:p>
            <w:pPr>
              <w:pStyle w:val="Compact"/>
              <w:jc w:val="left"/>
            </w:pPr>
            <w:r>
              <w:t xml:space="preserve">Apps Run The World</w:t>
            </w:r>
          </w:p>
        </w:tc>
        <w:tc>
          <w:tcPr/>
          <w:p>
            <w:pPr>
              <w:pStyle w:val="Compact"/>
              <w:jc w:val="left"/>
            </w:pPr>
            <w:r>
              <w:t xml:space="preserve">https://www.appsruntheworld.com/top-10-project-portfolio-management-software-vendors-and-market-forecast/</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Planview AI — no meeting extraction</w:t>
            </w:r>
          </w:p>
        </w:tc>
        <w:tc>
          <w:tcPr/>
          <w:p>
            <w:pPr>
              <w:pStyle w:val="Compact"/>
              <w:jc w:val="left"/>
            </w:pPr>
            <w:r>
              <w:t xml:space="preserve">Planview AI page</w:t>
            </w:r>
          </w:p>
        </w:tc>
        <w:tc>
          <w:tcPr/>
          <w:p>
            <w:pPr>
              <w:pStyle w:val="Compact"/>
              <w:jc w:val="left"/>
            </w:pPr>
            <w:r>
              <w:t xml:space="preserve">https://www.planview.com/ai/</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ServiceNow — no meeting extraction</w:t>
            </w:r>
          </w:p>
        </w:tc>
        <w:tc>
          <w:tcPr/>
          <w:p>
            <w:pPr>
              <w:pStyle w:val="Compact"/>
              <w:jc w:val="left"/>
            </w:pPr>
            <w:r>
              <w:t xml:space="preserve">ServiceNow Store</w:t>
            </w:r>
          </w:p>
        </w:tc>
        <w:tc>
          <w:tcPr/>
          <w:p>
            <w:pPr>
              <w:pStyle w:val="Compact"/>
              <w:jc w:val="left"/>
            </w:pPr>
            <w:r>
              <w:t xml:space="preserve">https://store.servicenow.com/store/app/5449a7ae1be06a50a85b16db234bcbb2</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Planisware — no meeting extraction</w:t>
            </w:r>
          </w:p>
        </w:tc>
        <w:tc>
          <w:tcPr/>
          <w:p>
            <w:pPr>
              <w:pStyle w:val="Compact"/>
              <w:jc w:val="left"/>
            </w:pPr>
            <w:r>
              <w:t xml:space="preserve">Planisware AI page</w:t>
            </w:r>
          </w:p>
        </w:tc>
        <w:tc>
          <w:tcPr/>
          <w:p>
            <w:pPr>
              <w:pStyle w:val="Compact"/>
              <w:jc w:val="left"/>
            </w:pPr>
            <w:r>
              <w:t xml:space="preserve">https://planisware.com/artificial-intelligence</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Asana — no meeting extraction</w:t>
            </w:r>
          </w:p>
        </w:tc>
        <w:tc>
          <w:tcPr/>
          <w:p>
            <w:pPr>
              <w:pStyle w:val="Compact"/>
              <w:jc w:val="left"/>
            </w:pPr>
            <w:r>
              <w:t xml:space="preserve">Asana AI page</w:t>
            </w:r>
          </w:p>
        </w:tc>
        <w:tc>
          <w:tcPr/>
          <w:p>
            <w:pPr>
              <w:pStyle w:val="Compact"/>
              <w:jc w:val="left"/>
            </w:pPr>
            <w:r>
              <w:t xml:space="preserve">https://asana.com/product/ai</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w:t>
            </w:r>
            <w:r>
              <w:t xml:space="preserve">Main request is RAID logging</w:t>
            </w:r>
            <w:r>
              <w:t xml:space="preserve">”</w:t>
            </w:r>
          </w:p>
        </w:tc>
        <w:tc>
          <w:tcPr/>
          <w:p>
            <w:pPr>
              <w:pStyle w:val="Compact"/>
              <w:jc w:val="left"/>
            </w:pPr>
            <w:r>
              <w:t xml:space="preserve">Reddit r/projectmanagement</w:t>
            </w:r>
          </w:p>
        </w:tc>
        <w:tc>
          <w:tcPr/>
          <w:p>
            <w:pPr>
              <w:pStyle w:val="Compact"/>
              <w:jc w:val="left"/>
            </w:pPr>
            <w:r>
              <w:t xml:space="preserve">https://www.reddit.com/r/projectmanagement/comments/137icht/best_pm_software_available/</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w:t>
            </w:r>
            <w:r>
              <w:t xml:space="preserve">Asana lacks PMO tools</w:t>
            </w:r>
            <w:r>
              <w:t xml:space="preserve">”</w:t>
            </w:r>
          </w:p>
        </w:tc>
        <w:tc>
          <w:tcPr/>
          <w:p>
            <w:pPr>
              <w:pStyle w:val="Compact"/>
              <w:jc w:val="left"/>
            </w:pPr>
            <w:r>
              <w:t xml:space="preserve">Acuity PPM</w:t>
            </w:r>
          </w:p>
        </w:tc>
        <w:tc>
          <w:tcPr/>
          <w:p>
            <w:pPr>
              <w:pStyle w:val="Compact"/>
              <w:jc w:val="left"/>
            </w:pPr>
            <w:r>
              <w:t xml:space="preserve">https://acuityppm.com/asana-for-portfolio-management/</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w:t>
            </w:r>
            <w:r>
              <w:t xml:space="preserve">Managing the tool, not the project</w:t>
            </w:r>
            <w:r>
              <w:t xml:space="preserve">”</w:t>
            </w:r>
          </w:p>
        </w:tc>
        <w:tc>
          <w:tcPr/>
          <w:p>
            <w:pPr>
              <w:pStyle w:val="Compact"/>
              <w:jc w:val="left"/>
            </w:pPr>
            <w:r>
              <w:t xml:space="preserve">Reddit r/projectmanagement</w:t>
            </w:r>
          </w:p>
        </w:tc>
        <w:tc>
          <w:tcPr/>
          <w:p>
            <w:pPr>
              <w:pStyle w:val="Compact"/>
              <w:jc w:val="left"/>
            </w:pPr>
            <w:r>
              <w:t xml:space="preserve">https://www.reddit.com/r/projectmanagement/comments/1njcluo/switched_from_microsoft_project_or_smartsheet/</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Monday.com — compliance gaps</w:t>
            </w:r>
          </w:p>
        </w:tc>
        <w:tc>
          <w:tcPr/>
          <w:p>
            <w:pPr>
              <w:pStyle w:val="Compact"/>
              <w:jc w:val="left"/>
            </w:pPr>
            <w:r>
              <w:t xml:space="preserve">CPO Club</w:t>
            </w:r>
          </w:p>
        </w:tc>
        <w:tc>
          <w:tcPr/>
          <w:p>
            <w:pPr>
              <w:pStyle w:val="Compact"/>
              <w:jc w:val="left"/>
            </w:pPr>
            <w:r>
              <w:t xml:space="preserve">https://cpoclub.com/tools/monday-review/</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Smartsheet — dependencies break</w:t>
            </w:r>
          </w:p>
        </w:tc>
        <w:tc>
          <w:tcPr/>
          <w:p>
            <w:pPr>
              <w:pStyle w:val="Compact"/>
              <w:jc w:val="left"/>
            </w:pPr>
            <w:r>
              <w:t xml:space="preserve">Reddit r/projectmanagement</w:t>
            </w:r>
          </w:p>
        </w:tc>
        <w:tc>
          <w:tcPr/>
          <w:p>
            <w:pPr>
              <w:pStyle w:val="Compact"/>
              <w:jc w:val="left"/>
            </w:pPr>
            <w:r>
              <w:t xml:space="preserve">https://www.reddit.com/r/projectmanagement/comments/1mvadl6/looking_for_a_smartsheet_replacement_enterprise/</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42% spend full day on reports</w:t>
            </w:r>
          </w:p>
        </w:tc>
        <w:tc>
          <w:tcPr/>
          <w:p>
            <w:pPr>
              <w:pStyle w:val="Compact"/>
              <w:jc w:val="left"/>
            </w:pPr>
            <w:r>
              <w:t xml:space="preserve">Wellingtone 2025</w:t>
            </w:r>
          </w:p>
        </w:tc>
        <w:tc>
          <w:tcPr/>
          <w:p>
            <w:pPr>
              <w:pStyle w:val="Compact"/>
              <w:jc w:val="left"/>
            </w:pPr>
            <w:r>
              <w:t xml:space="preserve">https://wellingtone.co.uk/publications/state-of-project-management-research/</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82% have PMO, 37% satisfied</w:t>
            </w:r>
          </w:p>
        </w:tc>
        <w:tc>
          <w:tcPr/>
          <w:p>
            <w:pPr>
              <w:pStyle w:val="Compact"/>
              <w:jc w:val="left"/>
            </w:pPr>
            <w:r>
              <w:t xml:space="preserve">Wellingtone 2025</w:t>
            </w:r>
          </w:p>
        </w:tc>
        <w:tc>
          <w:tcPr/>
          <w:p>
            <w:pPr>
              <w:pStyle w:val="Compact"/>
              <w:jc w:val="left"/>
            </w:pPr>
            <w:r>
              <w:t xml:space="preserve">https://wellingtone.co.uk/publications/state-of-project-management-research/</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PMO investment dropped 57→38%</w:t>
            </w:r>
          </w:p>
        </w:tc>
        <w:tc>
          <w:tcPr/>
          <w:p>
            <w:pPr>
              <w:pStyle w:val="Compact"/>
              <w:jc w:val="left"/>
            </w:pPr>
            <w:r>
              <w:t xml:space="preserve">Wellingtone 2024</w:t>
            </w:r>
          </w:p>
        </w:tc>
        <w:tc>
          <w:tcPr/>
          <w:p>
            <w:pPr>
              <w:pStyle w:val="Compact"/>
              <w:jc w:val="left"/>
            </w:pPr>
            <w:r>
              <w:t xml:space="preserve">https://monday.com/blog/project-management/project-management-statistics/</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82% leaders expect AI; 20% skilled</w:t>
            </w:r>
          </w:p>
        </w:tc>
        <w:tc>
          <w:tcPr/>
          <w:p>
            <w:pPr>
              <w:pStyle w:val="Compact"/>
              <w:jc w:val="left"/>
            </w:pPr>
            <w:r>
              <w:t xml:space="preserve">PMI</w:t>
            </w:r>
          </w:p>
        </w:tc>
        <w:tc>
          <w:tcPr/>
          <w:p>
            <w:pPr>
              <w:pStyle w:val="Compact"/>
              <w:jc w:val="left"/>
            </w:pPr>
            <w:r>
              <w:t xml:space="preserve">https://www.pmi.org/-/media/pmi/documents/public/pdf/learning/thought-leadership/shaping-the-future-of-project-management-with-ai.pdf</w:t>
            </w:r>
          </w:p>
        </w:tc>
        <w:tc>
          <w:tcPr/>
          <w:p>
            <w:pPr>
              <w:pStyle w:val="Compact"/>
              <w:jc w:val="left"/>
            </w:pPr>
            <w:r>
              <w:t xml:space="preserve">⭐⭐⭐⭐⭐</w:t>
            </w:r>
          </w:p>
        </w:tc>
      </w:tr>
      <w:tr>
        <w:tc>
          <w:tcPr/>
          <w:p>
            <w:pPr>
              <w:pStyle w:val="Compact"/>
              <w:jc w:val="left"/>
            </w:pPr>
            <w:r>
              <w:t xml:space="preserve">18</w:t>
            </w:r>
          </w:p>
        </w:tc>
        <w:tc>
          <w:tcPr/>
          <w:p>
            <w:pPr>
              <w:pStyle w:val="Compact"/>
              <w:jc w:val="left"/>
            </w:pPr>
            <w:r>
              <w:t xml:space="preserve">FCA PS21/3 — mandatory governance</w:t>
            </w:r>
          </w:p>
        </w:tc>
        <w:tc>
          <w:tcPr/>
          <w:p>
            <w:pPr>
              <w:pStyle w:val="Compact"/>
              <w:jc w:val="left"/>
            </w:pPr>
            <w:r>
              <w:t xml:space="preserve">FCA</w:t>
            </w:r>
          </w:p>
        </w:tc>
        <w:tc>
          <w:tcPr/>
          <w:p>
            <w:pPr>
              <w:pStyle w:val="Compact"/>
              <w:jc w:val="left"/>
            </w:pPr>
            <w:r>
              <w:t xml:space="preserve">https://www.fca.org.uk/publications/policy-statements/ps21-3-building-operational-resilience</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DORA Article 6 — ICT risk framework</w:t>
            </w:r>
          </w:p>
        </w:tc>
        <w:tc>
          <w:tcPr/>
          <w:p>
            <w:pPr>
              <w:pStyle w:val="Compact"/>
              <w:jc w:val="left"/>
            </w:pPr>
            <w:r>
              <w:t xml:space="preserve">EU DORA</w:t>
            </w:r>
          </w:p>
        </w:tc>
        <w:tc>
          <w:tcPr/>
          <w:p>
            <w:pPr>
              <w:pStyle w:val="Compact"/>
              <w:jc w:val="left"/>
            </w:pPr>
            <w:r>
              <w:t xml:space="preserve">https://www.digital-operational-resilience-act.com/Article_6.html</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LangGraph — 4.2M downloads, Klarna</w:t>
            </w:r>
          </w:p>
        </w:tc>
        <w:tc>
          <w:tcPr/>
          <w:p>
            <w:pPr>
              <w:pStyle w:val="Compact"/>
              <w:jc w:val="left"/>
            </w:pPr>
            <w:r>
              <w:t xml:space="preserve">LangGraph / Firecrawl</w:t>
            </w:r>
          </w:p>
        </w:tc>
        <w:tc>
          <w:tcPr/>
          <w:p>
            <w:pPr>
              <w:pStyle w:val="Compact"/>
              <w:jc w:val="left"/>
            </w:pPr>
            <w:r>
              <w:t xml:space="preserve">https://langchain-ai.github.io/langgraph/case-studies/klarna</w:t>
            </w:r>
          </w:p>
        </w:tc>
        <w:tc>
          <w:tcPr/>
          <w:p>
            <w:pPr>
              <w:pStyle w:val="Compact"/>
              <w:jc w:val="left"/>
            </w:pPr>
            <w:r>
              <w:t xml:space="preserve">⭐⭐⭐</w:t>
            </w:r>
          </w:p>
        </w:tc>
      </w:tr>
      <w:tr>
        <w:tc>
          <w:tcPr/>
          <w:p>
            <w:pPr>
              <w:pStyle w:val="Compact"/>
              <w:jc w:val="left"/>
            </w:pPr>
            <w:r>
              <w:t xml:space="preserve">21</w:t>
            </w:r>
          </w:p>
        </w:tc>
        <w:tc>
          <w:tcPr/>
          <w:p>
            <w:pPr>
              <w:pStyle w:val="Compact"/>
              <w:jc w:val="left"/>
            </w:pPr>
            <w:r>
              <w:t xml:space="preserve">Otter.ai $100M ARR, enterprise suite</w:t>
            </w:r>
          </w:p>
        </w:tc>
        <w:tc>
          <w:tcPr/>
          <w:p>
            <w:pPr>
              <w:pStyle w:val="Compact"/>
              <w:jc w:val="left"/>
            </w:pPr>
            <w:r>
              <w:t xml:space="preserve">Otter.ai blog</w:t>
            </w:r>
          </w:p>
        </w:tc>
        <w:tc>
          <w:tcPr/>
          <w:p>
            <w:pPr>
              <w:pStyle w:val="Compact"/>
              <w:jc w:val="left"/>
            </w:pPr>
            <w:r>
              <w:t xml:space="preserve">https://otter.ai/blog/otter-ai-caps-transformational-2025-with-100m-arr-milestone-industry-first-ai-meeting-agents-and-global-enterprise-expansion</w:t>
            </w:r>
          </w:p>
        </w:tc>
        <w:tc>
          <w:tcPr/>
          <w:p>
            <w:pPr>
              <w:pStyle w:val="Compact"/>
              <w:jc w:val="left"/>
            </w:pPr>
            <w:r>
              <w:t xml:space="preserve">⭐⭐⭐⭐</w:t>
            </w:r>
          </w:p>
        </w:tc>
      </w:tr>
      <w:tr>
        <w:tc>
          <w:tcPr/>
          <w:p>
            <w:pPr>
              <w:pStyle w:val="Compact"/>
              <w:jc w:val="left"/>
            </w:pPr>
            <w:r>
              <w:t xml:space="preserve">22</w:t>
            </w:r>
          </w:p>
        </w:tc>
        <w:tc>
          <w:tcPr/>
          <w:p>
            <w:pPr>
              <w:pStyle w:val="Compact"/>
              <w:jc w:val="left"/>
            </w:pPr>
            <w:r>
              <w:t xml:space="preserve">Fireflies.ai $1B valuation</w:t>
            </w:r>
          </w:p>
        </w:tc>
        <w:tc>
          <w:tcPr/>
          <w:p>
            <w:pPr>
              <w:pStyle w:val="Compact"/>
              <w:jc w:val="left"/>
            </w:pPr>
            <w:r>
              <w:t xml:space="preserve">Fireflies.ai blog</w:t>
            </w:r>
          </w:p>
        </w:tc>
        <w:tc>
          <w:tcPr/>
          <w:p>
            <w:pPr>
              <w:pStyle w:val="Compact"/>
              <w:jc w:val="left"/>
            </w:pPr>
            <w:r>
              <w:t xml:space="preserve">https://fireflies.ai/blog/fireflies-1-billion-valuation/</w:t>
            </w:r>
          </w:p>
        </w:tc>
        <w:tc>
          <w:tcPr/>
          <w:p>
            <w:pPr>
              <w:pStyle w:val="Compact"/>
              <w:jc w:val="left"/>
            </w:pPr>
            <w:r>
              <w:t xml:space="preserve">⭐⭐⭐⭐</w:t>
            </w:r>
          </w:p>
        </w:tc>
      </w:tr>
      <w:tr>
        <w:tc>
          <w:tcPr/>
          <w:p>
            <w:pPr>
              <w:pStyle w:val="Compact"/>
              <w:jc w:val="left"/>
            </w:pPr>
            <w:r>
              <w:t xml:space="preserve">23</w:t>
            </w:r>
          </w:p>
        </w:tc>
        <w:tc>
          <w:tcPr/>
          <w:p>
            <w:pPr>
              <w:pStyle w:val="Compact"/>
              <w:jc w:val="left"/>
            </w:pPr>
            <w:r>
              <w:t xml:space="preserve">Fathom $17M Series A</w:t>
            </w:r>
          </w:p>
        </w:tc>
        <w:tc>
          <w:tcPr/>
          <w:p>
            <w:pPr>
              <w:pStyle w:val="Compact"/>
              <w:jc w:val="left"/>
            </w:pPr>
            <w:r>
              <w:t xml:space="preserve">TechCrunch</w:t>
            </w:r>
          </w:p>
        </w:tc>
        <w:tc>
          <w:tcPr/>
          <w:p>
            <w:pPr>
              <w:pStyle w:val="Compact"/>
              <w:jc w:val="left"/>
            </w:pPr>
            <w:r>
              <w:t xml:space="preserve">https://techcrunch.com/2024/09/19/ai-notetaker-fathom-raises-17m/</w:t>
            </w:r>
          </w:p>
        </w:tc>
        <w:tc>
          <w:tcPr/>
          <w:p>
            <w:pPr>
              <w:pStyle w:val="Compact"/>
              <w:jc w:val="left"/>
            </w:pPr>
            <w:r>
              <w:t xml:space="preserve">⭐⭐⭐⭐</w:t>
            </w:r>
          </w:p>
        </w:tc>
      </w:tr>
    </w:tbl>
    <w:p>
      <w:pPr>
        <w:pStyle w:val="BodyText"/>
      </w:pPr>
      <w:r>
        <w:rPr>
          <w:bCs/>
          <w:b/>
        </w:rPr>
        <w:t xml:space="preserve">Reliability key:</w:t>
      </w:r>
      <w:r>
        <w:t xml:space="preserve"> </w:t>
      </w:r>
      <w:r>
        <w:t xml:space="preserve">⭐⭐⭐⭐⭐ Primary/regulatory source | ⭐⭐⭐⭐ Established research firm | ⭐⭐⭐ Expert review | ⭐⭐ Anecdotal/community</w:t>
      </w:r>
    </w:p>
    <w:p>
      <w:r>
        <w:pict>
          <v:rect style="width:0;height:1.5pt" o:hralign="center" o:hrstd="t" o:hr="t"/>
        </w:pict>
      </w:r>
    </w:p>
    <w:bookmarkEnd w:id="53"/>
    <w:bookmarkStart w:id="54" w:name="source-summary"/>
    <w:p>
      <w:pPr>
        <w:pStyle w:val="Heading2"/>
      </w:pPr>
      <w:r>
        <w:t xml:space="preserve">Source Summary</w:t>
      </w:r>
    </w:p>
    <w:p>
      <w:pPr>
        <w:pStyle w:val="FirstParagraph"/>
      </w:pPr>
      <w:r>
        <w:t xml:space="preserve">This document synthesises 12 specialist research sub-agents across 3 rounds producing:</w:t>
      </w:r>
      <w:r>
        <w:t xml:space="preserve"> </w:t>
      </w:r>
      <w:r>
        <w:t xml:space="preserve">-</w:t>
      </w:r>
      <w:r>
        <w:t xml:space="preserve"> </w:t>
      </w:r>
      <w:r>
        <w:rPr>
          <w:bCs/>
          <w:b/>
        </w:rPr>
        <w:t xml:space="preserve">16 PPM vendor analyses</w:t>
      </w:r>
      <w:r>
        <w:t xml:space="preserve"> </w:t>
      </w:r>
      <w:r>
        <w:t xml:space="preserve">+</w:t>
      </w:r>
      <w:r>
        <w:t xml:space="preserve"> </w:t>
      </w:r>
      <w:r>
        <w:rPr>
          <w:bCs/>
          <w:b/>
        </w:rPr>
        <w:t xml:space="preserve">3 standalone meeting AI analyses</w:t>
      </w:r>
      <w:r>
        <w:t xml:space="preserve"> </w:t>
      </w:r>
      <w:r>
        <w:t xml:space="preserve">across 10+ capabilities</w:t>
      </w:r>
      <w:r>
        <w:t xml:space="preserve"> </w:t>
      </w:r>
      <w:r>
        <w:t xml:space="preserve">-</w:t>
      </w:r>
      <w:r>
        <w:t xml:space="preserve"> </w:t>
      </w:r>
      <w:r>
        <w:rPr>
          <w:bCs/>
          <w:b/>
        </w:rPr>
        <w:t xml:space="preserve">7 market research firms</w:t>
      </w:r>
      <w:r>
        <w:t xml:space="preserve"> </w:t>
      </w:r>
      <w:r>
        <w:t xml:space="preserve">reconciled</w:t>
      </w:r>
      <w:r>
        <w:t xml:space="preserve"> </w:t>
      </w:r>
      <w:r>
        <w:t xml:space="preserve">-</w:t>
      </w:r>
      <w:r>
        <w:t xml:space="preserve"> </w:t>
      </w:r>
      <w:r>
        <w:rPr>
          <w:bCs/>
          <w:b/>
        </w:rPr>
        <w:t xml:space="preserve">6 industry surveys</w:t>
      </w:r>
      <w:r>
        <w:t xml:space="preserve"> </w:t>
      </w:r>
      <w:r>
        <w:t xml:space="preserve">(PMI, Wellingtone, KPMG, Standish, Monday.com, AI adoption)</w:t>
      </w:r>
      <w:r>
        <w:t xml:space="preserve"> </w:t>
      </w:r>
      <w:r>
        <w:t xml:space="preserve">-</w:t>
      </w:r>
      <w:r>
        <w:t xml:space="preserve"> </w:t>
      </w:r>
      <w:r>
        <w:rPr>
          <w:bCs/>
          <w:b/>
        </w:rPr>
        <w:t xml:space="preserve">40 sourced user complaints</w:t>
      </w:r>
      <w:r>
        <w:t xml:space="preserve"> </w:t>
      </w:r>
      <w:r>
        <w:t xml:space="preserve">-</w:t>
      </w:r>
      <w:r>
        <w:t xml:space="preserve"> </w:t>
      </w:r>
      <w:r>
        <w:rPr>
          <w:bCs/>
          <w:b/>
        </w:rPr>
        <w:t xml:space="preserve">5 AI framework evaluations</w:t>
      </w:r>
      <w:r>
        <w:t xml:space="preserve"> </w:t>
      </w:r>
      <w:r>
        <w:t xml:space="preserve">-</w:t>
      </w:r>
      <w:r>
        <w:t xml:space="preserve"> </w:t>
      </w:r>
      <w:r>
        <w:rPr>
          <w:bCs/>
          <w:b/>
        </w:rPr>
        <w:t xml:space="preserve">5 regulatory frameworks</w:t>
      </w:r>
      <w:r>
        <w:t xml:space="preserve"> </w:t>
      </w:r>
      <w:r>
        <w:t xml:space="preserve">assessed</w:t>
      </w:r>
      <w:r>
        <w:t xml:space="preserve"> </w:t>
      </w:r>
      <w:r>
        <w:t xml:space="preserve">-</w:t>
      </w:r>
      <w:r>
        <w:t xml:space="preserve"> </w:t>
      </w:r>
      <w:r>
        <w:rPr>
          <w:bCs/>
          <w:b/>
        </w:rPr>
        <w:t xml:space="preserve">10-scenario SAM sensitivity analysis</w:t>
      </w:r>
      <w:r>
        <w:t xml:space="preserve"> </w:t>
      </w:r>
      <w:r>
        <w:t xml:space="preserve">-</w:t>
      </w:r>
      <w:r>
        <w:t xml:space="preserve"> </w:t>
      </w:r>
      <w:r>
        <w:rPr>
          <w:bCs/>
          <w:b/>
        </w:rPr>
        <w:t xml:space="preserve">23 citations</w:t>
      </w:r>
      <w:r>
        <w:t xml:space="preserve"> </w:t>
      </w:r>
      <w:r>
        <w:t xml:space="preserve">with URLs and reliability ratings</w:t>
      </w:r>
    </w:p>
    <w:p>
      <w:pPr>
        <w:pStyle w:val="BodyText"/>
      </w:pPr>
      <w:r>
        <w:t xml:space="preserve">Full evidence base in</w:t>
      </w:r>
      <w:r>
        <w:t xml:space="preserve"> </w:t>
      </w:r>
      <w:r>
        <w:rPr>
          <w:rStyle w:val="VerbatimChar"/>
        </w:rPr>
        <w:t xml:space="preserve">helm-app/docs/research/</w:t>
      </w:r>
      <w:r>
        <w:t xml:space="preserve">:</w:t>
      </w:r>
      <w:r>
        <w:t xml:space="preserve"> </w:t>
      </w:r>
      <w:r>
        <w:t xml:space="preserve">-</w:t>
      </w:r>
      <w:r>
        <w:t xml:space="preserve"> </w:t>
      </w:r>
      <w:r>
        <w:rPr>
          <w:rStyle w:val="VerbatimChar"/>
        </w:rPr>
        <w:t xml:space="preserve">competitive-intelligence.md</w:t>
      </w:r>
      <w:r>
        <w:t xml:space="preserve"> </w:t>
      </w:r>
      <w:r>
        <w:t xml:space="preserve">(55KB) — 15-vendor deep analysis</w:t>
      </w:r>
      <w:r>
        <w:t xml:space="preserve"> </w:t>
      </w:r>
      <w:r>
        <w:t xml:space="preserve">-</w:t>
      </w:r>
      <w:r>
        <w:t xml:space="preserve"> </w:t>
      </w:r>
      <w:r>
        <w:rPr>
          <w:rStyle w:val="VerbatimChar"/>
        </w:rPr>
        <w:t xml:space="preserve">market-data-verification.md</w:t>
      </w:r>
      <w:r>
        <w:t xml:space="preserve"> </w:t>
      </w:r>
      <w:r>
        <w:t xml:space="preserve">(32KB) — market sizing forensics</w:t>
      </w:r>
      <w:r>
        <w:t xml:space="preserve"> </w:t>
      </w:r>
      <w:r>
        <w:t xml:space="preserve">-</w:t>
      </w:r>
      <w:r>
        <w:t xml:space="preserve"> </w:t>
      </w:r>
      <w:r>
        <w:rPr>
          <w:rStyle w:val="VerbatimChar"/>
        </w:rPr>
        <w:t xml:space="preserve">user-evidence-and-surveys.md</w:t>
      </w:r>
      <w:r>
        <w:t xml:space="preserve"> </w:t>
      </w:r>
      <w:r>
        <w:t xml:space="preserve">(36KB) — complaints + surveys</w:t>
      </w:r>
      <w:r>
        <w:t xml:space="preserve"> </w:t>
      </w:r>
      <w:r>
        <w:t xml:space="preserve">-</w:t>
      </w:r>
      <w:r>
        <w:t xml:space="preserve"> </w:t>
      </w:r>
      <w:r>
        <w:rPr>
          <w:rStyle w:val="VerbatimChar"/>
        </w:rPr>
        <w:t xml:space="preserve">technical-landscape.md</w:t>
      </w:r>
      <w:r>
        <w:t xml:space="preserve"> </w:t>
      </w:r>
      <w:r>
        <w:t xml:space="preserve">(27KB) — framework comparison</w:t>
      </w:r>
      <w:r>
        <w:t xml:space="preserve"> </w:t>
      </w:r>
      <w:r>
        <w:t xml:space="preserve">-</w:t>
      </w:r>
      <w:r>
        <w:t xml:space="preserve"> </w:t>
      </w:r>
      <w:r>
        <w:rPr>
          <w:rStyle w:val="VerbatimChar"/>
        </w:rPr>
        <w:t xml:space="preserve">staging/microsoft-competitive-entry.md</w:t>
      </w:r>
      <w:r>
        <w:t xml:space="preserve"> </w:t>
      </w:r>
      <w:r>
        <w:t xml:space="preserve">(19KB) — Microsoft deep analysis</w:t>
      </w:r>
      <w:r>
        <w:t xml:space="preserve"> </w:t>
      </w:r>
      <w:r>
        <w:t xml:space="preserve">-</w:t>
      </w:r>
      <w:r>
        <w:t xml:space="preserve"> </w:t>
      </w:r>
      <w:r>
        <w:rPr>
          <w:rStyle w:val="VerbatimChar"/>
        </w:rPr>
        <w:t xml:space="preserve">staging/microsoft-threat-assessment.md</w:t>
      </w:r>
      <w:r>
        <w:t xml:space="preserve"> </w:t>
      </w:r>
      <w:r>
        <w:t xml:space="preserve">(17KB) — Microsoft threat assessment</w:t>
      </w:r>
      <w:r>
        <w:t xml:space="preserve"> </w:t>
      </w:r>
      <w:r>
        <w:t xml:space="preserve">-</w:t>
      </w:r>
      <w:r>
        <w:t xml:space="preserve"> </w:t>
      </w:r>
      <w:r>
        <w:rPr>
          <w:rStyle w:val="VerbatimChar"/>
        </w:rPr>
        <w:t xml:space="preserve">staging/meeting-ai-threat-assessment.md</w:t>
      </w:r>
      <w:r>
        <w:t xml:space="preserve"> </w:t>
      </w:r>
      <w:r>
        <w:t xml:space="preserve">(23KB) — Otter/Fireflies/Fathom analysis</w:t>
      </w:r>
    </w:p>
    <w:p>
      <w:r>
        <w:pict>
          <v:rect style="width:0;height:1.5pt" o:hralign="center" o:hrstd="t" o:hr="t"/>
        </w:pict>
      </w:r>
    </w:p>
    <w:p>
      <w:pPr>
        <w:pStyle w:val="FirstParagraph"/>
      </w:pPr>
      <w:r>
        <w:rPr>
          <w:iCs/>
          <w:i/>
        </w:rPr>
        <w:t xml:space="preserve">DRAFT for Bry’s review. Desk research phase is now comprehensive. The path to A is primary validation — LinkedIn polls (w/c 3 Feb) then discovery interviews.</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Helm Market Validation v3.1</dc:title>
  <dc:creator>Silas | Helm Research</dc:creator>
  <cp:keywords/>
  <dcterms:created xsi:type="dcterms:W3CDTF">2026-01-31T14:23:59Z</dcterms:created>
  <dcterms:modified xsi:type="dcterms:W3CDTF">2026-01-31T14:23:59Z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31 January 2026</vt:lpwstr>
  </property>
</Properties>
</file>