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F9B29" w14:textId="531ACBD9" w:rsidR="005565A7" w:rsidRDefault="005565A7" w:rsidP="00327139">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Abstract</w:t>
      </w:r>
    </w:p>
    <w:p w14:paraId="7529D2A8" w14:textId="0F2DEF86" w:rsidR="005565A7" w:rsidRPr="0050555D" w:rsidRDefault="005565A7" w:rsidP="005565A7">
      <w:pPr>
        <w:spacing w:line="240" w:lineRule="auto"/>
        <w:rPr>
          <w:rFonts w:ascii="Times New Roman" w:hAnsi="Times New Roman" w:cs="Times New Roman"/>
          <w:sz w:val="24"/>
          <w:szCs w:val="24"/>
        </w:rPr>
      </w:pPr>
      <w:r>
        <w:rPr>
          <w:rFonts w:ascii="Times New Roman" w:hAnsi="Times New Roman" w:cs="Times New Roman"/>
          <w:sz w:val="24"/>
          <w:szCs w:val="24"/>
        </w:rPr>
        <w:tab/>
      </w:r>
      <w:r w:rsidRPr="0050555D">
        <w:rPr>
          <w:rFonts w:ascii="Times New Roman" w:hAnsi="Times New Roman" w:cs="Times New Roman"/>
          <w:sz w:val="24"/>
          <w:szCs w:val="24"/>
        </w:rPr>
        <w:t xml:space="preserve">The goals of this report are to analyze and present </w:t>
      </w:r>
      <w:r w:rsidRPr="0050555D">
        <w:rPr>
          <w:rFonts w:ascii="Times New Roman" w:hAnsi="Times New Roman" w:cs="Times New Roman"/>
          <w:sz w:val="24"/>
          <w:szCs w:val="24"/>
        </w:rPr>
        <w:t>how the</w:t>
      </w:r>
      <w:r w:rsidRPr="0050555D">
        <w:rPr>
          <w:rFonts w:ascii="Times New Roman" w:hAnsi="Times New Roman" w:cs="Times New Roman"/>
          <w:sz w:val="24"/>
          <w:szCs w:val="24"/>
        </w:rPr>
        <w:t xml:space="preserve"> COVID-19 pandemic </w:t>
      </w:r>
      <w:r w:rsidR="0050555D" w:rsidRPr="0050555D">
        <w:rPr>
          <w:rFonts w:ascii="Times New Roman" w:hAnsi="Times New Roman" w:cs="Times New Roman"/>
          <w:sz w:val="24"/>
          <w:szCs w:val="24"/>
        </w:rPr>
        <w:t>affected</w:t>
      </w:r>
      <w:r w:rsidRPr="0050555D">
        <w:rPr>
          <w:rFonts w:ascii="Times New Roman" w:hAnsi="Times New Roman" w:cs="Times New Roman"/>
          <w:sz w:val="24"/>
          <w:szCs w:val="24"/>
        </w:rPr>
        <w:t xml:space="preserve"> K-12 education in the United States. </w:t>
      </w:r>
      <w:r w:rsidRPr="0050555D">
        <w:rPr>
          <w:rFonts w:ascii="Times New Roman" w:hAnsi="Times New Roman" w:cs="Times New Roman"/>
          <w:sz w:val="24"/>
          <w:szCs w:val="24"/>
        </w:rPr>
        <w:t>Utilizing</w:t>
      </w:r>
      <w:r w:rsidRPr="0050555D">
        <w:rPr>
          <w:rFonts w:ascii="Times New Roman" w:hAnsi="Times New Roman" w:cs="Times New Roman"/>
          <w:sz w:val="24"/>
          <w:szCs w:val="24"/>
        </w:rPr>
        <w:t xml:space="preserve"> data-driven insights and visualizations,</w:t>
      </w:r>
      <w:r w:rsidR="0050555D" w:rsidRPr="0050555D">
        <w:rPr>
          <w:rFonts w:ascii="Times New Roman" w:hAnsi="Times New Roman" w:cs="Times New Roman"/>
          <w:sz w:val="24"/>
          <w:szCs w:val="24"/>
        </w:rPr>
        <w:t xml:space="preserve"> </w:t>
      </w:r>
      <w:r w:rsidR="0050555D" w:rsidRPr="0050555D">
        <w:rPr>
          <w:rFonts w:ascii="Times New Roman" w:hAnsi="Times New Roman" w:cs="Times New Roman"/>
          <w:color w:val="0D0D0D"/>
          <w:sz w:val="24"/>
          <w:szCs w:val="24"/>
          <w:shd w:val="clear" w:color="auto" w:fill="FFFFFF"/>
        </w:rPr>
        <w:t>we'll showcase the main challenges faced by students and teachers due to the pandemic. We'll also pinpoint key areas needing improvement to make the education system stronger in the future.</w:t>
      </w:r>
    </w:p>
    <w:p w14:paraId="24B7EBD9" w14:textId="394BFB97" w:rsidR="00AC6677" w:rsidRPr="00290962" w:rsidRDefault="00327139" w:rsidP="00327139">
      <w:pPr>
        <w:spacing w:line="240" w:lineRule="auto"/>
        <w:jc w:val="center"/>
        <w:rPr>
          <w:rFonts w:ascii="Times New Roman" w:hAnsi="Times New Roman" w:cs="Times New Roman"/>
          <w:i/>
          <w:iCs/>
          <w:sz w:val="24"/>
          <w:szCs w:val="24"/>
        </w:rPr>
      </w:pPr>
      <w:r w:rsidRPr="00290962">
        <w:rPr>
          <w:rFonts w:ascii="Times New Roman" w:hAnsi="Times New Roman" w:cs="Times New Roman"/>
          <w:i/>
          <w:iCs/>
          <w:sz w:val="24"/>
          <w:szCs w:val="24"/>
        </w:rPr>
        <w:t>Introduction</w:t>
      </w:r>
      <w:r w:rsidR="00290962" w:rsidRPr="00290962">
        <w:rPr>
          <w:rFonts w:ascii="Times New Roman" w:hAnsi="Times New Roman" w:cs="Times New Roman"/>
          <w:i/>
          <w:iCs/>
          <w:sz w:val="24"/>
          <w:szCs w:val="24"/>
        </w:rPr>
        <w:t>: Hypothesis</w:t>
      </w:r>
    </w:p>
    <w:p w14:paraId="5AEB4457" w14:textId="77777777" w:rsidR="00290962" w:rsidRPr="00290962" w:rsidRDefault="00327139" w:rsidP="00327139">
      <w:pPr>
        <w:spacing w:line="240" w:lineRule="auto"/>
        <w:rPr>
          <w:rFonts w:ascii="Times New Roman" w:hAnsi="Times New Roman" w:cs="Times New Roman"/>
          <w:color w:val="0D0D0D"/>
          <w:sz w:val="24"/>
          <w:szCs w:val="24"/>
          <w:shd w:val="clear" w:color="auto" w:fill="FFFFFF"/>
        </w:rPr>
      </w:pPr>
      <w:r w:rsidRPr="00290962">
        <w:rPr>
          <w:rFonts w:ascii="Times New Roman" w:hAnsi="Times New Roman" w:cs="Times New Roman"/>
          <w:sz w:val="24"/>
          <w:szCs w:val="24"/>
        </w:rPr>
        <w:tab/>
      </w:r>
      <w:r w:rsidRPr="00290962">
        <w:rPr>
          <w:rFonts w:ascii="Times New Roman" w:hAnsi="Times New Roman" w:cs="Times New Roman"/>
          <w:color w:val="0D0D0D"/>
          <w:sz w:val="24"/>
          <w:szCs w:val="24"/>
          <w:shd w:val="clear" w:color="auto" w:fill="FFFFFF"/>
        </w:rPr>
        <w:t>In the wake of the COVID-19 pandemic, the landscape of education in the United States underwent a profound transformation</w:t>
      </w:r>
      <w:r w:rsidRPr="00290962">
        <w:rPr>
          <w:rFonts w:ascii="Times New Roman" w:hAnsi="Times New Roman" w:cs="Times New Roman"/>
          <w:color w:val="0D0D0D"/>
          <w:sz w:val="24"/>
          <w:szCs w:val="24"/>
          <w:shd w:val="clear" w:color="auto" w:fill="FFFFFF"/>
        </w:rPr>
        <w:t>.</w:t>
      </w:r>
      <w:r w:rsidR="004C3067" w:rsidRPr="00290962">
        <w:rPr>
          <w:rFonts w:ascii="Times New Roman" w:hAnsi="Times New Roman" w:cs="Times New Roman"/>
          <w:color w:val="0D0D0D"/>
          <w:sz w:val="24"/>
          <w:szCs w:val="24"/>
          <w:shd w:val="clear" w:color="auto" w:fill="FFFFFF"/>
        </w:rPr>
        <w:t xml:space="preserve"> Months of school closures and reliance on </w:t>
      </w:r>
      <w:r w:rsidRPr="00290962">
        <w:rPr>
          <w:rFonts w:ascii="Times New Roman" w:hAnsi="Times New Roman" w:cs="Times New Roman"/>
          <w:color w:val="0D0D0D"/>
          <w:sz w:val="24"/>
          <w:szCs w:val="24"/>
          <w:shd w:val="clear" w:color="auto" w:fill="FFFFFF"/>
        </w:rPr>
        <w:t xml:space="preserve">hybrid learning </w:t>
      </w:r>
      <w:r w:rsidR="004C3067" w:rsidRPr="00290962">
        <w:rPr>
          <w:rFonts w:ascii="Times New Roman" w:hAnsi="Times New Roman" w:cs="Times New Roman"/>
          <w:color w:val="0D0D0D"/>
          <w:sz w:val="24"/>
          <w:szCs w:val="24"/>
          <w:shd w:val="clear" w:color="auto" w:fill="FFFFFF"/>
        </w:rPr>
        <w:t xml:space="preserve">prompted numerous agencies to collect data on </w:t>
      </w:r>
      <w:r w:rsidR="002F7375" w:rsidRPr="00290962">
        <w:rPr>
          <w:rFonts w:ascii="Times New Roman" w:hAnsi="Times New Roman" w:cs="Times New Roman"/>
          <w:color w:val="0D0D0D"/>
          <w:sz w:val="24"/>
          <w:szCs w:val="24"/>
          <w:shd w:val="clear" w:color="auto" w:fill="FFFFFF"/>
        </w:rPr>
        <w:t>K-12 education</w:t>
      </w:r>
      <w:r w:rsidR="004C3067" w:rsidRPr="00290962">
        <w:rPr>
          <w:rFonts w:ascii="Times New Roman" w:hAnsi="Times New Roman" w:cs="Times New Roman"/>
          <w:color w:val="0D0D0D"/>
          <w:sz w:val="24"/>
          <w:szCs w:val="24"/>
          <w:shd w:val="clear" w:color="auto" w:fill="FFFFFF"/>
        </w:rPr>
        <w:t xml:space="preserve"> during the pandemic. This project sets out to examine this </w:t>
      </w:r>
      <w:r w:rsidR="002F7375" w:rsidRPr="00290962">
        <w:rPr>
          <w:rFonts w:ascii="Times New Roman" w:hAnsi="Times New Roman" w:cs="Times New Roman"/>
          <w:color w:val="0D0D0D"/>
          <w:sz w:val="24"/>
          <w:szCs w:val="24"/>
          <w:shd w:val="clear" w:color="auto" w:fill="FFFFFF"/>
        </w:rPr>
        <w:t>data and</w:t>
      </w:r>
      <w:r w:rsidR="004C3067" w:rsidRPr="00290962">
        <w:rPr>
          <w:rFonts w:ascii="Times New Roman" w:hAnsi="Times New Roman" w:cs="Times New Roman"/>
          <w:color w:val="0D0D0D"/>
          <w:sz w:val="24"/>
          <w:szCs w:val="24"/>
          <w:shd w:val="clear" w:color="auto" w:fill="FFFFFF"/>
        </w:rPr>
        <w:t xml:space="preserve"> expose </w:t>
      </w:r>
      <w:r w:rsidR="002F7375" w:rsidRPr="00290962">
        <w:rPr>
          <w:rFonts w:ascii="Times New Roman" w:hAnsi="Times New Roman" w:cs="Times New Roman"/>
          <w:color w:val="0D0D0D"/>
          <w:sz w:val="24"/>
          <w:szCs w:val="24"/>
          <w:shd w:val="clear" w:color="auto" w:fill="FFFFFF"/>
        </w:rPr>
        <w:t>just how much the</w:t>
      </w:r>
      <w:r w:rsidR="004C3067" w:rsidRPr="00290962">
        <w:rPr>
          <w:rFonts w:ascii="Times New Roman" w:hAnsi="Times New Roman" w:cs="Times New Roman"/>
          <w:color w:val="0D0D0D"/>
          <w:sz w:val="24"/>
          <w:szCs w:val="24"/>
          <w:shd w:val="clear" w:color="auto" w:fill="FFFFFF"/>
        </w:rPr>
        <w:t xml:space="preserve"> </w:t>
      </w:r>
      <w:r w:rsidR="002F7375" w:rsidRPr="00290962">
        <w:rPr>
          <w:rFonts w:ascii="Times New Roman" w:hAnsi="Times New Roman" w:cs="Times New Roman"/>
          <w:color w:val="0D0D0D"/>
          <w:sz w:val="24"/>
          <w:szCs w:val="24"/>
          <w:shd w:val="clear" w:color="auto" w:fill="FFFFFF"/>
        </w:rPr>
        <w:t>US</w:t>
      </w:r>
      <w:r w:rsidR="004C3067" w:rsidRPr="00290962">
        <w:rPr>
          <w:rFonts w:ascii="Times New Roman" w:hAnsi="Times New Roman" w:cs="Times New Roman"/>
          <w:color w:val="0D0D0D"/>
          <w:sz w:val="24"/>
          <w:szCs w:val="24"/>
          <w:shd w:val="clear" w:color="auto" w:fill="FFFFFF"/>
        </w:rPr>
        <w:t xml:space="preserve"> education </w:t>
      </w:r>
      <w:r w:rsidR="002F7375" w:rsidRPr="00290962">
        <w:rPr>
          <w:rFonts w:ascii="Times New Roman" w:hAnsi="Times New Roman" w:cs="Times New Roman"/>
          <w:color w:val="0D0D0D"/>
          <w:sz w:val="24"/>
          <w:szCs w:val="24"/>
          <w:shd w:val="clear" w:color="auto" w:fill="FFFFFF"/>
        </w:rPr>
        <w:t xml:space="preserve">system </w:t>
      </w:r>
      <w:r w:rsidR="004C3067" w:rsidRPr="00290962">
        <w:rPr>
          <w:rFonts w:ascii="Times New Roman" w:hAnsi="Times New Roman" w:cs="Times New Roman"/>
          <w:color w:val="0D0D0D"/>
          <w:sz w:val="24"/>
          <w:szCs w:val="24"/>
          <w:shd w:val="clear" w:color="auto" w:fill="FFFFFF"/>
        </w:rPr>
        <w:t xml:space="preserve">was </w:t>
      </w:r>
      <w:r w:rsidR="002F7375" w:rsidRPr="00290962">
        <w:rPr>
          <w:rFonts w:ascii="Times New Roman" w:hAnsi="Times New Roman" w:cs="Times New Roman"/>
          <w:color w:val="0D0D0D"/>
          <w:sz w:val="24"/>
          <w:szCs w:val="24"/>
          <w:shd w:val="clear" w:color="auto" w:fill="FFFFFF"/>
        </w:rPr>
        <w:t xml:space="preserve">impacted by the events of the last few years. </w:t>
      </w:r>
      <w:r w:rsidR="00AE638D" w:rsidRPr="00290962">
        <w:rPr>
          <w:rFonts w:ascii="Times New Roman" w:hAnsi="Times New Roman" w:cs="Times New Roman"/>
          <w:color w:val="0D0D0D"/>
          <w:sz w:val="24"/>
          <w:szCs w:val="24"/>
          <w:shd w:val="clear" w:color="auto" w:fill="FFFFFF"/>
        </w:rPr>
        <w:t xml:space="preserve">The </w:t>
      </w:r>
      <w:r w:rsidR="002F7375" w:rsidRPr="00290962">
        <w:rPr>
          <w:rFonts w:ascii="Times New Roman" w:hAnsi="Times New Roman" w:cs="Times New Roman"/>
          <w:color w:val="0D0D0D"/>
          <w:sz w:val="24"/>
          <w:szCs w:val="24"/>
          <w:shd w:val="clear" w:color="auto" w:fill="FFFFFF"/>
        </w:rPr>
        <w:t>disruption caused by school closures provokes a hypothesis that suggests a severe decline in US education standards.</w:t>
      </w:r>
      <w:r w:rsidR="00AE638D" w:rsidRPr="00290962">
        <w:rPr>
          <w:rFonts w:ascii="Times New Roman" w:hAnsi="Times New Roman" w:cs="Times New Roman"/>
          <w:color w:val="0D0D0D"/>
          <w:sz w:val="24"/>
          <w:szCs w:val="24"/>
          <w:shd w:val="clear" w:color="auto" w:fill="FFFFFF"/>
        </w:rPr>
        <w:t xml:space="preserve"> This report anticipates the data to show declining student exam scores, uptick in students’ use of technology in classrooms, spikes of teachers quitting, and unfilled teacher vacancies throughout the K-12 education system. </w:t>
      </w:r>
    </w:p>
    <w:p w14:paraId="7303158F" w14:textId="0DA75431" w:rsidR="00290962" w:rsidRPr="00290962" w:rsidRDefault="00290962" w:rsidP="00290962">
      <w:pPr>
        <w:spacing w:line="240" w:lineRule="auto"/>
        <w:jc w:val="center"/>
        <w:rPr>
          <w:rFonts w:ascii="Times New Roman" w:hAnsi="Times New Roman" w:cs="Times New Roman"/>
          <w:i/>
          <w:iCs/>
          <w:color w:val="0D0D0D"/>
          <w:sz w:val="24"/>
          <w:szCs w:val="24"/>
          <w:shd w:val="clear" w:color="auto" w:fill="FFFFFF"/>
        </w:rPr>
      </w:pPr>
      <w:r w:rsidRPr="00290962">
        <w:rPr>
          <w:rFonts w:ascii="Times New Roman" w:hAnsi="Times New Roman" w:cs="Times New Roman"/>
          <w:i/>
          <w:iCs/>
          <w:color w:val="0D0D0D"/>
          <w:sz w:val="24"/>
          <w:szCs w:val="24"/>
          <w:shd w:val="clear" w:color="auto" w:fill="FFFFFF"/>
        </w:rPr>
        <w:t>Sources</w:t>
      </w:r>
      <w:r w:rsidR="001553E5">
        <w:rPr>
          <w:rFonts w:ascii="Times New Roman" w:hAnsi="Times New Roman" w:cs="Times New Roman"/>
          <w:i/>
          <w:iCs/>
          <w:color w:val="0D0D0D"/>
          <w:sz w:val="24"/>
          <w:szCs w:val="24"/>
          <w:shd w:val="clear" w:color="auto" w:fill="FFFFFF"/>
        </w:rPr>
        <w:t>, Related Work</w:t>
      </w:r>
      <w:r w:rsidRPr="00290962">
        <w:rPr>
          <w:rFonts w:ascii="Times New Roman" w:hAnsi="Times New Roman" w:cs="Times New Roman"/>
          <w:i/>
          <w:iCs/>
          <w:color w:val="0D0D0D"/>
          <w:sz w:val="24"/>
          <w:szCs w:val="24"/>
          <w:shd w:val="clear" w:color="auto" w:fill="FFFFFF"/>
        </w:rPr>
        <w:t xml:space="preserve"> and Expectations for Data Visuals</w:t>
      </w:r>
    </w:p>
    <w:p w14:paraId="20694251" w14:textId="1AADFD08" w:rsidR="00327139" w:rsidRPr="0066772A" w:rsidRDefault="00AE638D" w:rsidP="002C3E0B">
      <w:pPr>
        <w:spacing w:line="240" w:lineRule="auto"/>
        <w:ind w:firstLine="720"/>
        <w:rPr>
          <w:rFonts w:ascii="Times New Roman" w:hAnsi="Times New Roman" w:cs="Times New Roman"/>
          <w:sz w:val="24"/>
          <w:szCs w:val="24"/>
        </w:rPr>
      </w:pPr>
      <w:r w:rsidRPr="0066772A">
        <w:rPr>
          <w:rFonts w:ascii="Times New Roman" w:hAnsi="Times New Roman" w:cs="Times New Roman"/>
          <w:color w:val="0D0D0D"/>
          <w:sz w:val="24"/>
          <w:szCs w:val="24"/>
          <w:shd w:val="clear" w:color="auto" w:fill="FFFFFF"/>
        </w:rPr>
        <w:t xml:space="preserve">To </w:t>
      </w:r>
      <w:r w:rsidR="008129A9" w:rsidRPr="0066772A">
        <w:rPr>
          <w:rFonts w:ascii="Times New Roman" w:hAnsi="Times New Roman" w:cs="Times New Roman"/>
          <w:color w:val="0D0D0D"/>
          <w:sz w:val="24"/>
          <w:szCs w:val="24"/>
          <w:shd w:val="clear" w:color="auto" w:fill="FFFFFF"/>
        </w:rPr>
        <w:t>investigate this hypothesis, this final project will mostly draw</w:t>
      </w:r>
      <w:r w:rsidR="004C3067" w:rsidRPr="0066772A">
        <w:rPr>
          <w:rFonts w:ascii="Times New Roman" w:hAnsi="Times New Roman" w:cs="Times New Roman"/>
          <w:color w:val="0D0D0D"/>
          <w:sz w:val="24"/>
          <w:szCs w:val="24"/>
          <w:shd w:val="clear" w:color="auto" w:fill="FFFFFF"/>
        </w:rPr>
        <w:t xml:space="preserve"> upon datasets primarily sourced from the National Center for Education Statistics (NCES), </w:t>
      </w:r>
      <w:r w:rsidR="008129A9" w:rsidRPr="0066772A">
        <w:rPr>
          <w:rFonts w:ascii="Times New Roman" w:hAnsi="Times New Roman" w:cs="Times New Roman"/>
          <w:color w:val="0D0D0D"/>
          <w:sz w:val="24"/>
          <w:szCs w:val="24"/>
          <w:shd w:val="clear" w:color="auto" w:fill="FFFFFF"/>
        </w:rPr>
        <w:t xml:space="preserve">as well as data collected from IES (Institute of Education Sciences), BestColleges.com, and Statista. </w:t>
      </w:r>
      <w:r w:rsidR="001553E5" w:rsidRPr="0066772A">
        <w:rPr>
          <w:rFonts w:ascii="Times New Roman" w:hAnsi="Times New Roman" w:cs="Times New Roman"/>
          <w:color w:val="0D0D0D"/>
          <w:sz w:val="24"/>
          <w:szCs w:val="24"/>
          <w:shd w:val="clear" w:color="auto" w:fill="FFFFFF"/>
        </w:rPr>
        <w:t xml:space="preserve">It is noteworthy to mention that both NCES and IES have published their own collaborated reports on issues in public education post-pandemic. These reports, otherwise called their </w:t>
      </w:r>
      <w:r w:rsidR="00B72DDB" w:rsidRPr="0066772A">
        <w:rPr>
          <w:rFonts w:ascii="Times New Roman" w:hAnsi="Times New Roman" w:cs="Times New Roman"/>
          <w:color w:val="0D0D0D"/>
          <w:sz w:val="24"/>
          <w:szCs w:val="24"/>
          <w:shd w:val="clear" w:color="auto" w:fill="FFFFFF"/>
        </w:rPr>
        <w:t xml:space="preserve">“School Pulse Panel”, will be extremely useful for drawing data in our project, as well as for pinpointing the optimal datasets to examine (since these datasets </w:t>
      </w:r>
      <w:r w:rsidR="00035DCA" w:rsidRPr="0066772A">
        <w:rPr>
          <w:rFonts w:ascii="Times New Roman" w:hAnsi="Times New Roman" w:cs="Times New Roman"/>
          <w:color w:val="0D0D0D"/>
          <w:sz w:val="24"/>
          <w:szCs w:val="24"/>
          <w:shd w:val="clear" w:color="auto" w:fill="FFFFFF"/>
        </w:rPr>
        <w:t>contain minimal</w:t>
      </w:r>
      <w:r w:rsidR="00B72DDB" w:rsidRPr="0066772A">
        <w:rPr>
          <w:rFonts w:ascii="Times New Roman" w:hAnsi="Times New Roman" w:cs="Times New Roman"/>
          <w:color w:val="0D0D0D"/>
          <w:sz w:val="24"/>
          <w:szCs w:val="24"/>
          <w:shd w:val="clear" w:color="auto" w:fill="FFFFFF"/>
        </w:rPr>
        <w:t xml:space="preserve"> amounts of missing values and have been scrutinized by multiple professionals for inconsistent errors). </w:t>
      </w:r>
      <w:r w:rsidR="008129A9" w:rsidRPr="0066772A">
        <w:rPr>
          <w:rFonts w:ascii="Times New Roman" w:hAnsi="Times New Roman" w:cs="Times New Roman"/>
          <w:color w:val="0D0D0D"/>
          <w:sz w:val="24"/>
          <w:szCs w:val="24"/>
          <w:shd w:val="clear" w:color="auto" w:fill="FFFFFF"/>
        </w:rPr>
        <w:t xml:space="preserve">Accordingly, </w:t>
      </w:r>
      <w:r w:rsidR="002F7375" w:rsidRPr="0066772A">
        <w:rPr>
          <w:rFonts w:ascii="Times New Roman" w:hAnsi="Times New Roman" w:cs="Times New Roman"/>
          <w:color w:val="0D0D0D"/>
          <w:sz w:val="24"/>
          <w:szCs w:val="24"/>
          <w:shd w:val="clear" w:color="auto" w:fill="FFFFFF"/>
        </w:rPr>
        <w:t xml:space="preserve">this </w:t>
      </w:r>
      <w:r w:rsidR="00327139" w:rsidRPr="0066772A">
        <w:rPr>
          <w:rFonts w:ascii="Times New Roman" w:hAnsi="Times New Roman" w:cs="Times New Roman"/>
          <w:sz w:val="24"/>
          <w:szCs w:val="24"/>
        </w:rPr>
        <w:t xml:space="preserve">final project is an explanatory, </w:t>
      </w:r>
      <w:r w:rsidR="008129A9" w:rsidRPr="0066772A">
        <w:rPr>
          <w:rFonts w:ascii="Times New Roman" w:hAnsi="Times New Roman" w:cs="Times New Roman"/>
          <w:sz w:val="24"/>
          <w:szCs w:val="24"/>
        </w:rPr>
        <w:t>application-based</w:t>
      </w:r>
      <w:r w:rsidR="00327139" w:rsidRPr="0066772A">
        <w:rPr>
          <w:rFonts w:ascii="Times New Roman" w:hAnsi="Times New Roman" w:cs="Times New Roman"/>
          <w:sz w:val="24"/>
          <w:szCs w:val="24"/>
        </w:rPr>
        <w:t xml:space="preserve"> report</w:t>
      </w:r>
      <w:r w:rsidR="002F7375" w:rsidRPr="0066772A">
        <w:rPr>
          <w:rFonts w:ascii="Times New Roman" w:hAnsi="Times New Roman" w:cs="Times New Roman"/>
          <w:sz w:val="24"/>
          <w:szCs w:val="24"/>
        </w:rPr>
        <w:t xml:space="preserve"> that </w:t>
      </w:r>
      <w:r w:rsidR="008129A9" w:rsidRPr="0066772A">
        <w:rPr>
          <w:rFonts w:ascii="Times New Roman" w:hAnsi="Times New Roman" w:cs="Times New Roman"/>
          <w:sz w:val="24"/>
          <w:szCs w:val="24"/>
        </w:rPr>
        <w:t xml:space="preserve">will guide the audience through </w:t>
      </w:r>
      <w:r w:rsidR="00611899" w:rsidRPr="0066772A">
        <w:rPr>
          <w:rFonts w:ascii="Times New Roman" w:hAnsi="Times New Roman" w:cs="Times New Roman"/>
          <w:sz w:val="24"/>
          <w:szCs w:val="24"/>
        </w:rPr>
        <w:t>six</w:t>
      </w:r>
      <w:r w:rsidR="008129A9" w:rsidRPr="0066772A">
        <w:rPr>
          <w:rFonts w:ascii="Times New Roman" w:hAnsi="Times New Roman" w:cs="Times New Roman"/>
          <w:sz w:val="24"/>
          <w:szCs w:val="24"/>
        </w:rPr>
        <w:t xml:space="preserve"> different </w:t>
      </w:r>
      <w:r w:rsidR="00290962" w:rsidRPr="0066772A">
        <w:rPr>
          <w:rFonts w:ascii="Times New Roman" w:hAnsi="Times New Roman" w:cs="Times New Roman"/>
          <w:sz w:val="24"/>
          <w:szCs w:val="24"/>
        </w:rPr>
        <w:t>dashboards</w:t>
      </w:r>
      <w:r w:rsidR="008129A9" w:rsidRPr="0066772A">
        <w:rPr>
          <w:rFonts w:ascii="Times New Roman" w:hAnsi="Times New Roman" w:cs="Times New Roman"/>
          <w:sz w:val="24"/>
          <w:szCs w:val="24"/>
        </w:rPr>
        <w:t xml:space="preserve"> of data visual</w:t>
      </w:r>
      <w:r w:rsidR="00290962" w:rsidRPr="0066772A">
        <w:rPr>
          <w:rFonts w:ascii="Times New Roman" w:hAnsi="Times New Roman" w:cs="Times New Roman"/>
          <w:sz w:val="24"/>
          <w:szCs w:val="24"/>
        </w:rPr>
        <w:t>izations</w:t>
      </w:r>
      <w:r w:rsidR="008129A9" w:rsidRPr="0066772A">
        <w:rPr>
          <w:rFonts w:ascii="Times New Roman" w:hAnsi="Times New Roman" w:cs="Times New Roman"/>
          <w:sz w:val="24"/>
          <w:szCs w:val="24"/>
        </w:rPr>
        <w:t xml:space="preserve">. Each of these </w:t>
      </w:r>
      <w:r w:rsidR="00611899" w:rsidRPr="0066772A">
        <w:rPr>
          <w:rFonts w:ascii="Times New Roman" w:hAnsi="Times New Roman" w:cs="Times New Roman"/>
          <w:sz w:val="24"/>
          <w:szCs w:val="24"/>
        </w:rPr>
        <w:t>six</w:t>
      </w:r>
      <w:r w:rsidR="008129A9" w:rsidRPr="0066772A">
        <w:rPr>
          <w:rFonts w:ascii="Times New Roman" w:hAnsi="Times New Roman" w:cs="Times New Roman"/>
          <w:sz w:val="24"/>
          <w:szCs w:val="24"/>
        </w:rPr>
        <w:t xml:space="preserve"> stages will require the utilization of multiple datasets, </w:t>
      </w:r>
      <w:r w:rsidR="00290962" w:rsidRPr="0066772A">
        <w:rPr>
          <w:rFonts w:ascii="Times New Roman" w:hAnsi="Times New Roman" w:cs="Times New Roman"/>
          <w:sz w:val="24"/>
          <w:szCs w:val="24"/>
        </w:rPr>
        <w:t>as well as the cleaning and formatting of these datasets in Excel.</w:t>
      </w:r>
      <w:r w:rsidR="00B72DDB" w:rsidRPr="0066772A">
        <w:rPr>
          <w:rFonts w:ascii="Times New Roman" w:hAnsi="Times New Roman" w:cs="Times New Roman"/>
          <w:sz w:val="24"/>
          <w:szCs w:val="24"/>
        </w:rPr>
        <w:t xml:space="preserve"> </w:t>
      </w:r>
      <w:r w:rsidR="00035DCA" w:rsidRPr="0066772A">
        <w:rPr>
          <w:rFonts w:ascii="Times New Roman" w:hAnsi="Times New Roman" w:cs="Times New Roman"/>
          <w:color w:val="0D0D0D"/>
          <w:sz w:val="24"/>
          <w:szCs w:val="24"/>
          <w:shd w:val="clear" w:color="auto" w:fill="FFFFFF"/>
        </w:rPr>
        <w:t>Please note that the datasets sourced from NCES and IES have been duplicated into new files to safeguard the integrity of the original data. Additionally, much of the data in these files has been cropped and transferred into self-assembled worksheets to optimize their compatibility with Tableau. Through these formatting and cropping processes, we aim to reduce the number of data sources within a single Tableau file from 30 to 10.</w:t>
      </w:r>
      <w:r w:rsidR="00035DCA" w:rsidRPr="0066772A">
        <w:rPr>
          <w:rFonts w:ascii="Times New Roman" w:hAnsi="Times New Roman" w:cs="Times New Roman"/>
          <w:color w:val="0D0D0D"/>
          <w:sz w:val="24"/>
          <w:szCs w:val="24"/>
          <w:shd w:val="clear" w:color="auto" w:fill="FFFFFF"/>
        </w:rPr>
        <w:t xml:space="preserve"> </w:t>
      </w:r>
      <w:r w:rsidR="0066772A" w:rsidRPr="0066772A">
        <w:rPr>
          <w:rFonts w:ascii="Times New Roman" w:hAnsi="Times New Roman" w:cs="Times New Roman"/>
          <w:sz w:val="24"/>
          <w:szCs w:val="24"/>
        </w:rPr>
        <w:t>Also</w:t>
      </w:r>
      <w:r w:rsidR="00290962" w:rsidRPr="0066772A">
        <w:rPr>
          <w:rFonts w:ascii="Times New Roman" w:hAnsi="Times New Roman" w:cs="Times New Roman"/>
          <w:sz w:val="24"/>
          <w:szCs w:val="24"/>
        </w:rPr>
        <w:t xml:space="preserve">, all the visuals presented in the final dashboards were generated using either Tableau or Python’s </w:t>
      </w:r>
      <w:r w:rsidR="00611899" w:rsidRPr="0066772A">
        <w:rPr>
          <w:rFonts w:ascii="Times New Roman" w:hAnsi="Times New Roman" w:cs="Times New Roman"/>
          <w:sz w:val="24"/>
          <w:szCs w:val="24"/>
        </w:rPr>
        <w:t>M</w:t>
      </w:r>
      <w:r w:rsidR="00290962" w:rsidRPr="0066772A">
        <w:rPr>
          <w:rFonts w:ascii="Times New Roman" w:hAnsi="Times New Roman" w:cs="Times New Roman"/>
          <w:sz w:val="24"/>
          <w:szCs w:val="24"/>
        </w:rPr>
        <w:t xml:space="preserve">atplotlib. Through these compelling data visuals, the report seeks to shed light </w:t>
      </w:r>
      <w:r w:rsidR="00290962" w:rsidRPr="0066772A">
        <w:rPr>
          <w:rFonts w:ascii="Times New Roman" w:hAnsi="Times New Roman" w:cs="Times New Roman"/>
          <w:color w:val="0D0D0D"/>
          <w:sz w:val="24"/>
          <w:szCs w:val="24"/>
          <w:shd w:val="clear" w:color="auto" w:fill="FFFFFF"/>
        </w:rPr>
        <w:t xml:space="preserve">on the disparities and challenges faced by students and educators in the aftermath of the pandemic. Ultimately, the anticipated findings aim to </w:t>
      </w:r>
      <w:r w:rsidR="00290962" w:rsidRPr="0066772A">
        <w:rPr>
          <w:rFonts w:ascii="Times New Roman" w:hAnsi="Times New Roman" w:cs="Times New Roman"/>
          <w:color w:val="0D0D0D"/>
          <w:sz w:val="24"/>
          <w:szCs w:val="24"/>
          <w:shd w:val="clear" w:color="auto" w:fill="FFFFFF"/>
        </w:rPr>
        <w:t xml:space="preserve">underscore the pressing need for major changes and updates to the quality of United States education. </w:t>
      </w:r>
      <w:r w:rsidR="00327139" w:rsidRPr="0066772A">
        <w:rPr>
          <w:rFonts w:ascii="Times New Roman" w:hAnsi="Times New Roman" w:cs="Times New Roman"/>
          <w:sz w:val="24"/>
          <w:szCs w:val="24"/>
        </w:rPr>
        <w:t xml:space="preserve"> </w:t>
      </w:r>
    </w:p>
    <w:p w14:paraId="7DB85F36" w14:textId="2915E34B" w:rsidR="00B20B4F" w:rsidRDefault="00B20B4F" w:rsidP="00B20B4F">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Dashboard 1: Comparison of Standardized Exam Scores</w:t>
      </w:r>
    </w:p>
    <w:p w14:paraId="4DE3F4F5" w14:textId="3237616D" w:rsidR="00B20B4F" w:rsidRDefault="002C3E0B" w:rsidP="00B20B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the first dashboard, titled “United States Education Crisis”, we see two separate line charts comparing the average nationwide SAT and ACT scores each year. </w:t>
      </w:r>
      <w:r w:rsidR="00611899">
        <w:rPr>
          <w:rFonts w:ascii="Times New Roman" w:hAnsi="Times New Roman" w:cs="Times New Roman"/>
          <w:sz w:val="24"/>
          <w:szCs w:val="24"/>
        </w:rPr>
        <w:t>The sources for the</w:t>
      </w:r>
      <w:r w:rsidR="00B62DDC">
        <w:rPr>
          <w:rFonts w:ascii="Times New Roman" w:hAnsi="Times New Roman" w:cs="Times New Roman"/>
          <w:sz w:val="24"/>
          <w:szCs w:val="24"/>
        </w:rPr>
        <w:t xml:space="preserve"> data presented in these</w:t>
      </w:r>
      <w:r w:rsidR="00611899">
        <w:rPr>
          <w:rFonts w:ascii="Times New Roman" w:hAnsi="Times New Roman" w:cs="Times New Roman"/>
          <w:sz w:val="24"/>
          <w:szCs w:val="24"/>
        </w:rPr>
        <w:t xml:space="preserve"> line visuals came from NCES and BestColleges.com. </w:t>
      </w:r>
      <w:r>
        <w:rPr>
          <w:rFonts w:ascii="Times New Roman" w:hAnsi="Times New Roman" w:cs="Times New Roman"/>
          <w:sz w:val="24"/>
          <w:szCs w:val="24"/>
        </w:rPr>
        <w:t xml:space="preserve">Strikingly, the first line chart underscored a severe drop in both Math and ERW (English, Reading and Writing) results in 2023 for high school students. However, it is worth noting that this major decline did </w:t>
      </w:r>
      <w:r>
        <w:rPr>
          <w:rFonts w:ascii="Times New Roman" w:hAnsi="Times New Roman" w:cs="Times New Roman"/>
          <w:sz w:val="24"/>
          <w:szCs w:val="24"/>
        </w:rPr>
        <w:lastRenderedPageBreak/>
        <w:t>not begin right away in 2020, the year of the pandemic. In 2021, SAT results seemed to have bounced back from the drop evident in the 2020 lockdowns</w:t>
      </w:r>
      <w:r w:rsidR="00611899">
        <w:rPr>
          <w:rFonts w:ascii="Times New Roman" w:hAnsi="Times New Roman" w:cs="Times New Roman"/>
          <w:sz w:val="24"/>
          <w:szCs w:val="24"/>
        </w:rPr>
        <w:t>, increasing both Math and ERW scores by as much as 5 points</w:t>
      </w:r>
      <w:r>
        <w:rPr>
          <w:rFonts w:ascii="Times New Roman" w:hAnsi="Times New Roman" w:cs="Times New Roman"/>
          <w:sz w:val="24"/>
          <w:szCs w:val="24"/>
        </w:rPr>
        <w:t xml:space="preserve">. </w:t>
      </w:r>
      <w:r w:rsidR="00374A84">
        <w:rPr>
          <w:rFonts w:ascii="Times New Roman" w:hAnsi="Times New Roman" w:cs="Times New Roman"/>
          <w:sz w:val="24"/>
          <w:szCs w:val="24"/>
        </w:rPr>
        <w:t>One explanation for this bounce back could be that the</w:t>
      </w:r>
      <w:r>
        <w:rPr>
          <w:rFonts w:ascii="Times New Roman" w:hAnsi="Times New Roman" w:cs="Times New Roman"/>
          <w:sz w:val="24"/>
          <w:szCs w:val="24"/>
        </w:rPr>
        <w:t xml:space="preserve"> 2021 class of students</w:t>
      </w:r>
      <w:r w:rsidR="00374A84">
        <w:rPr>
          <w:rFonts w:ascii="Times New Roman" w:hAnsi="Times New Roman" w:cs="Times New Roman"/>
          <w:sz w:val="24"/>
          <w:szCs w:val="24"/>
        </w:rPr>
        <w:t xml:space="preserve"> were not as affected by the COVID lockdowns as the grades prior, because many of these students had already completed the necessary courses required for the SAT exam. This same explanation cannot be translated though for the 2022 and 2023 class of students. Following 2021’s slight scores boost, the subsequent class of students were burdened by the SAT exam, causing both Math and ERW scores to drop to their lowest levels in 5 years. Clearly, the information these students missed out on during the 2020 pandemic hampered their </w:t>
      </w:r>
      <w:r w:rsidR="003D02A5">
        <w:rPr>
          <w:rFonts w:ascii="Times New Roman" w:hAnsi="Times New Roman" w:cs="Times New Roman"/>
          <w:sz w:val="24"/>
          <w:szCs w:val="24"/>
        </w:rPr>
        <w:t>knowledge for the SAT exam. The most important classes that these students had to take for the SAT exam fell right during the 2020 COVID lockdowns. Additionally, w</w:t>
      </w:r>
      <w:r w:rsidR="00374A84">
        <w:rPr>
          <w:rFonts w:ascii="Times New Roman" w:hAnsi="Times New Roman" w:cs="Times New Roman"/>
          <w:sz w:val="24"/>
          <w:szCs w:val="24"/>
        </w:rPr>
        <w:t xml:space="preserve">hen looking at the second line graph portraying ACT results by year, this </w:t>
      </w:r>
      <w:r w:rsidR="00162C54">
        <w:rPr>
          <w:rFonts w:ascii="Times New Roman" w:hAnsi="Times New Roman" w:cs="Times New Roman"/>
          <w:sz w:val="24"/>
          <w:szCs w:val="24"/>
        </w:rPr>
        <w:t xml:space="preserve">animated </w:t>
      </w:r>
      <w:r w:rsidR="00374A84">
        <w:rPr>
          <w:rFonts w:ascii="Times New Roman" w:hAnsi="Times New Roman" w:cs="Times New Roman"/>
          <w:sz w:val="24"/>
          <w:szCs w:val="24"/>
        </w:rPr>
        <w:t>chart paint</w:t>
      </w:r>
      <w:r w:rsidR="003D02A5">
        <w:rPr>
          <w:rFonts w:ascii="Times New Roman" w:hAnsi="Times New Roman" w:cs="Times New Roman"/>
          <w:sz w:val="24"/>
          <w:szCs w:val="24"/>
        </w:rPr>
        <w:t>ed</w:t>
      </w:r>
      <w:r w:rsidR="00374A84">
        <w:rPr>
          <w:rFonts w:ascii="Times New Roman" w:hAnsi="Times New Roman" w:cs="Times New Roman"/>
          <w:sz w:val="24"/>
          <w:szCs w:val="24"/>
        </w:rPr>
        <w:t xml:space="preserve"> an even more bleak picture. According to the Math and Science ACT results, </w:t>
      </w:r>
      <w:r w:rsidR="00162C54">
        <w:rPr>
          <w:rFonts w:ascii="Times New Roman" w:hAnsi="Times New Roman" w:cs="Times New Roman"/>
          <w:sz w:val="24"/>
          <w:szCs w:val="24"/>
        </w:rPr>
        <w:t xml:space="preserve">as the animated chart flips through each year, </w:t>
      </w:r>
      <w:r w:rsidR="00611899">
        <w:rPr>
          <w:rFonts w:ascii="Times New Roman" w:hAnsi="Times New Roman" w:cs="Times New Roman"/>
          <w:sz w:val="24"/>
          <w:szCs w:val="24"/>
        </w:rPr>
        <w:t xml:space="preserve">it becomes clear that </w:t>
      </w:r>
      <w:r w:rsidR="00374A84">
        <w:rPr>
          <w:rFonts w:ascii="Times New Roman" w:hAnsi="Times New Roman" w:cs="Times New Roman"/>
          <w:sz w:val="24"/>
          <w:szCs w:val="24"/>
        </w:rPr>
        <w:t xml:space="preserve">students did not experience any sort of boost in their scores immediately following the pandemic in 2021. </w:t>
      </w:r>
      <w:r w:rsidR="003D02A5">
        <w:rPr>
          <w:rFonts w:ascii="Times New Roman" w:hAnsi="Times New Roman" w:cs="Times New Roman"/>
          <w:sz w:val="24"/>
          <w:szCs w:val="24"/>
        </w:rPr>
        <w:t>Both</w:t>
      </w:r>
      <w:r w:rsidR="00374A84">
        <w:rPr>
          <w:rFonts w:ascii="Times New Roman" w:hAnsi="Times New Roman" w:cs="Times New Roman"/>
          <w:sz w:val="24"/>
          <w:szCs w:val="24"/>
        </w:rPr>
        <w:t xml:space="preserve"> </w:t>
      </w:r>
      <w:r w:rsidR="00162C54">
        <w:rPr>
          <w:rFonts w:ascii="Times New Roman" w:hAnsi="Times New Roman" w:cs="Times New Roman"/>
          <w:sz w:val="24"/>
          <w:szCs w:val="24"/>
        </w:rPr>
        <w:t xml:space="preserve">the Math and Science </w:t>
      </w:r>
      <w:r w:rsidR="00374A84">
        <w:rPr>
          <w:rFonts w:ascii="Times New Roman" w:hAnsi="Times New Roman" w:cs="Times New Roman"/>
          <w:sz w:val="24"/>
          <w:szCs w:val="24"/>
        </w:rPr>
        <w:t xml:space="preserve">curves </w:t>
      </w:r>
      <w:r w:rsidR="003D02A5">
        <w:rPr>
          <w:rFonts w:ascii="Times New Roman" w:hAnsi="Times New Roman" w:cs="Times New Roman"/>
          <w:sz w:val="24"/>
          <w:szCs w:val="24"/>
        </w:rPr>
        <w:t>we</w:t>
      </w:r>
      <w:r w:rsidR="00374A84">
        <w:rPr>
          <w:rFonts w:ascii="Times New Roman" w:hAnsi="Times New Roman" w:cs="Times New Roman"/>
          <w:sz w:val="24"/>
          <w:szCs w:val="24"/>
        </w:rPr>
        <w:t>re decreasing</w:t>
      </w:r>
      <w:r w:rsidR="00162C54">
        <w:rPr>
          <w:rFonts w:ascii="Times New Roman" w:hAnsi="Times New Roman" w:cs="Times New Roman"/>
          <w:sz w:val="24"/>
          <w:szCs w:val="24"/>
        </w:rPr>
        <w:t xml:space="preserve"> </w:t>
      </w:r>
      <w:r w:rsidR="00374A84">
        <w:rPr>
          <w:rFonts w:ascii="Times New Roman" w:hAnsi="Times New Roman" w:cs="Times New Roman"/>
          <w:sz w:val="24"/>
          <w:szCs w:val="24"/>
        </w:rPr>
        <w:t>every year, and the decline bec</w:t>
      </w:r>
      <w:r w:rsidR="003D02A5">
        <w:rPr>
          <w:rFonts w:ascii="Times New Roman" w:hAnsi="Times New Roman" w:cs="Times New Roman"/>
          <w:sz w:val="24"/>
          <w:szCs w:val="24"/>
        </w:rPr>
        <w:t>ame</w:t>
      </w:r>
      <w:r w:rsidR="00374A84">
        <w:rPr>
          <w:rFonts w:ascii="Times New Roman" w:hAnsi="Times New Roman" w:cs="Times New Roman"/>
          <w:sz w:val="24"/>
          <w:szCs w:val="24"/>
        </w:rPr>
        <w:t xml:space="preserve"> even more pronounced after 2019.</w:t>
      </w:r>
      <w:r w:rsidR="003D02A5">
        <w:rPr>
          <w:rFonts w:ascii="Times New Roman" w:hAnsi="Times New Roman" w:cs="Times New Roman"/>
          <w:sz w:val="24"/>
          <w:szCs w:val="24"/>
        </w:rPr>
        <w:t xml:space="preserve"> Considering that SAT and ACT results </w:t>
      </w:r>
      <w:r w:rsidR="00611899">
        <w:rPr>
          <w:rFonts w:ascii="Times New Roman" w:hAnsi="Times New Roman" w:cs="Times New Roman"/>
          <w:sz w:val="24"/>
          <w:szCs w:val="24"/>
        </w:rPr>
        <w:t>we</w:t>
      </w:r>
      <w:r w:rsidR="003D02A5">
        <w:rPr>
          <w:rFonts w:ascii="Times New Roman" w:hAnsi="Times New Roman" w:cs="Times New Roman"/>
          <w:sz w:val="24"/>
          <w:szCs w:val="24"/>
        </w:rPr>
        <w:t>re at their lowest levels in half a decade, this already emphasize</w:t>
      </w:r>
      <w:r w:rsidR="00162C54">
        <w:rPr>
          <w:rFonts w:ascii="Times New Roman" w:hAnsi="Times New Roman" w:cs="Times New Roman"/>
          <w:sz w:val="24"/>
          <w:szCs w:val="24"/>
        </w:rPr>
        <w:t>d</w:t>
      </w:r>
      <w:r w:rsidR="003D02A5">
        <w:rPr>
          <w:rFonts w:ascii="Times New Roman" w:hAnsi="Times New Roman" w:cs="Times New Roman"/>
          <w:sz w:val="24"/>
          <w:szCs w:val="24"/>
        </w:rPr>
        <w:t xml:space="preserve"> just how much K-12 education ha</w:t>
      </w:r>
      <w:r w:rsidR="00162C54">
        <w:rPr>
          <w:rFonts w:ascii="Times New Roman" w:hAnsi="Times New Roman" w:cs="Times New Roman"/>
          <w:sz w:val="24"/>
          <w:szCs w:val="24"/>
        </w:rPr>
        <w:t>d</w:t>
      </w:r>
      <w:r w:rsidR="003D02A5">
        <w:rPr>
          <w:rFonts w:ascii="Times New Roman" w:hAnsi="Times New Roman" w:cs="Times New Roman"/>
          <w:sz w:val="24"/>
          <w:szCs w:val="24"/>
        </w:rPr>
        <w:t xml:space="preserve"> been impacted by COVID. The true effects of the pandemic are now being evidenced </w:t>
      </w:r>
      <w:r w:rsidR="000B5B40">
        <w:rPr>
          <w:rFonts w:ascii="Times New Roman" w:hAnsi="Times New Roman" w:cs="Times New Roman"/>
          <w:sz w:val="24"/>
          <w:szCs w:val="24"/>
        </w:rPr>
        <w:t xml:space="preserve">at full form </w:t>
      </w:r>
      <w:r w:rsidR="003D02A5">
        <w:rPr>
          <w:rFonts w:ascii="Times New Roman" w:hAnsi="Times New Roman" w:cs="Times New Roman"/>
          <w:sz w:val="24"/>
          <w:szCs w:val="24"/>
        </w:rPr>
        <w:t>in the education system</w:t>
      </w:r>
      <w:r w:rsidR="00162C54">
        <w:rPr>
          <w:rFonts w:ascii="Times New Roman" w:hAnsi="Times New Roman" w:cs="Times New Roman"/>
          <w:sz w:val="24"/>
          <w:szCs w:val="24"/>
        </w:rPr>
        <w:t>.</w:t>
      </w:r>
      <w:r w:rsidR="003D02A5">
        <w:rPr>
          <w:rFonts w:ascii="Times New Roman" w:hAnsi="Times New Roman" w:cs="Times New Roman"/>
          <w:sz w:val="24"/>
          <w:szCs w:val="24"/>
        </w:rPr>
        <w:t xml:space="preserve"> </w:t>
      </w:r>
    </w:p>
    <w:p w14:paraId="1DB907FA" w14:textId="26535748" w:rsidR="00162C54" w:rsidRDefault="00162C54" w:rsidP="00162C54">
      <w:pPr>
        <w:spacing w:line="240" w:lineRule="auto"/>
        <w:jc w:val="center"/>
        <w:rPr>
          <w:rFonts w:ascii="Times New Roman" w:hAnsi="Times New Roman" w:cs="Times New Roman"/>
          <w:sz w:val="24"/>
          <w:szCs w:val="24"/>
        </w:rPr>
      </w:pPr>
      <w:r>
        <w:rPr>
          <w:rFonts w:ascii="Times New Roman" w:hAnsi="Times New Roman" w:cs="Times New Roman"/>
          <w:i/>
          <w:iCs/>
          <w:sz w:val="24"/>
          <w:szCs w:val="24"/>
        </w:rPr>
        <w:t xml:space="preserve">Dashboard </w:t>
      </w:r>
      <w:r>
        <w:rPr>
          <w:rFonts w:ascii="Times New Roman" w:hAnsi="Times New Roman" w:cs="Times New Roman"/>
          <w:i/>
          <w:iCs/>
          <w:sz w:val="24"/>
          <w:szCs w:val="24"/>
        </w:rPr>
        <w:t>2</w:t>
      </w:r>
      <w:r w:rsidR="007527ED">
        <w:rPr>
          <w:rFonts w:ascii="Times New Roman" w:hAnsi="Times New Roman" w:cs="Times New Roman"/>
          <w:i/>
          <w:iCs/>
          <w:sz w:val="24"/>
          <w:szCs w:val="24"/>
        </w:rPr>
        <w:t xml:space="preserve"> Part 1</w:t>
      </w:r>
      <w:r>
        <w:rPr>
          <w:rFonts w:ascii="Times New Roman" w:hAnsi="Times New Roman" w:cs="Times New Roman"/>
          <w:i/>
          <w:iCs/>
          <w:sz w:val="24"/>
          <w:szCs w:val="24"/>
        </w:rPr>
        <w:t xml:space="preserve">: </w:t>
      </w:r>
      <w:r w:rsidR="00990D82">
        <w:rPr>
          <w:rFonts w:ascii="Times New Roman" w:hAnsi="Times New Roman" w:cs="Times New Roman"/>
          <w:i/>
          <w:iCs/>
          <w:sz w:val="24"/>
          <w:szCs w:val="24"/>
        </w:rPr>
        <w:t xml:space="preserve">Current State of </w:t>
      </w:r>
      <w:r>
        <w:rPr>
          <w:rFonts w:ascii="Times New Roman" w:hAnsi="Times New Roman" w:cs="Times New Roman"/>
          <w:i/>
          <w:iCs/>
          <w:sz w:val="24"/>
          <w:szCs w:val="24"/>
        </w:rPr>
        <w:t>Teachers in the US</w:t>
      </w:r>
    </w:p>
    <w:p w14:paraId="2425893A" w14:textId="0F87F7C1" w:rsidR="00162C54" w:rsidRDefault="000B5B40" w:rsidP="00B20B4F">
      <w:pPr>
        <w:spacing w:line="240" w:lineRule="auto"/>
        <w:rPr>
          <w:rFonts w:ascii="Times New Roman" w:hAnsi="Times New Roman" w:cs="Times New Roman"/>
          <w:color w:val="0D0D0D"/>
          <w:sz w:val="24"/>
          <w:szCs w:val="24"/>
          <w:shd w:val="clear" w:color="auto" w:fill="FFFFFF"/>
        </w:rPr>
      </w:pPr>
      <w:r>
        <w:rPr>
          <w:rFonts w:ascii="Times New Roman" w:hAnsi="Times New Roman" w:cs="Times New Roman"/>
          <w:sz w:val="24"/>
          <w:szCs w:val="24"/>
        </w:rPr>
        <w:tab/>
        <w:t xml:space="preserve">After reviewing </w:t>
      </w:r>
      <w:r w:rsidR="007527ED">
        <w:rPr>
          <w:rFonts w:ascii="Times New Roman" w:hAnsi="Times New Roman" w:cs="Times New Roman"/>
          <w:sz w:val="24"/>
          <w:szCs w:val="24"/>
        </w:rPr>
        <w:t>two prominent</w:t>
      </w:r>
      <w:r>
        <w:rPr>
          <w:rFonts w:ascii="Times New Roman" w:hAnsi="Times New Roman" w:cs="Times New Roman"/>
          <w:sz w:val="24"/>
          <w:szCs w:val="24"/>
        </w:rPr>
        <w:t xml:space="preserve"> standardized tests in the previous dashboard, the next dashboard </w:t>
      </w:r>
      <w:r w:rsidR="00A3563A">
        <w:rPr>
          <w:rFonts w:ascii="Times New Roman" w:hAnsi="Times New Roman" w:cs="Times New Roman"/>
          <w:sz w:val="24"/>
          <w:szCs w:val="24"/>
        </w:rPr>
        <w:t>delves into</w:t>
      </w:r>
      <w:r>
        <w:rPr>
          <w:rFonts w:ascii="Times New Roman" w:hAnsi="Times New Roman" w:cs="Times New Roman"/>
          <w:sz w:val="24"/>
          <w:szCs w:val="24"/>
        </w:rPr>
        <w:t xml:space="preserve"> the “Current Condition of Teachers in the United States”. In this dashboard</w:t>
      </w:r>
      <w:r w:rsidR="00A3563A">
        <w:rPr>
          <w:rFonts w:ascii="Times New Roman" w:hAnsi="Times New Roman" w:cs="Times New Roman"/>
          <w:sz w:val="24"/>
          <w:szCs w:val="24"/>
        </w:rPr>
        <w:t xml:space="preserve"> </w:t>
      </w:r>
      <w:r>
        <w:rPr>
          <w:rFonts w:ascii="Times New Roman" w:hAnsi="Times New Roman" w:cs="Times New Roman"/>
          <w:sz w:val="24"/>
          <w:szCs w:val="24"/>
        </w:rPr>
        <w:t xml:space="preserve">there are three </w:t>
      </w:r>
      <w:r w:rsidR="00A3563A">
        <w:rPr>
          <w:rFonts w:ascii="Times New Roman" w:hAnsi="Times New Roman" w:cs="Times New Roman"/>
          <w:sz w:val="24"/>
          <w:szCs w:val="24"/>
        </w:rPr>
        <w:t>distinct</w:t>
      </w:r>
      <w:r>
        <w:rPr>
          <w:rFonts w:ascii="Times New Roman" w:hAnsi="Times New Roman" w:cs="Times New Roman"/>
          <w:sz w:val="24"/>
          <w:szCs w:val="24"/>
        </w:rPr>
        <w:t xml:space="preserve"> visuals: a scatter plot, text table, and symbol map. </w:t>
      </w:r>
      <w:r w:rsidR="00A3563A" w:rsidRPr="00C20BF0">
        <w:rPr>
          <w:rFonts w:ascii="Times New Roman" w:hAnsi="Times New Roman" w:cs="Times New Roman"/>
          <w:color w:val="0D0D0D"/>
          <w:sz w:val="24"/>
          <w:szCs w:val="24"/>
          <w:shd w:val="clear" w:color="auto" w:fill="FFFFFF"/>
        </w:rPr>
        <w:t xml:space="preserve">The scatter plot, positioned at the top, illustrates a grid representing average teacher salaries on the y-axis and the percentage of teachers </w:t>
      </w:r>
      <w:r w:rsidR="00A3563A" w:rsidRPr="007527ED">
        <w:rPr>
          <w:rFonts w:ascii="Times New Roman" w:hAnsi="Times New Roman" w:cs="Times New Roman"/>
          <w:color w:val="0D0D0D"/>
          <w:sz w:val="24"/>
          <w:szCs w:val="24"/>
          <w:shd w:val="clear" w:color="auto" w:fill="FFFFFF"/>
        </w:rPr>
        <w:t>relocating to different schools in 2022 on the x-axis</w:t>
      </w:r>
      <w:r w:rsidR="00044D08" w:rsidRPr="007527ED">
        <w:rPr>
          <w:rFonts w:ascii="Times New Roman" w:hAnsi="Times New Roman" w:cs="Times New Roman"/>
          <w:sz w:val="24"/>
          <w:szCs w:val="24"/>
        </w:rPr>
        <w:t xml:space="preserve">. </w:t>
      </w:r>
      <w:r w:rsidR="00C20BF0" w:rsidRPr="007527ED">
        <w:rPr>
          <w:rFonts w:ascii="Times New Roman" w:hAnsi="Times New Roman" w:cs="Times New Roman"/>
          <w:color w:val="0D0D0D"/>
          <w:sz w:val="24"/>
          <w:szCs w:val="24"/>
          <w:shd w:val="clear" w:color="auto" w:fill="FFFFFF"/>
        </w:rPr>
        <w:t xml:space="preserve">The 50 black stars in the plot </w:t>
      </w:r>
      <w:r w:rsidR="00C20BF0" w:rsidRPr="00EF5FAC">
        <w:rPr>
          <w:rFonts w:ascii="Times New Roman" w:hAnsi="Times New Roman" w:cs="Times New Roman"/>
          <w:color w:val="0D0D0D"/>
          <w:sz w:val="24"/>
          <w:szCs w:val="24"/>
          <w:shd w:val="clear" w:color="auto" w:fill="FFFFFF"/>
        </w:rPr>
        <w:t>correspond to the 50 states, each positioned based on its average teacher salary and the percentage of teacher movers</w:t>
      </w:r>
      <w:r w:rsidR="00044D08" w:rsidRPr="00EF5FAC">
        <w:rPr>
          <w:rFonts w:ascii="Times New Roman" w:hAnsi="Times New Roman" w:cs="Times New Roman"/>
          <w:sz w:val="24"/>
          <w:szCs w:val="24"/>
        </w:rPr>
        <w:t xml:space="preserve">. </w:t>
      </w:r>
      <w:r w:rsidR="00C20BF0" w:rsidRPr="00EF5FAC">
        <w:rPr>
          <w:rFonts w:ascii="Times New Roman" w:hAnsi="Times New Roman" w:cs="Times New Roman"/>
          <w:sz w:val="24"/>
          <w:szCs w:val="24"/>
        </w:rPr>
        <w:t>Additionally</w:t>
      </w:r>
      <w:r w:rsidR="00044D08" w:rsidRPr="00EF5FAC">
        <w:rPr>
          <w:rFonts w:ascii="Times New Roman" w:hAnsi="Times New Roman" w:cs="Times New Roman"/>
          <w:sz w:val="24"/>
          <w:szCs w:val="24"/>
        </w:rPr>
        <w:t xml:space="preserve">, a red line </w:t>
      </w:r>
      <w:r w:rsidR="00C20BF0" w:rsidRPr="00EF5FAC">
        <w:rPr>
          <w:rFonts w:ascii="Times New Roman" w:hAnsi="Times New Roman" w:cs="Times New Roman"/>
          <w:sz w:val="24"/>
          <w:szCs w:val="24"/>
        </w:rPr>
        <w:t>spans</w:t>
      </w:r>
      <w:r w:rsidR="00044D08" w:rsidRPr="00EF5FAC">
        <w:rPr>
          <w:rFonts w:ascii="Times New Roman" w:hAnsi="Times New Roman" w:cs="Times New Roman"/>
          <w:sz w:val="24"/>
          <w:szCs w:val="24"/>
        </w:rPr>
        <w:t xml:space="preserve"> the visual, displaying the average salary for teachers in the United States. This red line simplifies the audience’s analysis of the graph </w:t>
      </w:r>
      <w:r w:rsidR="00EF5FAC" w:rsidRPr="00EF5FAC">
        <w:rPr>
          <w:rFonts w:ascii="Times New Roman" w:hAnsi="Times New Roman" w:cs="Times New Roman"/>
          <w:sz w:val="24"/>
          <w:szCs w:val="24"/>
        </w:rPr>
        <w:t>by</w:t>
      </w:r>
      <w:r w:rsidR="00044D08" w:rsidRPr="00EF5FAC">
        <w:rPr>
          <w:rFonts w:ascii="Times New Roman" w:hAnsi="Times New Roman" w:cs="Times New Roman"/>
          <w:sz w:val="24"/>
          <w:szCs w:val="24"/>
        </w:rPr>
        <w:t xml:space="preserve"> distinguish</w:t>
      </w:r>
      <w:r w:rsidR="00EF5FAC" w:rsidRPr="00EF5FAC">
        <w:rPr>
          <w:rFonts w:ascii="Times New Roman" w:hAnsi="Times New Roman" w:cs="Times New Roman"/>
          <w:sz w:val="24"/>
          <w:szCs w:val="24"/>
        </w:rPr>
        <w:t>ing</w:t>
      </w:r>
      <w:r w:rsidR="008E5525" w:rsidRPr="00EF5FAC">
        <w:rPr>
          <w:rFonts w:ascii="Times New Roman" w:hAnsi="Times New Roman" w:cs="Times New Roman"/>
          <w:sz w:val="24"/>
          <w:szCs w:val="24"/>
        </w:rPr>
        <w:t xml:space="preserve"> </w:t>
      </w:r>
      <w:r w:rsidR="00044D08" w:rsidRPr="00EF5FAC">
        <w:rPr>
          <w:rFonts w:ascii="Times New Roman" w:hAnsi="Times New Roman" w:cs="Times New Roman"/>
          <w:sz w:val="24"/>
          <w:szCs w:val="24"/>
        </w:rPr>
        <w:t xml:space="preserve">states that have low </w:t>
      </w:r>
      <w:r w:rsidR="008E5525" w:rsidRPr="00EF5FAC">
        <w:rPr>
          <w:rFonts w:ascii="Times New Roman" w:hAnsi="Times New Roman" w:cs="Times New Roman"/>
          <w:sz w:val="24"/>
          <w:szCs w:val="24"/>
        </w:rPr>
        <w:t>v</w:t>
      </w:r>
      <w:r w:rsidR="00C20BF0" w:rsidRPr="00EF5FAC">
        <w:rPr>
          <w:rFonts w:ascii="Times New Roman" w:hAnsi="Times New Roman" w:cs="Times New Roman"/>
          <w:sz w:val="24"/>
          <w:szCs w:val="24"/>
        </w:rPr>
        <w:t>ersu</w:t>
      </w:r>
      <w:r w:rsidR="008E5525" w:rsidRPr="00EF5FAC">
        <w:rPr>
          <w:rFonts w:ascii="Times New Roman" w:hAnsi="Times New Roman" w:cs="Times New Roman"/>
          <w:sz w:val="24"/>
          <w:szCs w:val="24"/>
        </w:rPr>
        <w:t xml:space="preserve">s high </w:t>
      </w:r>
      <w:r w:rsidR="00044D08" w:rsidRPr="00EF5FAC">
        <w:rPr>
          <w:rFonts w:ascii="Times New Roman" w:hAnsi="Times New Roman" w:cs="Times New Roman"/>
          <w:sz w:val="24"/>
          <w:szCs w:val="24"/>
        </w:rPr>
        <w:t>salaries for their teachers</w:t>
      </w:r>
      <w:r w:rsidR="008E5525" w:rsidRPr="00EF5FAC">
        <w:rPr>
          <w:rFonts w:ascii="Times New Roman" w:hAnsi="Times New Roman" w:cs="Times New Roman"/>
          <w:sz w:val="24"/>
          <w:szCs w:val="24"/>
        </w:rPr>
        <w:t xml:space="preserve">. </w:t>
      </w:r>
      <w:r w:rsidR="00EF5FAC" w:rsidRPr="00EF5FAC">
        <w:rPr>
          <w:rFonts w:ascii="Times New Roman" w:hAnsi="Times New Roman" w:cs="Times New Roman"/>
          <w:color w:val="0D0D0D"/>
          <w:sz w:val="24"/>
          <w:szCs w:val="24"/>
          <w:shd w:val="clear" w:color="auto" w:fill="FFFFFF"/>
        </w:rPr>
        <w:t>Accordingly, observe in the scatter plot how nearly all the states located in the right-hand corner of the visual have salaries that fall well below this red average salary line. Furthermore, note the discernible negative correlation in the scatter plot, as indicated by the yellow trend line, illustrating that states with lower average teacher salaries tend to experience a higher percentage of teachers relocating.</w:t>
      </w:r>
      <w:r w:rsidR="00EF5FAC" w:rsidRPr="00EF5FAC">
        <w:rPr>
          <w:rFonts w:ascii="Times New Roman" w:hAnsi="Times New Roman" w:cs="Times New Roman"/>
          <w:color w:val="0D0D0D"/>
          <w:sz w:val="24"/>
          <w:szCs w:val="24"/>
          <w:shd w:val="clear" w:color="auto" w:fill="FFFFFF"/>
        </w:rPr>
        <w:t xml:space="preserve"> </w:t>
      </w:r>
      <w:r w:rsidR="00154DFF" w:rsidRPr="00EF5FAC">
        <w:rPr>
          <w:rFonts w:ascii="Times New Roman" w:hAnsi="Times New Roman" w:cs="Times New Roman"/>
          <w:color w:val="0D0D0D"/>
          <w:sz w:val="24"/>
          <w:szCs w:val="24"/>
          <w:shd w:val="clear" w:color="auto" w:fill="FFFFFF"/>
        </w:rPr>
        <w:t xml:space="preserve">This suggests that </w:t>
      </w:r>
      <w:r w:rsidR="00154DFF" w:rsidRPr="00EF5FAC">
        <w:rPr>
          <w:rFonts w:ascii="Times New Roman" w:hAnsi="Times New Roman" w:cs="Times New Roman"/>
          <w:color w:val="0D0D0D"/>
          <w:sz w:val="24"/>
          <w:szCs w:val="24"/>
          <w:shd w:val="clear" w:color="auto" w:fill="FFFFFF"/>
        </w:rPr>
        <w:t xml:space="preserve">the teachers in these states </w:t>
      </w:r>
      <w:r w:rsidR="00154DFF" w:rsidRPr="00EF5FAC">
        <w:rPr>
          <w:rFonts w:ascii="Times New Roman" w:hAnsi="Times New Roman" w:cs="Times New Roman"/>
          <w:color w:val="0D0D0D"/>
          <w:sz w:val="24"/>
          <w:szCs w:val="24"/>
          <w:shd w:val="clear" w:color="auto" w:fill="FFFFFF"/>
        </w:rPr>
        <w:t xml:space="preserve">may </w:t>
      </w:r>
      <w:r w:rsidR="00154DFF" w:rsidRPr="00EF5FAC">
        <w:rPr>
          <w:rFonts w:ascii="Times New Roman" w:hAnsi="Times New Roman" w:cs="Times New Roman"/>
          <w:color w:val="0D0D0D"/>
          <w:sz w:val="24"/>
          <w:szCs w:val="24"/>
          <w:shd w:val="clear" w:color="auto" w:fill="FFFFFF"/>
        </w:rPr>
        <w:t xml:space="preserve">be </w:t>
      </w:r>
      <w:r w:rsidR="00154DFF" w:rsidRPr="00EF5FAC">
        <w:rPr>
          <w:rFonts w:ascii="Times New Roman" w:hAnsi="Times New Roman" w:cs="Times New Roman"/>
          <w:color w:val="0D0D0D"/>
          <w:sz w:val="24"/>
          <w:szCs w:val="24"/>
          <w:shd w:val="clear" w:color="auto" w:fill="FFFFFF"/>
        </w:rPr>
        <w:t>mov</w:t>
      </w:r>
      <w:r w:rsidR="00154DFF" w:rsidRPr="00EF5FAC">
        <w:rPr>
          <w:rFonts w:ascii="Times New Roman" w:hAnsi="Times New Roman" w:cs="Times New Roman"/>
          <w:color w:val="0D0D0D"/>
          <w:sz w:val="24"/>
          <w:szCs w:val="24"/>
          <w:shd w:val="clear" w:color="auto" w:fill="FFFFFF"/>
        </w:rPr>
        <w:t>ing</w:t>
      </w:r>
      <w:r w:rsidR="00154DFF" w:rsidRPr="00EF5FAC">
        <w:rPr>
          <w:rFonts w:ascii="Times New Roman" w:hAnsi="Times New Roman" w:cs="Times New Roman"/>
          <w:color w:val="0D0D0D"/>
          <w:sz w:val="24"/>
          <w:szCs w:val="24"/>
          <w:shd w:val="clear" w:color="auto" w:fill="FFFFFF"/>
        </w:rPr>
        <w:t xml:space="preserve"> to different school districts in search of better pay.</w:t>
      </w:r>
      <w:r w:rsidR="00154DFF" w:rsidRPr="00EF5FAC">
        <w:rPr>
          <w:rFonts w:ascii="Times New Roman" w:hAnsi="Times New Roman" w:cs="Times New Roman"/>
          <w:color w:val="0D0D0D"/>
          <w:sz w:val="24"/>
          <w:szCs w:val="24"/>
          <w:shd w:val="clear" w:color="auto" w:fill="FFFFFF"/>
        </w:rPr>
        <w:t xml:space="preserve"> </w:t>
      </w:r>
      <w:r w:rsidR="00154DFF" w:rsidRPr="00EF5FAC">
        <w:rPr>
          <w:rFonts w:ascii="Times New Roman" w:hAnsi="Times New Roman" w:cs="Times New Roman"/>
          <w:color w:val="0D0D0D"/>
          <w:sz w:val="24"/>
          <w:szCs w:val="24"/>
          <w:shd w:val="clear" w:color="auto" w:fill="FFFFFF"/>
        </w:rPr>
        <w:t xml:space="preserve">However, it's </w:t>
      </w:r>
      <w:r w:rsidR="00154DFF" w:rsidRPr="00EF5FAC">
        <w:rPr>
          <w:rFonts w:ascii="Times New Roman" w:hAnsi="Times New Roman" w:cs="Times New Roman"/>
          <w:color w:val="0D0D0D"/>
          <w:sz w:val="24"/>
          <w:szCs w:val="24"/>
          <w:shd w:val="clear" w:color="auto" w:fill="FFFFFF"/>
        </w:rPr>
        <w:t>crucial</w:t>
      </w:r>
      <w:r w:rsidR="00154DFF" w:rsidRPr="00EF5FAC">
        <w:rPr>
          <w:rFonts w:ascii="Times New Roman" w:hAnsi="Times New Roman" w:cs="Times New Roman"/>
          <w:color w:val="0D0D0D"/>
          <w:sz w:val="24"/>
          <w:szCs w:val="24"/>
          <w:shd w:val="clear" w:color="auto" w:fill="FFFFFF"/>
        </w:rPr>
        <w:t xml:space="preserve"> to </w:t>
      </w:r>
      <w:r w:rsidR="00962FD6" w:rsidRPr="00EF5FAC">
        <w:rPr>
          <w:rFonts w:ascii="Times New Roman" w:hAnsi="Times New Roman" w:cs="Times New Roman"/>
          <w:color w:val="0D0D0D"/>
          <w:sz w:val="24"/>
          <w:szCs w:val="24"/>
          <w:shd w:val="clear" w:color="auto" w:fill="FFFFFF"/>
        </w:rPr>
        <w:t>recognize</w:t>
      </w:r>
      <w:r w:rsidR="00154DFF" w:rsidRPr="00EF5FAC">
        <w:rPr>
          <w:rFonts w:ascii="Times New Roman" w:hAnsi="Times New Roman" w:cs="Times New Roman"/>
          <w:color w:val="0D0D0D"/>
          <w:sz w:val="24"/>
          <w:szCs w:val="24"/>
          <w:shd w:val="clear" w:color="auto" w:fill="FFFFFF"/>
        </w:rPr>
        <w:t xml:space="preserve"> that as these teachers move to different schools, the students in these states </w:t>
      </w:r>
      <w:r w:rsidR="00154DFF" w:rsidRPr="00EF5FAC">
        <w:rPr>
          <w:rFonts w:ascii="Times New Roman" w:hAnsi="Times New Roman" w:cs="Times New Roman"/>
          <w:color w:val="0D0D0D"/>
          <w:sz w:val="24"/>
          <w:szCs w:val="24"/>
          <w:shd w:val="clear" w:color="auto" w:fill="FFFFFF"/>
        </w:rPr>
        <w:t>are</w:t>
      </w:r>
      <w:r w:rsidR="00962FD6" w:rsidRPr="00EF5FAC">
        <w:rPr>
          <w:rFonts w:ascii="Times New Roman" w:hAnsi="Times New Roman" w:cs="Times New Roman"/>
          <w:color w:val="0D0D0D"/>
          <w:sz w:val="24"/>
          <w:szCs w:val="24"/>
          <w:shd w:val="clear" w:color="auto" w:fill="FFFFFF"/>
        </w:rPr>
        <w:t xml:space="preserve"> at a higher risk of experiencing disruptions to their education</w:t>
      </w:r>
      <w:r w:rsidR="00154DFF" w:rsidRPr="00EF5FAC">
        <w:rPr>
          <w:rFonts w:ascii="Times New Roman" w:hAnsi="Times New Roman" w:cs="Times New Roman"/>
          <w:color w:val="0D0D0D"/>
          <w:sz w:val="24"/>
          <w:szCs w:val="24"/>
          <w:shd w:val="clear" w:color="auto" w:fill="FFFFFF"/>
        </w:rPr>
        <w:t>. T</w:t>
      </w:r>
      <w:r w:rsidR="00154DFF" w:rsidRPr="00EF5FAC">
        <w:rPr>
          <w:rFonts w:ascii="Times New Roman" w:hAnsi="Times New Roman" w:cs="Times New Roman"/>
          <w:color w:val="0D0D0D"/>
          <w:sz w:val="24"/>
          <w:szCs w:val="24"/>
          <w:shd w:val="clear" w:color="auto" w:fill="FFFFFF"/>
        </w:rPr>
        <w:t>eacher</w:t>
      </w:r>
      <w:r w:rsidR="00154DFF" w:rsidRPr="00EF5FAC">
        <w:rPr>
          <w:rFonts w:ascii="Times New Roman" w:hAnsi="Times New Roman" w:cs="Times New Roman"/>
          <w:color w:val="0D0D0D"/>
          <w:sz w:val="24"/>
          <w:szCs w:val="24"/>
          <w:shd w:val="clear" w:color="auto" w:fill="FFFFFF"/>
        </w:rPr>
        <w:t xml:space="preserve"> mobility </w:t>
      </w:r>
      <w:r w:rsidR="00962FD6" w:rsidRPr="00EF5FAC">
        <w:rPr>
          <w:rFonts w:ascii="Times New Roman" w:hAnsi="Times New Roman" w:cs="Times New Roman"/>
          <w:color w:val="0D0D0D"/>
          <w:sz w:val="24"/>
          <w:szCs w:val="24"/>
          <w:shd w:val="clear" w:color="auto" w:fill="FFFFFF"/>
        </w:rPr>
        <w:t xml:space="preserve">has a significant impact on students, </w:t>
      </w:r>
      <w:r w:rsidR="007527ED" w:rsidRPr="00EF5FAC">
        <w:rPr>
          <w:rFonts w:ascii="Times New Roman" w:hAnsi="Times New Roman" w:cs="Times New Roman"/>
          <w:color w:val="0D0D0D"/>
          <w:sz w:val="24"/>
          <w:szCs w:val="24"/>
          <w:shd w:val="clear" w:color="auto" w:fill="FFFFFF"/>
        </w:rPr>
        <w:t>especially when teachers change schools in the middle of the education year.</w:t>
      </w:r>
    </w:p>
    <w:p w14:paraId="6A1D8ADB" w14:textId="343CEC84" w:rsidR="007527ED" w:rsidRDefault="007527ED" w:rsidP="00990D82">
      <w:pPr>
        <w:spacing w:line="240" w:lineRule="auto"/>
        <w:jc w:val="center"/>
        <w:rPr>
          <w:rFonts w:ascii="Times New Roman" w:hAnsi="Times New Roman" w:cs="Times New Roman"/>
          <w:sz w:val="24"/>
          <w:szCs w:val="24"/>
        </w:rPr>
      </w:pPr>
      <w:r>
        <w:rPr>
          <w:rFonts w:ascii="Times New Roman" w:hAnsi="Times New Roman" w:cs="Times New Roman"/>
          <w:color w:val="0D0D0D"/>
          <w:sz w:val="24"/>
          <w:szCs w:val="24"/>
          <w:shd w:val="clear" w:color="auto" w:fill="FFFFFF"/>
        </w:rPr>
        <w:tab/>
      </w:r>
      <w:r w:rsidR="00990D82">
        <w:rPr>
          <w:rFonts w:ascii="Times New Roman" w:hAnsi="Times New Roman" w:cs="Times New Roman"/>
          <w:i/>
          <w:iCs/>
          <w:sz w:val="24"/>
          <w:szCs w:val="24"/>
        </w:rPr>
        <w:t xml:space="preserve">Dashboard 2 Part </w:t>
      </w:r>
      <w:r w:rsidR="00990D82">
        <w:rPr>
          <w:rFonts w:ascii="Times New Roman" w:hAnsi="Times New Roman" w:cs="Times New Roman"/>
          <w:i/>
          <w:iCs/>
          <w:sz w:val="24"/>
          <w:szCs w:val="24"/>
        </w:rPr>
        <w:t>2</w:t>
      </w:r>
      <w:r w:rsidR="00990D82">
        <w:rPr>
          <w:rFonts w:ascii="Times New Roman" w:hAnsi="Times New Roman" w:cs="Times New Roman"/>
          <w:i/>
          <w:iCs/>
          <w:sz w:val="24"/>
          <w:szCs w:val="24"/>
        </w:rPr>
        <w:t>: Current State of Teachers in the US</w:t>
      </w:r>
    </w:p>
    <w:p w14:paraId="690493DE" w14:textId="467DA738" w:rsidR="007527ED" w:rsidRPr="0087308E" w:rsidRDefault="007527ED" w:rsidP="00B20B4F">
      <w:pPr>
        <w:spacing w:line="240" w:lineRule="auto"/>
        <w:rPr>
          <w:rFonts w:ascii="Times New Roman" w:hAnsi="Times New Roman" w:cs="Times New Roman"/>
          <w:sz w:val="24"/>
          <w:szCs w:val="24"/>
        </w:rPr>
      </w:pPr>
      <w:r>
        <w:rPr>
          <w:rFonts w:ascii="Times New Roman" w:hAnsi="Times New Roman" w:cs="Times New Roman"/>
          <w:sz w:val="24"/>
          <w:szCs w:val="24"/>
        </w:rPr>
        <w:tab/>
      </w:r>
      <w:r w:rsidRPr="0087308E">
        <w:rPr>
          <w:rFonts w:ascii="Times New Roman" w:hAnsi="Times New Roman" w:cs="Times New Roman"/>
          <w:sz w:val="24"/>
          <w:szCs w:val="24"/>
        </w:rPr>
        <w:t xml:space="preserve">Secondly, when analyzing both the text table and the symbol map in this dashboard, the picture becomes even clearer of which states are </w:t>
      </w:r>
      <w:r w:rsidR="004C4C9F" w:rsidRPr="0087308E">
        <w:rPr>
          <w:rFonts w:ascii="Times New Roman" w:hAnsi="Times New Roman" w:cs="Times New Roman"/>
          <w:sz w:val="24"/>
          <w:szCs w:val="24"/>
        </w:rPr>
        <w:t>experiencing the biggest decline in education standards</w:t>
      </w:r>
      <w:r w:rsidRPr="0087308E">
        <w:rPr>
          <w:rFonts w:ascii="Times New Roman" w:hAnsi="Times New Roman" w:cs="Times New Roman"/>
          <w:sz w:val="24"/>
          <w:szCs w:val="24"/>
        </w:rPr>
        <w:t xml:space="preserve">. </w:t>
      </w:r>
      <w:r w:rsidR="00EF5FAC" w:rsidRPr="0087308E">
        <w:rPr>
          <w:rFonts w:ascii="Times New Roman" w:hAnsi="Times New Roman" w:cs="Times New Roman"/>
          <w:color w:val="0D0D0D"/>
          <w:sz w:val="24"/>
          <w:szCs w:val="24"/>
          <w:shd w:val="clear" w:color="auto" w:fill="FFFFFF"/>
        </w:rPr>
        <w:t xml:space="preserve">While the scatter plot reveals an inverse correlation between teacher salary and the percentage of teachers relocating, the text table and symbol map emphasize that there exists no discernible relationship between </w:t>
      </w:r>
      <w:r w:rsidR="00A75C5B" w:rsidRPr="0087308E">
        <w:rPr>
          <w:rFonts w:ascii="Times New Roman" w:hAnsi="Times New Roman" w:cs="Times New Roman"/>
          <w:color w:val="0D0D0D"/>
          <w:sz w:val="24"/>
          <w:szCs w:val="24"/>
          <w:shd w:val="clear" w:color="auto" w:fill="FFFFFF"/>
        </w:rPr>
        <w:t xml:space="preserve">current </w:t>
      </w:r>
      <w:r w:rsidR="00EF5FAC" w:rsidRPr="0087308E">
        <w:rPr>
          <w:rFonts w:ascii="Times New Roman" w:hAnsi="Times New Roman" w:cs="Times New Roman"/>
          <w:color w:val="0D0D0D"/>
          <w:sz w:val="24"/>
          <w:szCs w:val="24"/>
          <w:shd w:val="clear" w:color="auto" w:fill="FFFFFF"/>
        </w:rPr>
        <w:t xml:space="preserve">teacher salary and the percentage of educators exiting </w:t>
      </w:r>
      <w:r w:rsidR="00EF5FAC" w:rsidRPr="0087308E">
        <w:rPr>
          <w:rFonts w:ascii="Times New Roman" w:hAnsi="Times New Roman" w:cs="Times New Roman"/>
          <w:color w:val="0D0D0D"/>
          <w:sz w:val="24"/>
          <w:szCs w:val="24"/>
          <w:shd w:val="clear" w:color="auto" w:fill="FFFFFF"/>
        </w:rPr>
        <w:lastRenderedPageBreak/>
        <w:t>the profession in 2022</w:t>
      </w:r>
      <w:r w:rsidR="004C4C9F" w:rsidRPr="0087308E">
        <w:rPr>
          <w:rFonts w:ascii="Times New Roman" w:hAnsi="Times New Roman" w:cs="Times New Roman"/>
          <w:sz w:val="24"/>
          <w:szCs w:val="24"/>
        </w:rPr>
        <w:t xml:space="preserve">. </w:t>
      </w:r>
      <w:r w:rsidR="00A75C5B" w:rsidRPr="0087308E">
        <w:rPr>
          <w:rFonts w:ascii="Times New Roman" w:hAnsi="Times New Roman" w:cs="Times New Roman"/>
          <w:sz w:val="24"/>
          <w:szCs w:val="24"/>
        </w:rPr>
        <w:t>Remarkably, out of the</w:t>
      </w:r>
      <w:r w:rsidR="004C4C9F" w:rsidRPr="0087308E">
        <w:rPr>
          <w:rFonts w:ascii="Times New Roman" w:hAnsi="Times New Roman" w:cs="Times New Roman"/>
          <w:sz w:val="24"/>
          <w:szCs w:val="24"/>
        </w:rPr>
        <w:t xml:space="preserve"> </w:t>
      </w:r>
      <w:r w:rsidR="00A75C5B" w:rsidRPr="0087308E">
        <w:rPr>
          <w:rFonts w:ascii="Times New Roman" w:hAnsi="Times New Roman" w:cs="Times New Roman"/>
          <w:sz w:val="24"/>
          <w:szCs w:val="24"/>
        </w:rPr>
        <w:t xml:space="preserve">top </w:t>
      </w:r>
      <w:r w:rsidR="004C4C9F" w:rsidRPr="0087308E">
        <w:rPr>
          <w:rFonts w:ascii="Times New Roman" w:hAnsi="Times New Roman" w:cs="Times New Roman"/>
          <w:sz w:val="24"/>
          <w:szCs w:val="24"/>
        </w:rPr>
        <w:t xml:space="preserve">15 states </w:t>
      </w:r>
      <w:r w:rsidR="00A75C5B" w:rsidRPr="0087308E">
        <w:rPr>
          <w:rFonts w:ascii="Times New Roman" w:hAnsi="Times New Roman" w:cs="Times New Roman"/>
          <w:sz w:val="24"/>
          <w:szCs w:val="24"/>
        </w:rPr>
        <w:t xml:space="preserve">with the </w:t>
      </w:r>
      <w:r w:rsidR="00A75C5B" w:rsidRPr="0087308E">
        <w:rPr>
          <w:rFonts w:ascii="Times New Roman" w:hAnsi="Times New Roman" w:cs="Times New Roman"/>
          <w:color w:val="0D0D0D"/>
          <w:sz w:val="24"/>
          <w:szCs w:val="24"/>
          <w:shd w:val="clear" w:color="auto" w:fill="FFFFFF"/>
        </w:rPr>
        <w:t>highest rates of teacher attrition</w:t>
      </w:r>
      <w:r w:rsidR="004C4C9F" w:rsidRPr="0087308E">
        <w:rPr>
          <w:rFonts w:ascii="Times New Roman" w:hAnsi="Times New Roman" w:cs="Times New Roman"/>
          <w:sz w:val="24"/>
          <w:szCs w:val="24"/>
        </w:rPr>
        <w:t xml:space="preserve">, 4 of these 15 states </w:t>
      </w:r>
      <w:r w:rsidR="00A75C5B" w:rsidRPr="0087308E">
        <w:rPr>
          <w:rFonts w:ascii="Times New Roman" w:hAnsi="Times New Roman" w:cs="Times New Roman"/>
          <w:sz w:val="24"/>
          <w:szCs w:val="24"/>
        </w:rPr>
        <w:t>boasted</w:t>
      </w:r>
      <w:r w:rsidR="004C4C9F" w:rsidRPr="0087308E">
        <w:rPr>
          <w:rFonts w:ascii="Times New Roman" w:hAnsi="Times New Roman" w:cs="Times New Roman"/>
          <w:sz w:val="24"/>
          <w:szCs w:val="24"/>
        </w:rPr>
        <w:t xml:space="preserve"> average teacher salaries around $80,000 and above! These states</w:t>
      </w:r>
      <w:r w:rsidR="00A75C5B" w:rsidRPr="0087308E">
        <w:rPr>
          <w:rFonts w:ascii="Times New Roman" w:hAnsi="Times New Roman" w:cs="Times New Roman"/>
          <w:sz w:val="24"/>
          <w:szCs w:val="24"/>
        </w:rPr>
        <w:t xml:space="preserve">, despite offering such lucrative compensation, </w:t>
      </w:r>
      <w:r w:rsidR="004C4C9F" w:rsidRPr="0087308E">
        <w:rPr>
          <w:rFonts w:ascii="Times New Roman" w:hAnsi="Times New Roman" w:cs="Times New Roman"/>
          <w:sz w:val="24"/>
          <w:szCs w:val="24"/>
        </w:rPr>
        <w:t>like Massachusetts and New York</w:t>
      </w:r>
      <w:r w:rsidR="00A75C5B" w:rsidRPr="0087308E">
        <w:rPr>
          <w:rFonts w:ascii="Times New Roman" w:hAnsi="Times New Roman" w:cs="Times New Roman"/>
          <w:sz w:val="24"/>
          <w:szCs w:val="24"/>
        </w:rPr>
        <w:t>,</w:t>
      </w:r>
      <w:r w:rsidR="00926F1D" w:rsidRPr="0087308E">
        <w:rPr>
          <w:rFonts w:ascii="Times New Roman" w:hAnsi="Times New Roman" w:cs="Times New Roman"/>
          <w:sz w:val="24"/>
          <w:szCs w:val="24"/>
        </w:rPr>
        <w:t xml:space="preserve"> still </w:t>
      </w:r>
      <w:r w:rsidR="00A75C5B" w:rsidRPr="0087308E">
        <w:rPr>
          <w:rFonts w:ascii="Times New Roman" w:hAnsi="Times New Roman" w:cs="Times New Roman"/>
          <w:sz w:val="24"/>
          <w:szCs w:val="24"/>
        </w:rPr>
        <w:t>faced</w:t>
      </w:r>
      <w:r w:rsidR="00926F1D" w:rsidRPr="0087308E">
        <w:rPr>
          <w:rFonts w:ascii="Times New Roman" w:hAnsi="Times New Roman" w:cs="Times New Roman"/>
          <w:sz w:val="24"/>
          <w:szCs w:val="24"/>
        </w:rPr>
        <w:t xml:space="preserve"> </w:t>
      </w:r>
      <w:r w:rsidR="00A75C5B" w:rsidRPr="0087308E">
        <w:rPr>
          <w:rFonts w:ascii="Times New Roman" w:hAnsi="Times New Roman" w:cs="Times New Roman"/>
          <w:sz w:val="24"/>
          <w:szCs w:val="24"/>
        </w:rPr>
        <w:t>alarmingly high departure rates among teachers</w:t>
      </w:r>
      <w:r w:rsidR="004C4C9F" w:rsidRPr="0087308E">
        <w:rPr>
          <w:rFonts w:ascii="Times New Roman" w:hAnsi="Times New Roman" w:cs="Times New Roman"/>
          <w:sz w:val="24"/>
          <w:szCs w:val="24"/>
        </w:rPr>
        <w:t xml:space="preserve">. </w:t>
      </w:r>
      <w:r w:rsidR="00926F1D" w:rsidRPr="0087308E">
        <w:rPr>
          <w:rFonts w:ascii="Times New Roman" w:hAnsi="Times New Roman" w:cs="Times New Roman"/>
          <w:sz w:val="24"/>
          <w:szCs w:val="24"/>
        </w:rPr>
        <w:t xml:space="preserve">Additionally, </w:t>
      </w:r>
      <w:r w:rsidR="004C4C9F" w:rsidRPr="0087308E">
        <w:rPr>
          <w:rFonts w:ascii="Times New Roman" w:hAnsi="Times New Roman" w:cs="Times New Roman"/>
          <w:sz w:val="24"/>
          <w:szCs w:val="24"/>
        </w:rPr>
        <w:t xml:space="preserve">7 of these 15 states </w:t>
      </w:r>
      <w:r w:rsidR="00926F1D" w:rsidRPr="0087308E">
        <w:rPr>
          <w:rFonts w:ascii="Times New Roman" w:hAnsi="Times New Roman" w:cs="Times New Roman"/>
          <w:sz w:val="24"/>
          <w:szCs w:val="24"/>
        </w:rPr>
        <w:t>all had teacher salaries that were greater than the national average of $62,809. This underscores that while</w:t>
      </w:r>
      <w:r w:rsidR="00A75C5B" w:rsidRPr="0087308E">
        <w:rPr>
          <w:rFonts w:ascii="Times New Roman" w:hAnsi="Times New Roman" w:cs="Times New Roman"/>
          <w:sz w:val="24"/>
          <w:szCs w:val="24"/>
        </w:rPr>
        <w:t xml:space="preserve"> </w:t>
      </w:r>
      <w:r w:rsidR="00926F1D" w:rsidRPr="0087308E">
        <w:rPr>
          <w:rFonts w:ascii="Times New Roman" w:hAnsi="Times New Roman" w:cs="Times New Roman"/>
          <w:sz w:val="24"/>
          <w:szCs w:val="24"/>
        </w:rPr>
        <w:t xml:space="preserve">salary </w:t>
      </w:r>
      <w:r w:rsidR="00A75C5B" w:rsidRPr="0087308E">
        <w:rPr>
          <w:rFonts w:ascii="Times New Roman" w:hAnsi="Times New Roman" w:cs="Times New Roman"/>
          <w:sz w:val="24"/>
          <w:szCs w:val="24"/>
        </w:rPr>
        <w:t>remains a crucial</w:t>
      </w:r>
      <w:r w:rsidR="00926F1D" w:rsidRPr="0087308E">
        <w:rPr>
          <w:rFonts w:ascii="Times New Roman" w:hAnsi="Times New Roman" w:cs="Times New Roman"/>
          <w:sz w:val="24"/>
          <w:szCs w:val="24"/>
        </w:rPr>
        <w:t xml:space="preserve"> factor, </w:t>
      </w:r>
      <w:r w:rsidR="00A75C5B" w:rsidRPr="0087308E">
        <w:rPr>
          <w:rFonts w:ascii="Times New Roman" w:hAnsi="Times New Roman" w:cs="Times New Roman"/>
          <w:sz w:val="24"/>
          <w:szCs w:val="24"/>
        </w:rPr>
        <w:t>other influences</w:t>
      </w:r>
      <w:r w:rsidR="00926F1D" w:rsidRPr="0087308E">
        <w:rPr>
          <w:rFonts w:ascii="Times New Roman" w:hAnsi="Times New Roman" w:cs="Times New Roman"/>
          <w:sz w:val="24"/>
          <w:szCs w:val="24"/>
        </w:rPr>
        <w:t xml:space="preserve"> </w:t>
      </w:r>
      <w:r w:rsidR="00A75C5B" w:rsidRPr="0087308E">
        <w:rPr>
          <w:rFonts w:ascii="Times New Roman" w:hAnsi="Times New Roman" w:cs="Times New Roman"/>
          <w:sz w:val="24"/>
          <w:szCs w:val="24"/>
        </w:rPr>
        <w:t>are certainly weighing heavily on teachers’ decisions to leave</w:t>
      </w:r>
      <w:r w:rsidR="00926F1D" w:rsidRPr="0087308E">
        <w:rPr>
          <w:rFonts w:ascii="Times New Roman" w:hAnsi="Times New Roman" w:cs="Times New Roman"/>
          <w:sz w:val="24"/>
          <w:szCs w:val="24"/>
        </w:rPr>
        <w:t xml:space="preserve">. When we look at the symbol map, there is a growing hotbed of teachers quitting their jobs on the east coast of the United States. </w:t>
      </w:r>
      <w:r w:rsidR="00A75C5B" w:rsidRPr="0087308E">
        <w:rPr>
          <w:rFonts w:ascii="Times New Roman" w:hAnsi="Times New Roman" w:cs="Times New Roman"/>
          <w:color w:val="0D0D0D"/>
          <w:sz w:val="24"/>
          <w:szCs w:val="24"/>
          <w:shd w:val="clear" w:color="auto" w:fill="FFFFFF"/>
        </w:rPr>
        <w:t xml:space="preserve">Vermont, in particular, witnessed a staggering 17.4% of its teaching force depart in 2022. </w:t>
      </w:r>
      <w:r w:rsidR="00A75C5B" w:rsidRPr="0087308E">
        <w:rPr>
          <w:rFonts w:ascii="Times New Roman" w:hAnsi="Times New Roman" w:cs="Times New Roman"/>
          <w:color w:val="0D0D0D"/>
          <w:sz w:val="24"/>
          <w:szCs w:val="24"/>
          <w:shd w:val="clear" w:color="auto" w:fill="FFFFFF"/>
        </w:rPr>
        <w:t>One cannot overstate the consequences of such waves of tea</w:t>
      </w:r>
      <w:r w:rsidR="0087308E" w:rsidRPr="0087308E">
        <w:rPr>
          <w:rFonts w:ascii="Times New Roman" w:hAnsi="Times New Roman" w:cs="Times New Roman"/>
          <w:color w:val="0D0D0D"/>
          <w:sz w:val="24"/>
          <w:szCs w:val="24"/>
          <w:shd w:val="clear" w:color="auto" w:fill="FFFFFF"/>
        </w:rPr>
        <w:t>chers leaving</w:t>
      </w:r>
      <w:r w:rsidR="00A75C5B" w:rsidRPr="0087308E">
        <w:rPr>
          <w:rFonts w:ascii="Times New Roman" w:hAnsi="Times New Roman" w:cs="Times New Roman"/>
          <w:color w:val="0D0D0D"/>
          <w:sz w:val="24"/>
          <w:szCs w:val="24"/>
          <w:shd w:val="clear" w:color="auto" w:fill="FFFFFF"/>
        </w:rPr>
        <w:t xml:space="preserve">, particularly for the students of Vermont and other states grappling with similar </w:t>
      </w:r>
      <w:r w:rsidR="0087308E" w:rsidRPr="0087308E">
        <w:rPr>
          <w:rFonts w:ascii="Times New Roman" w:hAnsi="Times New Roman" w:cs="Times New Roman"/>
          <w:color w:val="0D0D0D"/>
          <w:sz w:val="24"/>
          <w:szCs w:val="24"/>
          <w:shd w:val="clear" w:color="auto" w:fill="FFFFFF"/>
        </w:rPr>
        <w:t xml:space="preserve">issues </w:t>
      </w:r>
      <w:r w:rsidR="00A75C5B" w:rsidRPr="0087308E">
        <w:rPr>
          <w:rFonts w:ascii="Times New Roman" w:hAnsi="Times New Roman" w:cs="Times New Roman"/>
          <w:color w:val="0D0D0D"/>
          <w:sz w:val="24"/>
          <w:szCs w:val="24"/>
          <w:shd w:val="clear" w:color="auto" w:fill="FFFFFF"/>
        </w:rPr>
        <w:t xml:space="preserve">of </w:t>
      </w:r>
      <w:r w:rsidR="0087308E" w:rsidRPr="0087308E">
        <w:rPr>
          <w:rFonts w:ascii="Times New Roman" w:hAnsi="Times New Roman" w:cs="Times New Roman"/>
          <w:color w:val="0D0D0D"/>
          <w:sz w:val="24"/>
          <w:szCs w:val="24"/>
          <w:shd w:val="clear" w:color="auto" w:fill="FFFFFF"/>
        </w:rPr>
        <w:t>teaching</w:t>
      </w:r>
      <w:r w:rsidR="00A75C5B" w:rsidRPr="0087308E">
        <w:rPr>
          <w:rFonts w:ascii="Times New Roman" w:hAnsi="Times New Roman" w:cs="Times New Roman"/>
          <w:color w:val="0D0D0D"/>
          <w:sz w:val="24"/>
          <w:szCs w:val="24"/>
          <w:shd w:val="clear" w:color="auto" w:fill="FFFFFF"/>
        </w:rPr>
        <w:t xml:space="preserve"> departures.</w:t>
      </w:r>
    </w:p>
    <w:p w14:paraId="03A9E5AA" w14:textId="01852B0F" w:rsidR="00990D82" w:rsidRDefault="00990D82" w:rsidP="00990D82">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Dashboard </w:t>
      </w:r>
      <w:r w:rsidR="00627BBC">
        <w:rPr>
          <w:rFonts w:ascii="Times New Roman" w:hAnsi="Times New Roman" w:cs="Times New Roman"/>
          <w:i/>
          <w:iCs/>
          <w:sz w:val="24"/>
          <w:szCs w:val="24"/>
        </w:rPr>
        <w:t>3</w:t>
      </w:r>
      <w:r>
        <w:rPr>
          <w:rFonts w:ascii="Times New Roman" w:hAnsi="Times New Roman" w:cs="Times New Roman"/>
          <w:i/>
          <w:iCs/>
          <w:sz w:val="24"/>
          <w:szCs w:val="24"/>
        </w:rPr>
        <w:t>: How Did COVID affect Teachers in the US</w:t>
      </w:r>
    </w:p>
    <w:p w14:paraId="414AA694" w14:textId="7A2CE90C" w:rsidR="00627BBC" w:rsidRDefault="00627BBC" w:rsidP="00627BBC">
      <w:pPr>
        <w:spacing w:line="240" w:lineRule="auto"/>
        <w:rPr>
          <w:rFonts w:ascii="Times New Roman" w:hAnsi="Times New Roman" w:cs="Times New Roman"/>
          <w:sz w:val="24"/>
          <w:szCs w:val="24"/>
        </w:rPr>
      </w:pPr>
      <w:r>
        <w:rPr>
          <w:rFonts w:ascii="Times New Roman" w:hAnsi="Times New Roman" w:cs="Times New Roman"/>
          <w:sz w:val="24"/>
          <w:szCs w:val="24"/>
        </w:rPr>
        <w:tab/>
      </w:r>
      <w:r w:rsidRPr="00374013">
        <w:rPr>
          <w:rFonts w:ascii="Times New Roman" w:hAnsi="Times New Roman" w:cs="Times New Roman"/>
          <w:sz w:val="24"/>
          <w:szCs w:val="24"/>
        </w:rPr>
        <w:t xml:space="preserve">In the next dashboard, the visuals that are presented here emphasize </w:t>
      </w:r>
      <w:r w:rsidR="000B1F01" w:rsidRPr="00374013">
        <w:rPr>
          <w:rFonts w:ascii="Times New Roman" w:hAnsi="Times New Roman" w:cs="Times New Roman"/>
          <w:sz w:val="24"/>
          <w:szCs w:val="24"/>
        </w:rPr>
        <w:t>a stark reality:</w:t>
      </w:r>
      <w:r w:rsidRPr="00374013">
        <w:rPr>
          <w:rFonts w:ascii="Times New Roman" w:hAnsi="Times New Roman" w:cs="Times New Roman"/>
          <w:sz w:val="24"/>
          <w:szCs w:val="24"/>
        </w:rPr>
        <w:t xml:space="preserve"> the teaching profession has become less appealing after COVID. </w:t>
      </w:r>
      <w:r w:rsidR="000B1F01" w:rsidRPr="00374013">
        <w:rPr>
          <w:rFonts w:ascii="Times New Roman" w:hAnsi="Times New Roman" w:cs="Times New Roman"/>
          <w:sz w:val="24"/>
          <w:szCs w:val="24"/>
        </w:rPr>
        <w:t xml:space="preserve">We showed in the previous dashboard that salary is inversely related </w:t>
      </w:r>
      <w:r w:rsidR="000B1F01" w:rsidRPr="00374013">
        <w:rPr>
          <w:rFonts w:ascii="Times New Roman" w:hAnsi="Times New Roman" w:cs="Times New Roman"/>
          <w:sz w:val="24"/>
          <w:szCs w:val="24"/>
        </w:rPr>
        <w:t>to</w:t>
      </w:r>
      <w:r w:rsidR="000B1F01" w:rsidRPr="00374013">
        <w:rPr>
          <w:rFonts w:ascii="Times New Roman" w:hAnsi="Times New Roman" w:cs="Times New Roman"/>
          <w:sz w:val="24"/>
          <w:szCs w:val="24"/>
        </w:rPr>
        <w:t xml:space="preserve"> teachers relocating to different schools, but what about salary’s implication on new graduates entering the teach</w:t>
      </w:r>
      <w:r w:rsidR="0020107E" w:rsidRPr="00374013">
        <w:rPr>
          <w:rFonts w:ascii="Times New Roman" w:hAnsi="Times New Roman" w:cs="Times New Roman"/>
          <w:sz w:val="24"/>
          <w:szCs w:val="24"/>
        </w:rPr>
        <w:t>ing</w:t>
      </w:r>
      <w:r w:rsidR="000B1F01" w:rsidRPr="00374013">
        <w:rPr>
          <w:rFonts w:ascii="Times New Roman" w:hAnsi="Times New Roman" w:cs="Times New Roman"/>
          <w:sz w:val="24"/>
          <w:szCs w:val="24"/>
        </w:rPr>
        <w:t xml:space="preserve"> profession? </w:t>
      </w:r>
      <w:r w:rsidR="000B1F01" w:rsidRPr="00374013">
        <w:rPr>
          <w:rFonts w:ascii="Times New Roman" w:hAnsi="Times New Roman" w:cs="Times New Roman"/>
          <w:sz w:val="24"/>
          <w:szCs w:val="24"/>
        </w:rPr>
        <w:t>Are</w:t>
      </w:r>
      <w:r w:rsidRPr="00374013">
        <w:rPr>
          <w:rFonts w:ascii="Times New Roman" w:hAnsi="Times New Roman" w:cs="Times New Roman"/>
          <w:sz w:val="24"/>
          <w:szCs w:val="24"/>
        </w:rPr>
        <w:t xml:space="preserve"> administrators finding it increasingly more difficult to fill teaching positions and convince current educators to stay in the profession</w:t>
      </w:r>
      <w:r w:rsidR="000B1F01" w:rsidRPr="00374013">
        <w:rPr>
          <w:rFonts w:ascii="Times New Roman" w:hAnsi="Times New Roman" w:cs="Times New Roman"/>
          <w:sz w:val="24"/>
          <w:szCs w:val="24"/>
        </w:rPr>
        <w:t>?</w:t>
      </w:r>
      <w:r w:rsidRPr="00374013">
        <w:rPr>
          <w:rFonts w:ascii="Times New Roman" w:hAnsi="Times New Roman" w:cs="Times New Roman"/>
          <w:sz w:val="24"/>
          <w:szCs w:val="24"/>
        </w:rPr>
        <w:t xml:space="preserve"> </w:t>
      </w:r>
      <w:r w:rsidR="00E768CC" w:rsidRPr="00374013">
        <w:rPr>
          <w:rFonts w:ascii="Times New Roman" w:hAnsi="Times New Roman" w:cs="Times New Roman"/>
          <w:sz w:val="24"/>
          <w:szCs w:val="24"/>
        </w:rPr>
        <w:t xml:space="preserve">To dissect this question, </w:t>
      </w:r>
      <w:r w:rsidR="000B1F01" w:rsidRPr="00374013">
        <w:rPr>
          <w:rFonts w:ascii="Times New Roman" w:hAnsi="Times New Roman" w:cs="Times New Roman"/>
          <w:sz w:val="24"/>
          <w:szCs w:val="24"/>
        </w:rPr>
        <w:t>consider</w:t>
      </w:r>
      <w:r w:rsidRPr="00374013">
        <w:rPr>
          <w:rFonts w:ascii="Times New Roman" w:hAnsi="Times New Roman" w:cs="Times New Roman"/>
          <w:sz w:val="24"/>
          <w:szCs w:val="24"/>
        </w:rPr>
        <w:t xml:space="preserve"> the line chart in the upper left-hand corner</w:t>
      </w:r>
      <w:r w:rsidR="000B1F01" w:rsidRPr="00374013">
        <w:rPr>
          <w:rFonts w:ascii="Times New Roman" w:hAnsi="Times New Roman" w:cs="Times New Roman"/>
          <w:sz w:val="24"/>
          <w:szCs w:val="24"/>
        </w:rPr>
        <w:t xml:space="preserve">, </w:t>
      </w:r>
      <w:r w:rsidRPr="00374013">
        <w:rPr>
          <w:rFonts w:ascii="Times New Roman" w:hAnsi="Times New Roman" w:cs="Times New Roman"/>
          <w:sz w:val="24"/>
          <w:szCs w:val="24"/>
        </w:rPr>
        <w:t xml:space="preserve">which compares average teacher salaries </w:t>
      </w:r>
      <w:r w:rsidR="000B1F01" w:rsidRPr="00374013">
        <w:rPr>
          <w:rFonts w:ascii="Times New Roman" w:hAnsi="Times New Roman" w:cs="Times New Roman"/>
          <w:sz w:val="24"/>
          <w:szCs w:val="24"/>
        </w:rPr>
        <w:t>adjusted for</w:t>
      </w:r>
      <w:r w:rsidRPr="00374013">
        <w:rPr>
          <w:rFonts w:ascii="Times New Roman" w:hAnsi="Times New Roman" w:cs="Times New Roman"/>
          <w:sz w:val="24"/>
          <w:szCs w:val="24"/>
        </w:rPr>
        <w:t xml:space="preserve"> inflation </w:t>
      </w:r>
      <w:r w:rsidR="000B1F01" w:rsidRPr="00374013">
        <w:rPr>
          <w:rFonts w:ascii="Times New Roman" w:hAnsi="Times New Roman" w:cs="Times New Roman"/>
          <w:sz w:val="24"/>
          <w:szCs w:val="24"/>
        </w:rPr>
        <w:t>over the past 60 years</w:t>
      </w:r>
      <w:r w:rsidRPr="00374013">
        <w:rPr>
          <w:rFonts w:ascii="Times New Roman" w:hAnsi="Times New Roman" w:cs="Times New Roman"/>
          <w:sz w:val="24"/>
          <w:szCs w:val="24"/>
        </w:rPr>
        <w:t xml:space="preserve">. </w:t>
      </w:r>
      <w:r w:rsidR="00E768CC" w:rsidRPr="00374013">
        <w:rPr>
          <w:rFonts w:ascii="Times New Roman" w:hAnsi="Times New Roman" w:cs="Times New Roman"/>
          <w:sz w:val="24"/>
          <w:szCs w:val="24"/>
        </w:rPr>
        <w:t xml:space="preserve">Unbelievably, teacher salaries have remained </w:t>
      </w:r>
      <w:r w:rsidR="0020107E" w:rsidRPr="00374013">
        <w:rPr>
          <w:rFonts w:ascii="Times New Roman" w:hAnsi="Times New Roman" w:cs="Times New Roman"/>
          <w:sz w:val="24"/>
          <w:szCs w:val="24"/>
        </w:rPr>
        <w:t>nearly stagnant</w:t>
      </w:r>
      <w:r w:rsidR="00E768CC" w:rsidRPr="00374013">
        <w:rPr>
          <w:rFonts w:ascii="Times New Roman" w:hAnsi="Times New Roman" w:cs="Times New Roman"/>
          <w:sz w:val="24"/>
          <w:szCs w:val="24"/>
        </w:rPr>
        <w:t xml:space="preserve"> when adjust</w:t>
      </w:r>
      <w:r w:rsidR="0020107E" w:rsidRPr="00374013">
        <w:rPr>
          <w:rFonts w:ascii="Times New Roman" w:hAnsi="Times New Roman" w:cs="Times New Roman"/>
          <w:sz w:val="24"/>
          <w:szCs w:val="24"/>
        </w:rPr>
        <w:t>ed</w:t>
      </w:r>
      <w:r w:rsidR="00E768CC" w:rsidRPr="00374013">
        <w:rPr>
          <w:rFonts w:ascii="Times New Roman" w:hAnsi="Times New Roman" w:cs="Times New Roman"/>
          <w:sz w:val="24"/>
          <w:szCs w:val="24"/>
        </w:rPr>
        <w:t xml:space="preserve"> </w:t>
      </w:r>
      <w:r w:rsidR="0020107E" w:rsidRPr="00374013">
        <w:rPr>
          <w:rFonts w:ascii="Times New Roman" w:hAnsi="Times New Roman" w:cs="Times New Roman"/>
          <w:sz w:val="24"/>
          <w:szCs w:val="24"/>
        </w:rPr>
        <w:t xml:space="preserve">to </w:t>
      </w:r>
      <w:r w:rsidR="00E768CC" w:rsidRPr="00374013">
        <w:rPr>
          <w:rFonts w:ascii="Times New Roman" w:hAnsi="Times New Roman" w:cs="Times New Roman"/>
          <w:sz w:val="24"/>
          <w:szCs w:val="24"/>
        </w:rPr>
        <w:t xml:space="preserve">2021 dollars. </w:t>
      </w:r>
      <w:r w:rsidR="0020107E" w:rsidRPr="00374013">
        <w:rPr>
          <w:rFonts w:ascii="Times New Roman" w:hAnsi="Times New Roman" w:cs="Times New Roman"/>
          <w:color w:val="0D0D0D"/>
          <w:sz w:val="24"/>
          <w:szCs w:val="24"/>
          <w:shd w:val="clear" w:color="auto" w:fill="FFFFFF"/>
        </w:rPr>
        <w:t xml:space="preserve">While it may appear that salaries have increased over time, this graph unequivocally </w:t>
      </w:r>
      <w:r w:rsidR="0020107E" w:rsidRPr="00374013">
        <w:rPr>
          <w:rFonts w:ascii="Times New Roman" w:hAnsi="Times New Roman" w:cs="Times New Roman"/>
          <w:color w:val="0D0D0D"/>
          <w:sz w:val="24"/>
          <w:szCs w:val="24"/>
          <w:shd w:val="clear" w:color="auto" w:fill="FFFFFF"/>
        </w:rPr>
        <w:t>proves</w:t>
      </w:r>
      <w:r w:rsidR="0020107E" w:rsidRPr="00374013">
        <w:rPr>
          <w:rFonts w:ascii="Times New Roman" w:hAnsi="Times New Roman" w:cs="Times New Roman"/>
          <w:color w:val="0D0D0D"/>
          <w:sz w:val="24"/>
          <w:szCs w:val="24"/>
          <w:shd w:val="clear" w:color="auto" w:fill="FFFFFF"/>
        </w:rPr>
        <w:t xml:space="preserve"> that educators have not been incentivized to pursue or remain in the profession</w:t>
      </w:r>
      <w:r w:rsidR="00E768CC" w:rsidRPr="00374013">
        <w:rPr>
          <w:rFonts w:ascii="Times New Roman" w:hAnsi="Times New Roman" w:cs="Times New Roman"/>
          <w:sz w:val="24"/>
          <w:szCs w:val="24"/>
        </w:rPr>
        <w:t xml:space="preserve">. </w:t>
      </w:r>
      <w:r w:rsidR="0020107E" w:rsidRPr="00374013">
        <w:rPr>
          <w:rFonts w:ascii="Times New Roman" w:hAnsi="Times New Roman" w:cs="Times New Roman"/>
          <w:sz w:val="24"/>
          <w:szCs w:val="24"/>
        </w:rPr>
        <w:t>Moreover</w:t>
      </w:r>
      <w:r w:rsidR="00E768CC" w:rsidRPr="00374013">
        <w:rPr>
          <w:rFonts w:ascii="Times New Roman" w:hAnsi="Times New Roman" w:cs="Times New Roman"/>
          <w:sz w:val="24"/>
          <w:szCs w:val="24"/>
        </w:rPr>
        <w:t xml:space="preserve">, when examining teacher salaries in some of the higher income states like New Jersey, New York, and Massachusetts, the second line graph in the dashboard (in the lower right-hand corner) reveals that teacher salaries have </w:t>
      </w:r>
      <w:r w:rsidR="0020107E" w:rsidRPr="00374013">
        <w:rPr>
          <w:rFonts w:ascii="Times New Roman" w:hAnsi="Times New Roman" w:cs="Times New Roman"/>
          <w:sz w:val="24"/>
          <w:szCs w:val="24"/>
        </w:rPr>
        <w:t>decreased</w:t>
      </w:r>
      <w:r w:rsidR="00E768CC" w:rsidRPr="00374013">
        <w:rPr>
          <w:rFonts w:ascii="Times New Roman" w:hAnsi="Times New Roman" w:cs="Times New Roman"/>
          <w:sz w:val="24"/>
          <w:szCs w:val="24"/>
        </w:rPr>
        <w:t xml:space="preserve"> in the two most recent years after the pandemic. </w:t>
      </w:r>
      <w:r w:rsidR="0020107E" w:rsidRPr="00374013">
        <w:rPr>
          <w:rFonts w:ascii="Times New Roman" w:hAnsi="Times New Roman" w:cs="Times New Roman"/>
          <w:sz w:val="24"/>
          <w:szCs w:val="24"/>
        </w:rPr>
        <w:t>Consequently</w:t>
      </w:r>
      <w:r w:rsidR="00E768CC" w:rsidRPr="00374013">
        <w:rPr>
          <w:rFonts w:ascii="Times New Roman" w:hAnsi="Times New Roman" w:cs="Times New Roman"/>
          <w:sz w:val="24"/>
          <w:szCs w:val="24"/>
        </w:rPr>
        <w:t xml:space="preserve">, many of the teachers </w:t>
      </w:r>
      <w:r w:rsidR="0020107E" w:rsidRPr="00374013">
        <w:rPr>
          <w:rFonts w:ascii="Times New Roman" w:hAnsi="Times New Roman" w:cs="Times New Roman"/>
          <w:sz w:val="24"/>
          <w:szCs w:val="24"/>
        </w:rPr>
        <w:t xml:space="preserve">and young graduates entering the profession </w:t>
      </w:r>
      <w:r w:rsidR="0020107E" w:rsidRPr="00374013">
        <w:rPr>
          <w:rFonts w:ascii="Times New Roman" w:hAnsi="Times New Roman" w:cs="Times New Roman"/>
          <w:sz w:val="24"/>
          <w:szCs w:val="24"/>
        </w:rPr>
        <w:t xml:space="preserve">in these </w:t>
      </w:r>
      <w:r w:rsidR="0020107E" w:rsidRPr="00374013">
        <w:rPr>
          <w:rFonts w:ascii="Times New Roman" w:hAnsi="Times New Roman" w:cs="Times New Roman"/>
          <w:sz w:val="24"/>
          <w:szCs w:val="24"/>
        </w:rPr>
        <w:t>affluent</w:t>
      </w:r>
      <w:r w:rsidR="0020107E" w:rsidRPr="00374013">
        <w:rPr>
          <w:rFonts w:ascii="Times New Roman" w:hAnsi="Times New Roman" w:cs="Times New Roman"/>
          <w:sz w:val="24"/>
          <w:szCs w:val="24"/>
        </w:rPr>
        <w:t xml:space="preserve"> states </w:t>
      </w:r>
      <w:r w:rsidR="00E768CC" w:rsidRPr="00374013">
        <w:rPr>
          <w:rFonts w:ascii="Times New Roman" w:hAnsi="Times New Roman" w:cs="Times New Roman"/>
          <w:sz w:val="24"/>
          <w:szCs w:val="24"/>
        </w:rPr>
        <w:t xml:space="preserve">could be growing frustrated at the </w:t>
      </w:r>
      <w:r w:rsidR="0020107E" w:rsidRPr="00374013">
        <w:rPr>
          <w:rFonts w:ascii="Times New Roman" w:hAnsi="Times New Roman" w:cs="Times New Roman"/>
          <w:sz w:val="24"/>
          <w:szCs w:val="24"/>
        </w:rPr>
        <w:t>cuts</w:t>
      </w:r>
      <w:r w:rsidR="00E768CC" w:rsidRPr="00374013">
        <w:rPr>
          <w:rFonts w:ascii="Times New Roman" w:hAnsi="Times New Roman" w:cs="Times New Roman"/>
          <w:sz w:val="24"/>
          <w:szCs w:val="24"/>
        </w:rPr>
        <w:t xml:space="preserve"> being made to t</w:t>
      </w:r>
      <w:r w:rsidR="0020107E" w:rsidRPr="00374013">
        <w:rPr>
          <w:rFonts w:ascii="Times New Roman" w:hAnsi="Times New Roman" w:cs="Times New Roman"/>
          <w:sz w:val="24"/>
          <w:szCs w:val="24"/>
        </w:rPr>
        <w:t xml:space="preserve">eacher </w:t>
      </w:r>
      <w:r w:rsidR="00E768CC" w:rsidRPr="00374013">
        <w:rPr>
          <w:rFonts w:ascii="Times New Roman" w:hAnsi="Times New Roman" w:cs="Times New Roman"/>
          <w:sz w:val="24"/>
          <w:szCs w:val="24"/>
        </w:rPr>
        <w:t xml:space="preserve">pay. </w:t>
      </w:r>
      <w:r w:rsidR="002B7643" w:rsidRPr="00374013">
        <w:rPr>
          <w:rFonts w:ascii="Times New Roman" w:hAnsi="Times New Roman" w:cs="Times New Roman"/>
          <w:sz w:val="24"/>
          <w:szCs w:val="24"/>
        </w:rPr>
        <w:t>This could explain why in the previous dashboard, the percent</w:t>
      </w:r>
      <w:r w:rsidR="009C0ADE" w:rsidRPr="00374013">
        <w:rPr>
          <w:rFonts w:ascii="Times New Roman" w:hAnsi="Times New Roman" w:cs="Times New Roman"/>
          <w:sz w:val="24"/>
          <w:szCs w:val="24"/>
        </w:rPr>
        <w:t>age</w:t>
      </w:r>
      <w:r w:rsidR="002B7643" w:rsidRPr="00374013">
        <w:rPr>
          <w:rFonts w:ascii="Times New Roman" w:hAnsi="Times New Roman" w:cs="Times New Roman"/>
          <w:sz w:val="24"/>
          <w:szCs w:val="24"/>
        </w:rPr>
        <w:t xml:space="preserve"> of teachers that quit the profession was so high in these states. </w:t>
      </w:r>
      <w:r w:rsidR="008A2AD6" w:rsidRPr="00374013">
        <w:rPr>
          <w:rFonts w:ascii="Times New Roman" w:hAnsi="Times New Roman" w:cs="Times New Roman"/>
          <w:sz w:val="24"/>
          <w:szCs w:val="24"/>
        </w:rPr>
        <w:t>Another</w:t>
      </w:r>
      <w:r w:rsidR="00E768CC" w:rsidRPr="00374013">
        <w:rPr>
          <w:rFonts w:ascii="Times New Roman" w:hAnsi="Times New Roman" w:cs="Times New Roman"/>
          <w:sz w:val="24"/>
          <w:szCs w:val="24"/>
        </w:rPr>
        <w:t xml:space="preserve"> mark of teacher </w:t>
      </w:r>
      <w:r w:rsidR="008A2AD6" w:rsidRPr="00374013">
        <w:rPr>
          <w:rFonts w:ascii="Times New Roman" w:hAnsi="Times New Roman" w:cs="Times New Roman"/>
          <w:sz w:val="24"/>
          <w:szCs w:val="24"/>
        </w:rPr>
        <w:t>dissatisfaction</w:t>
      </w:r>
      <w:r w:rsidR="00E768CC" w:rsidRPr="00374013">
        <w:rPr>
          <w:rFonts w:ascii="Times New Roman" w:hAnsi="Times New Roman" w:cs="Times New Roman"/>
          <w:sz w:val="24"/>
          <w:szCs w:val="24"/>
        </w:rPr>
        <w:t xml:space="preserve"> could be the increased amount of work teachers are getting after the pandemic. The text table in the left</w:t>
      </w:r>
      <w:r w:rsidR="00E15E02" w:rsidRPr="00374013">
        <w:rPr>
          <w:rFonts w:ascii="Times New Roman" w:hAnsi="Times New Roman" w:cs="Times New Roman"/>
          <w:sz w:val="24"/>
          <w:szCs w:val="24"/>
        </w:rPr>
        <w:t>-</w:t>
      </w:r>
      <w:r w:rsidR="00E768CC" w:rsidRPr="00374013">
        <w:rPr>
          <w:rFonts w:ascii="Times New Roman" w:hAnsi="Times New Roman" w:cs="Times New Roman"/>
          <w:sz w:val="24"/>
          <w:szCs w:val="24"/>
        </w:rPr>
        <w:t xml:space="preserve">hand corner </w:t>
      </w:r>
      <w:r w:rsidR="009C0ADE" w:rsidRPr="00374013">
        <w:rPr>
          <w:rFonts w:ascii="Times New Roman" w:hAnsi="Times New Roman" w:cs="Times New Roman"/>
          <w:sz w:val="24"/>
          <w:szCs w:val="24"/>
        </w:rPr>
        <w:t>highlights</w:t>
      </w:r>
      <w:r w:rsidR="00E768CC" w:rsidRPr="00374013">
        <w:rPr>
          <w:rFonts w:ascii="Times New Roman" w:hAnsi="Times New Roman" w:cs="Times New Roman"/>
          <w:sz w:val="24"/>
          <w:szCs w:val="24"/>
        </w:rPr>
        <w:t xml:space="preserve"> that </w:t>
      </w:r>
      <w:r w:rsidR="00E15E02" w:rsidRPr="00374013">
        <w:rPr>
          <w:rFonts w:ascii="Times New Roman" w:hAnsi="Times New Roman" w:cs="Times New Roman"/>
          <w:sz w:val="24"/>
          <w:szCs w:val="24"/>
        </w:rPr>
        <w:t xml:space="preserve">in 2020, teachers spent two </w:t>
      </w:r>
      <w:r w:rsidR="009C0ADE" w:rsidRPr="00374013">
        <w:rPr>
          <w:rFonts w:ascii="Times New Roman" w:hAnsi="Times New Roman" w:cs="Times New Roman"/>
          <w:sz w:val="24"/>
          <w:szCs w:val="24"/>
        </w:rPr>
        <w:t>fewer</w:t>
      </w:r>
      <w:r w:rsidR="00E15E02" w:rsidRPr="00374013">
        <w:rPr>
          <w:rFonts w:ascii="Times New Roman" w:hAnsi="Times New Roman" w:cs="Times New Roman"/>
          <w:sz w:val="24"/>
          <w:szCs w:val="24"/>
        </w:rPr>
        <w:t xml:space="preserve"> hours instructing students </w:t>
      </w:r>
      <w:r w:rsidR="009C0ADE" w:rsidRPr="00374013">
        <w:rPr>
          <w:rFonts w:ascii="Times New Roman" w:hAnsi="Times New Roman" w:cs="Times New Roman"/>
          <w:sz w:val="24"/>
          <w:szCs w:val="24"/>
        </w:rPr>
        <w:t xml:space="preserve">per week </w:t>
      </w:r>
      <w:r w:rsidR="00E15E02" w:rsidRPr="00374013">
        <w:rPr>
          <w:rFonts w:ascii="Times New Roman" w:hAnsi="Times New Roman" w:cs="Times New Roman"/>
          <w:sz w:val="24"/>
          <w:szCs w:val="24"/>
        </w:rPr>
        <w:t xml:space="preserve">compared to 2015. However, </w:t>
      </w:r>
      <w:r w:rsidR="009C0ADE" w:rsidRPr="00374013">
        <w:rPr>
          <w:rFonts w:ascii="Times New Roman" w:hAnsi="Times New Roman" w:cs="Times New Roman"/>
          <w:sz w:val="24"/>
          <w:szCs w:val="24"/>
        </w:rPr>
        <w:t xml:space="preserve">in 2020 </w:t>
      </w:r>
      <w:r w:rsidR="00E15E02" w:rsidRPr="00374013">
        <w:rPr>
          <w:rFonts w:ascii="Times New Roman" w:hAnsi="Times New Roman" w:cs="Times New Roman"/>
          <w:sz w:val="24"/>
          <w:szCs w:val="24"/>
        </w:rPr>
        <w:t xml:space="preserve">teachers were required by administrators to </w:t>
      </w:r>
      <w:r w:rsidR="009C0ADE" w:rsidRPr="00374013">
        <w:rPr>
          <w:rFonts w:ascii="Times New Roman" w:hAnsi="Times New Roman" w:cs="Times New Roman"/>
          <w:color w:val="0D0D0D"/>
          <w:sz w:val="24"/>
          <w:szCs w:val="24"/>
          <w:shd w:val="clear" w:color="auto" w:fill="FFFFFF"/>
        </w:rPr>
        <w:t xml:space="preserve">work more hours </w:t>
      </w:r>
      <w:r w:rsidR="009C0ADE" w:rsidRPr="00374013">
        <w:rPr>
          <w:rFonts w:ascii="Times New Roman" w:hAnsi="Times New Roman" w:cs="Times New Roman"/>
          <w:color w:val="0D0D0D"/>
          <w:sz w:val="24"/>
          <w:szCs w:val="24"/>
          <w:shd w:val="clear" w:color="auto" w:fill="FFFFFF"/>
        </w:rPr>
        <w:t>than in</w:t>
      </w:r>
      <w:r w:rsidR="009C0ADE" w:rsidRPr="00374013">
        <w:rPr>
          <w:rFonts w:ascii="Times New Roman" w:hAnsi="Times New Roman" w:cs="Times New Roman"/>
          <w:color w:val="0D0D0D"/>
          <w:sz w:val="24"/>
          <w:szCs w:val="24"/>
          <w:shd w:val="clear" w:color="auto" w:fill="FFFFFF"/>
        </w:rPr>
        <w:t xml:space="preserve"> 2015, both during school hours and after-school, with an additional hour </w:t>
      </w:r>
      <w:r w:rsidR="009C0ADE" w:rsidRPr="00374013">
        <w:rPr>
          <w:rFonts w:ascii="Times New Roman" w:hAnsi="Times New Roman" w:cs="Times New Roman"/>
          <w:color w:val="0D0D0D"/>
          <w:sz w:val="24"/>
          <w:szCs w:val="24"/>
          <w:shd w:val="clear" w:color="auto" w:fill="FFFFFF"/>
        </w:rPr>
        <w:t xml:space="preserve">per week </w:t>
      </w:r>
      <w:r w:rsidR="009C0ADE" w:rsidRPr="00374013">
        <w:rPr>
          <w:rFonts w:ascii="Times New Roman" w:hAnsi="Times New Roman" w:cs="Times New Roman"/>
          <w:color w:val="0D0D0D"/>
          <w:sz w:val="24"/>
          <w:szCs w:val="24"/>
          <w:shd w:val="clear" w:color="auto" w:fill="FFFFFF"/>
        </w:rPr>
        <w:t>devoted to after-school work in 2020.</w:t>
      </w:r>
      <w:r w:rsidR="009C0ADE" w:rsidRPr="00374013">
        <w:rPr>
          <w:rFonts w:ascii="Times New Roman" w:hAnsi="Times New Roman" w:cs="Times New Roman"/>
          <w:sz w:val="24"/>
          <w:szCs w:val="24"/>
        </w:rPr>
        <w:t xml:space="preserve"> T</w:t>
      </w:r>
      <w:r w:rsidR="009C0ADE" w:rsidRPr="00374013">
        <w:rPr>
          <w:rFonts w:ascii="Times New Roman" w:hAnsi="Times New Roman" w:cs="Times New Roman"/>
          <w:color w:val="0D0D0D"/>
          <w:sz w:val="24"/>
          <w:szCs w:val="24"/>
          <w:shd w:val="clear" w:color="auto" w:fill="FFFFFF"/>
        </w:rPr>
        <w:t xml:space="preserve">his discrepancy </w:t>
      </w:r>
      <w:r w:rsidR="009C0ADE" w:rsidRPr="00374013">
        <w:rPr>
          <w:rFonts w:ascii="Times New Roman" w:hAnsi="Times New Roman" w:cs="Times New Roman"/>
          <w:color w:val="0D0D0D"/>
          <w:sz w:val="24"/>
          <w:szCs w:val="24"/>
          <w:shd w:val="clear" w:color="auto" w:fill="FFFFFF"/>
        </w:rPr>
        <w:t>implies</w:t>
      </w:r>
      <w:r w:rsidR="009C0ADE" w:rsidRPr="00374013">
        <w:rPr>
          <w:rFonts w:ascii="Times New Roman" w:hAnsi="Times New Roman" w:cs="Times New Roman"/>
          <w:color w:val="0D0D0D"/>
          <w:sz w:val="24"/>
          <w:szCs w:val="24"/>
          <w:shd w:val="clear" w:color="auto" w:fill="FFFFFF"/>
        </w:rPr>
        <w:t xml:space="preserve"> that students are receiving less direct instruction time from their </w:t>
      </w:r>
      <w:r w:rsidR="009C0ADE" w:rsidRPr="00374013">
        <w:rPr>
          <w:rFonts w:ascii="Times New Roman" w:hAnsi="Times New Roman" w:cs="Times New Roman"/>
          <w:color w:val="0D0D0D"/>
          <w:sz w:val="24"/>
          <w:szCs w:val="24"/>
          <w:shd w:val="clear" w:color="auto" w:fill="FFFFFF"/>
        </w:rPr>
        <w:t>teachers</w:t>
      </w:r>
      <w:r w:rsidR="009C0ADE" w:rsidRPr="00374013">
        <w:rPr>
          <w:rFonts w:ascii="Times New Roman" w:hAnsi="Times New Roman" w:cs="Times New Roman"/>
          <w:color w:val="0D0D0D"/>
          <w:sz w:val="24"/>
          <w:szCs w:val="24"/>
          <w:shd w:val="clear" w:color="auto" w:fill="FFFFFF"/>
        </w:rPr>
        <w:t xml:space="preserve">, while </w:t>
      </w:r>
      <w:r w:rsidR="009C0ADE" w:rsidRPr="00374013">
        <w:rPr>
          <w:rFonts w:ascii="Times New Roman" w:hAnsi="Times New Roman" w:cs="Times New Roman"/>
          <w:color w:val="0D0D0D"/>
          <w:sz w:val="24"/>
          <w:szCs w:val="24"/>
          <w:shd w:val="clear" w:color="auto" w:fill="FFFFFF"/>
        </w:rPr>
        <w:t>educators</w:t>
      </w:r>
      <w:r w:rsidR="009C0ADE" w:rsidRPr="00374013">
        <w:rPr>
          <w:rFonts w:ascii="Times New Roman" w:hAnsi="Times New Roman" w:cs="Times New Roman"/>
          <w:color w:val="0D0D0D"/>
          <w:sz w:val="24"/>
          <w:szCs w:val="24"/>
          <w:shd w:val="clear" w:color="auto" w:fill="FFFFFF"/>
        </w:rPr>
        <w:t xml:space="preserve"> are burdened with an increased workload, including grading online assessments and assignments.</w:t>
      </w:r>
      <w:r w:rsidR="009C0ADE" w:rsidRPr="00374013">
        <w:rPr>
          <w:rFonts w:ascii="Times New Roman" w:hAnsi="Times New Roman" w:cs="Times New Roman"/>
          <w:sz w:val="24"/>
          <w:szCs w:val="24"/>
        </w:rPr>
        <w:t xml:space="preserve"> </w:t>
      </w:r>
      <w:r w:rsidR="00E15E02" w:rsidRPr="00374013">
        <w:rPr>
          <w:rFonts w:ascii="Times New Roman" w:hAnsi="Times New Roman" w:cs="Times New Roman"/>
          <w:sz w:val="24"/>
          <w:szCs w:val="24"/>
        </w:rPr>
        <w:t xml:space="preserve">For all these reasons, </w:t>
      </w:r>
      <w:r w:rsidR="009C0ADE" w:rsidRPr="00374013">
        <w:rPr>
          <w:rFonts w:ascii="Times New Roman" w:hAnsi="Times New Roman" w:cs="Times New Roman"/>
          <w:sz w:val="24"/>
          <w:szCs w:val="24"/>
        </w:rPr>
        <w:t xml:space="preserve">prospective </w:t>
      </w:r>
      <w:r w:rsidR="00E15E02" w:rsidRPr="00374013">
        <w:rPr>
          <w:rFonts w:ascii="Times New Roman" w:hAnsi="Times New Roman" w:cs="Times New Roman"/>
          <w:sz w:val="24"/>
          <w:szCs w:val="24"/>
        </w:rPr>
        <w:t xml:space="preserve">graduates </w:t>
      </w:r>
      <w:r w:rsidR="009C0ADE" w:rsidRPr="00374013">
        <w:rPr>
          <w:rFonts w:ascii="Times New Roman" w:hAnsi="Times New Roman" w:cs="Times New Roman"/>
          <w:color w:val="0D0D0D"/>
          <w:sz w:val="24"/>
          <w:szCs w:val="24"/>
          <w:shd w:val="clear" w:color="auto" w:fill="FFFFFF"/>
        </w:rPr>
        <w:t xml:space="preserve">may be </w:t>
      </w:r>
      <w:r w:rsidR="00374013" w:rsidRPr="00374013">
        <w:rPr>
          <w:rFonts w:ascii="Times New Roman" w:hAnsi="Times New Roman" w:cs="Times New Roman"/>
          <w:color w:val="0D0D0D"/>
          <w:sz w:val="24"/>
          <w:szCs w:val="24"/>
          <w:shd w:val="clear" w:color="auto" w:fill="FFFFFF"/>
        </w:rPr>
        <w:t xml:space="preserve">less </w:t>
      </w:r>
      <w:r w:rsidR="009C0ADE" w:rsidRPr="00374013">
        <w:rPr>
          <w:rFonts w:ascii="Times New Roman" w:hAnsi="Times New Roman" w:cs="Times New Roman"/>
          <w:color w:val="0D0D0D"/>
          <w:sz w:val="24"/>
          <w:szCs w:val="24"/>
          <w:shd w:val="clear" w:color="auto" w:fill="FFFFFF"/>
        </w:rPr>
        <w:t>inclined to pursue careers in teaching</w:t>
      </w:r>
      <w:r w:rsidR="00374013" w:rsidRPr="00374013">
        <w:rPr>
          <w:rFonts w:ascii="Times New Roman" w:hAnsi="Times New Roman" w:cs="Times New Roman"/>
          <w:color w:val="0D0D0D"/>
          <w:sz w:val="24"/>
          <w:szCs w:val="24"/>
          <w:shd w:val="clear" w:color="auto" w:fill="FFFFFF"/>
        </w:rPr>
        <w:t>.</w:t>
      </w:r>
      <w:r w:rsidR="009C0ADE" w:rsidRPr="00374013">
        <w:rPr>
          <w:rFonts w:ascii="Times New Roman" w:hAnsi="Times New Roman" w:cs="Times New Roman"/>
          <w:sz w:val="24"/>
          <w:szCs w:val="24"/>
        </w:rPr>
        <w:t xml:space="preserve"> </w:t>
      </w:r>
      <w:r w:rsidR="009C0ADE" w:rsidRPr="00374013">
        <w:rPr>
          <w:rFonts w:ascii="Times New Roman" w:hAnsi="Times New Roman" w:cs="Times New Roman"/>
          <w:color w:val="0D0D0D"/>
          <w:sz w:val="24"/>
          <w:szCs w:val="24"/>
          <w:shd w:val="clear" w:color="auto" w:fill="FFFFFF"/>
        </w:rPr>
        <w:t xml:space="preserve">These factors are </w:t>
      </w:r>
      <w:r w:rsidR="009C0ADE" w:rsidRPr="00374013">
        <w:rPr>
          <w:rFonts w:ascii="Times New Roman" w:hAnsi="Times New Roman" w:cs="Times New Roman"/>
          <w:color w:val="0D0D0D"/>
          <w:sz w:val="24"/>
          <w:szCs w:val="24"/>
          <w:shd w:val="clear" w:color="auto" w:fill="FFFFFF"/>
        </w:rPr>
        <w:t xml:space="preserve">supported </w:t>
      </w:r>
      <w:r w:rsidR="009C0ADE" w:rsidRPr="00374013">
        <w:rPr>
          <w:rFonts w:ascii="Times New Roman" w:hAnsi="Times New Roman" w:cs="Times New Roman"/>
          <w:color w:val="0D0D0D"/>
          <w:sz w:val="24"/>
          <w:szCs w:val="24"/>
          <w:shd w:val="clear" w:color="auto" w:fill="FFFFFF"/>
        </w:rPr>
        <w:t>by the final chart in the dashboard, a bar graph</w:t>
      </w:r>
      <w:r w:rsidR="00374013" w:rsidRPr="00374013">
        <w:rPr>
          <w:rFonts w:ascii="Times New Roman" w:hAnsi="Times New Roman" w:cs="Times New Roman"/>
          <w:color w:val="0D0D0D"/>
          <w:sz w:val="24"/>
          <w:szCs w:val="24"/>
          <w:shd w:val="clear" w:color="auto" w:fill="FFFFFF"/>
        </w:rPr>
        <w:t xml:space="preserve"> which underscores spikes</w:t>
      </w:r>
      <w:r w:rsidR="009C0ADE" w:rsidRPr="00374013">
        <w:rPr>
          <w:rFonts w:ascii="Times New Roman" w:hAnsi="Times New Roman" w:cs="Times New Roman"/>
          <w:color w:val="0D0D0D"/>
          <w:sz w:val="24"/>
          <w:szCs w:val="24"/>
          <w:shd w:val="clear" w:color="auto" w:fill="FFFFFF"/>
        </w:rPr>
        <w:t xml:space="preserve"> in teaching vacancies across various public-school teaching fields between 2015 and 2020</w:t>
      </w:r>
      <w:r w:rsidR="00050DEB" w:rsidRPr="00374013">
        <w:rPr>
          <w:rFonts w:ascii="Times New Roman" w:hAnsi="Times New Roman" w:cs="Times New Roman"/>
          <w:sz w:val="24"/>
          <w:szCs w:val="24"/>
        </w:rPr>
        <w:t xml:space="preserve">. </w:t>
      </w:r>
      <w:r w:rsidR="00374013" w:rsidRPr="00374013">
        <w:rPr>
          <w:rFonts w:ascii="Times New Roman" w:hAnsi="Times New Roman" w:cs="Times New Roman"/>
          <w:sz w:val="24"/>
          <w:szCs w:val="24"/>
        </w:rPr>
        <w:t>Specifically, the bar graph highlights how the most striking surge in teaching vacancies</w:t>
      </w:r>
      <w:r w:rsidR="00050DEB" w:rsidRPr="00374013">
        <w:rPr>
          <w:rFonts w:ascii="Times New Roman" w:hAnsi="Times New Roman" w:cs="Times New Roman"/>
          <w:sz w:val="24"/>
          <w:szCs w:val="24"/>
        </w:rPr>
        <w:t xml:space="preserve"> </w:t>
      </w:r>
      <w:r w:rsidR="00374013" w:rsidRPr="00374013">
        <w:rPr>
          <w:rFonts w:ascii="Times New Roman" w:hAnsi="Times New Roman" w:cs="Times New Roman"/>
          <w:sz w:val="24"/>
          <w:szCs w:val="24"/>
        </w:rPr>
        <w:t>occurred</w:t>
      </w:r>
      <w:r w:rsidR="00050DEB" w:rsidRPr="00374013">
        <w:rPr>
          <w:rFonts w:ascii="Times New Roman" w:hAnsi="Times New Roman" w:cs="Times New Roman"/>
          <w:sz w:val="24"/>
          <w:szCs w:val="24"/>
        </w:rPr>
        <w:t xml:space="preserve"> in Special Education and Foreign Language instructi</w:t>
      </w:r>
      <w:r w:rsidR="00374013" w:rsidRPr="00374013">
        <w:rPr>
          <w:rFonts w:ascii="Times New Roman" w:hAnsi="Times New Roman" w:cs="Times New Roman"/>
          <w:sz w:val="24"/>
          <w:szCs w:val="24"/>
        </w:rPr>
        <w:t>on in 2020</w:t>
      </w:r>
      <w:r w:rsidR="00050DEB" w:rsidRPr="00374013">
        <w:rPr>
          <w:rFonts w:ascii="Times New Roman" w:hAnsi="Times New Roman" w:cs="Times New Roman"/>
          <w:sz w:val="24"/>
          <w:szCs w:val="24"/>
        </w:rPr>
        <w:t xml:space="preserve">. </w:t>
      </w:r>
    </w:p>
    <w:p w14:paraId="42642077" w14:textId="12055E71" w:rsidR="00374013" w:rsidRDefault="00374013" w:rsidP="00374013">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Dashboard </w:t>
      </w:r>
      <w:r>
        <w:rPr>
          <w:rFonts w:ascii="Times New Roman" w:hAnsi="Times New Roman" w:cs="Times New Roman"/>
          <w:i/>
          <w:iCs/>
          <w:sz w:val="24"/>
          <w:szCs w:val="24"/>
        </w:rPr>
        <w:t>4</w:t>
      </w:r>
      <w:r>
        <w:rPr>
          <w:rFonts w:ascii="Times New Roman" w:hAnsi="Times New Roman" w:cs="Times New Roman"/>
          <w:i/>
          <w:iCs/>
          <w:sz w:val="24"/>
          <w:szCs w:val="24"/>
        </w:rPr>
        <w:t xml:space="preserve">: </w:t>
      </w:r>
      <w:r w:rsidR="00B321E4">
        <w:rPr>
          <w:rFonts w:ascii="Times New Roman" w:hAnsi="Times New Roman" w:cs="Times New Roman"/>
          <w:i/>
          <w:iCs/>
          <w:sz w:val="24"/>
          <w:szCs w:val="24"/>
        </w:rPr>
        <w:t>Aftermath of COVID on Education</w:t>
      </w:r>
    </w:p>
    <w:p w14:paraId="1B765EBB" w14:textId="411A2593" w:rsidR="00B321E4" w:rsidRDefault="00B321E4" w:rsidP="00B321E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the fourth dashboard, all the </w:t>
      </w:r>
      <w:r w:rsidR="000E6B03">
        <w:rPr>
          <w:rFonts w:ascii="Times New Roman" w:hAnsi="Times New Roman" w:cs="Times New Roman"/>
          <w:sz w:val="24"/>
          <w:szCs w:val="24"/>
        </w:rPr>
        <w:t xml:space="preserve">previously considered </w:t>
      </w:r>
      <w:r>
        <w:rPr>
          <w:rFonts w:ascii="Times New Roman" w:hAnsi="Times New Roman" w:cs="Times New Roman"/>
          <w:sz w:val="24"/>
          <w:szCs w:val="24"/>
        </w:rPr>
        <w:t xml:space="preserve">factors have now </w:t>
      </w:r>
      <w:r w:rsidR="00BF34AD">
        <w:rPr>
          <w:rFonts w:ascii="Times New Roman" w:hAnsi="Times New Roman" w:cs="Times New Roman"/>
          <w:sz w:val="24"/>
          <w:szCs w:val="24"/>
        </w:rPr>
        <w:t>led</w:t>
      </w:r>
      <w:r>
        <w:rPr>
          <w:rFonts w:ascii="Times New Roman" w:hAnsi="Times New Roman" w:cs="Times New Roman"/>
          <w:sz w:val="24"/>
          <w:szCs w:val="24"/>
        </w:rPr>
        <w:t xml:space="preserve"> to these </w:t>
      </w:r>
      <w:r w:rsidR="000E6B03">
        <w:rPr>
          <w:rFonts w:ascii="Times New Roman" w:hAnsi="Times New Roman" w:cs="Times New Roman"/>
          <w:sz w:val="24"/>
          <w:szCs w:val="24"/>
        </w:rPr>
        <w:t>outcomes</w:t>
      </w:r>
      <w:r>
        <w:rPr>
          <w:rFonts w:ascii="Times New Roman" w:hAnsi="Times New Roman" w:cs="Times New Roman"/>
          <w:sz w:val="24"/>
          <w:szCs w:val="24"/>
        </w:rPr>
        <w:t xml:space="preserve"> for K-12 teachers in the United States. </w:t>
      </w:r>
      <w:r w:rsidR="00BF34AD">
        <w:rPr>
          <w:rFonts w:ascii="Times New Roman" w:hAnsi="Times New Roman" w:cs="Times New Roman"/>
          <w:sz w:val="24"/>
          <w:szCs w:val="24"/>
        </w:rPr>
        <w:t>At the top of the display, two donut charts compar</w:t>
      </w:r>
      <w:r w:rsidR="000E6B03">
        <w:rPr>
          <w:rFonts w:ascii="Times New Roman" w:hAnsi="Times New Roman" w:cs="Times New Roman"/>
          <w:sz w:val="24"/>
          <w:szCs w:val="24"/>
        </w:rPr>
        <w:t>e</w:t>
      </w:r>
      <w:r w:rsidR="00BF34AD">
        <w:rPr>
          <w:rFonts w:ascii="Times New Roman" w:hAnsi="Times New Roman" w:cs="Times New Roman"/>
          <w:sz w:val="24"/>
          <w:szCs w:val="24"/>
        </w:rPr>
        <w:t xml:space="preserve"> the percent distribution of public-school teachers in the United States by years of </w:t>
      </w:r>
      <w:r w:rsidR="00BF34AD">
        <w:rPr>
          <w:rFonts w:ascii="Times New Roman" w:hAnsi="Times New Roman" w:cs="Times New Roman"/>
          <w:sz w:val="24"/>
          <w:szCs w:val="24"/>
        </w:rPr>
        <w:lastRenderedPageBreak/>
        <w:t>teaching experience</w:t>
      </w:r>
      <w:r w:rsidR="000E6B03">
        <w:rPr>
          <w:rFonts w:ascii="Times New Roman" w:hAnsi="Times New Roman" w:cs="Times New Roman"/>
          <w:sz w:val="24"/>
          <w:szCs w:val="24"/>
        </w:rPr>
        <w:t>, contrasting</w:t>
      </w:r>
      <w:r w:rsidR="00BF34AD">
        <w:rPr>
          <w:rFonts w:ascii="Times New Roman" w:hAnsi="Times New Roman" w:cs="Times New Roman"/>
          <w:sz w:val="24"/>
          <w:szCs w:val="24"/>
        </w:rPr>
        <w:t xml:space="preserve"> 2016 </w:t>
      </w:r>
      <w:r w:rsidR="000E6B03">
        <w:rPr>
          <w:rFonts w:ascii="Times New Roman" w:hAnsi="Times New Roman" w:cs="Times New Roman"/>
          <w:sz w:val="24"/>
          <w:szCs w:val="24"/>
        </w:rPr>
        <w:t>with</w:t>
      </w:r>
      <w:r w:rsidR="00BF34AD">
        <w:rPr>
          <w:rFonts w:ascii="Times New Roman" w:hAnsi="Times New Roman" w:cs="Times New Roman"/>
          <w:sz w:val="24"/>
          <w:szCs w:val="24"/>
        </w:rPr>
        <w:t xml:space="preserve"> 2021. Notably, </w:t>
      </w:r>
      <w:r w:rsidR="00804153">
        <w:rPr>
          <w:rFonts w:ascii="Times New Roman" w:hAnsi="Times New Roman" w:cs="Times New Roman"/>
          <w:sz w:val="24"/>
          <w:szCs w:val="24"/>
        </w:rPr>
        <w:t>in 2021 there was a significantly smaller percent</w:t>
      </w:r>
      <w:r w:rsidR="000E6B03">
        <w:rPr>
          <w:rFonts w:ascii="Times New Roman" w:hAnsi="Times New Roman" w:cs="Times New Roman"/>
          <w:sz w:val="24"/>
          <w:szCs w:val="24"/>
        </w:rPr>
        <w:t>age</w:t>
      </w:r>
      <w:r w:rsidR="00804153">
        <w:rPr>
          <w:rFonts w:ascii="Times New Roman" w:hAnsi="Times New Roman" w:cs="Times New Roman"/>
          <w:sz w:val="24"/>
          <w:szCs w:val="24"/>
        </w:rPr>
        <w:t xml:space="preserve"> of teachers with 3 years or less of teaching experience compared with the 2016 school year. Furthermore, there was a greater percent</w:t>
      </w:r>
      <w:r w:rsidR="000E6B03">
        <w:rPr>
          <w:rFonts w:ascii="Times New Roman" w:hAnsi="Times New Roman" w:cs="Times New Roman"/>
          <w:sz w:val="24"/>
          <w:szCs w:val="24"/>
        </w:rPr>
        <w:t>age</w:t>
      </w:r>
      <w:r w:rsidR="00804153">
        <w:rPr>
          <w:rFonts w:ascii="Times New Roman" w:hAnsi="Times New Roman" w:cs="Times New Roman"/>
          <w:sz w:val="24"/>
          <w:szCs w:val="24"/>
        </w:rPr>
        <w:t xml:space="preserve"> of teachers in 2021with 15 or more years of teaching experience than in 2016. This </w:t>
      </w:r>
      <w:r w:rsidR="000E6B03">
        <w:rPr>
          <w:rFonts w:ascii="Times New Roman" w:hAnsi="Times New Roman" w:cs="Times New Roman"/>
          <w:sz w:val="24"/>
          <w:szCs w:val="24"/>
        </w:rPr>
        <w:t>emphasizes</w:t>
      </w:r>
      <w:r w:rsidR="00804153">
        <w:rPr>
          <w:rFonts w:ascii="Times New Roman" w:hAnsi="Times New Roman" w:cs="Times New Roman"/>
          <w:sz w:val="24"/>
          <w:szCs w:val="24"/>
        </w:rPr>
        <w:t xml:space="preserve"> that after the pandemic, less prospective graduates entered the teaching profession compared to 2016, while more experienced teachers had to pick up the slack and extend their years of </w:t>
      </w:r>
      <w:r w:rsidR="000E6B03">
        <w:rPr>
          <w:rFonts w:ascii="Times New Roman" w:hAnsi="Times New Roman" w:cs="Times New Roman"/>
          <w:sz w:val="24"/>
          <w:szCs w:val="24"/>
        </w:rPr>
        <w:t>service</w:t>
      </w:r>
      <w:r w:rsidR="00804153">
        <w:rPr>
          <w:rFonts w:ascii="Times New Roman" w:hAnsi="Times New Roman" w:cs="Times New Roman"/>
          <w:sz w:val="24"/>
          <w:szCs w:val="24"/>
        </w:rPr>
        <w:t xml:space="preserve">. </w:t>
      </w:r>
      <w:r w:rsidR="000E6B03">
        <w:rPr>
          <w:rFonts w:ascii="Times New Roman" w:hAnsi="Times New Roman" w:cs="Times New Roman"/>
          <w:sz w:val="24"/>
          <w:szCs w:val="24"/>
        </w:rPr>
        <w:t>On top of this,</w:t>
      </w:r>
      <w:r w:rsidR="00804153">
        <w:rPr>
          <w:rFonts w:ascii="Times New Roman" w:hAnsi="Times New Roman" w:cs="Times New Roman"/>
          <w:sz w:val="24"/>
          <w:szCs w:val="24"/>
        </w:rPr>
        <w:t xml:space="preserve"> when reviewing the scatter plot at the bottom of the dashboard, one can see the </w:t>
      </w:r>
      <w:r w:rsidR="000E6B03">
        <w:rPr>
          <w:rFonts w:ascii="Times New Roman" w:hAnsi="Times New Roman" w:cs="Times New Roman"/>
          <w:sz w:val="24"/>
          <w:szCs w:val="24"/>
        </w:rPr>
        <w:t>unsettling number</w:t>
      </w:r>
      <w:r w:rsidR="00804153">
        <w:rPr>
          <w:rFonts w:ascii="Times New Roman" w:hAnsi="Times New Roman" w:cs="Times New Roman"/>
          <w:sz w:val="24"/>
          <w:szCs w:val="24"/>
        </w:rPr>
        <w:t xml:space="preserve"> of teachers that quit public education in the four years since the pandemic (2020-2024). Specifically, </w:t>
      </w:r>
      <w:r w:rsidR="0002578D">
        <w:rPr>
          <w:rFonts w:ascii="Times New Roman" w:hAnsi="Times New Roman" w:cs="Times New Roman"/>
          <w:sz w:val="24"/>
          <w:szCs w:val="24"/>
        </w:rPr>
        <w:t>in quarter three of 2020, quarter three of 2021, and in the first three quarters of 2022, US public schools faced alarming waves of teacher</w:t>
      </w:r>
      <w:r w:rsidR="000E6B03">
        <w:rPr>
          <w:rFonts w:ascii="Times New Roman" w:hAnsi="Times New Roman" w:cs="Times New Roman"/>
          <w:sz w:val="24"/>
          <w:szCs w:val="24"/>
        </w:rPr>
        <w:t xml:space="preserve"> resignations</w:t>
      </w:r>
      <w:r w:rsidR="0002578D">
        <w:rPr>
          <w:rFonts w:ascii="Times New Roman" w:hAnsi="Times New Roman" w:cs="Times New Roman"/>
          <w:sz w:val="24"/>
          <w:szCs w:val="24"/>
        </w:rPr>
        <w:t xml:space="preserve">. These spikes happened to </w:t>
      </w:r>
      <w:r w:rsidR="000E6B03">
        <w:rPr>
          <w:rFonts w:ascii="Times New Roman" w:hAnsi="Times New Roman" w:cs="Times New Roman"/>
          <w:sz w:val="24"/>
          <w:szCs w:val="24"/>
        </w:rPr>
        <w:t xml:space="preserve">coincide with </w:t>
      </w:r>
      <w:r w:rsidR="0002578D">
        <w:rPr>
          <w:rFonts w:ascii="Times New Roman" w:hAnsi="Times New Roman" w:cs="Times New Roman"/>
          <w:sz w:val="24"/>
          <w:szCs w:val="24"/>
        </w:rPr>
        <w:t>crucial pandemic</w:t>
      </w:r>
      <w:r w:rsidR="000E6B03">
        <w:rPr>
          <w:rFonts w:ascii="Times New Roman" w:hAnsi="Times New Roman" w:cs="Times New Roman"/>
          <w:sz w:val="24"/>
          <w:szCs w:val="24"/>
        </w:rPr>
        <w:t>-</w:t>
      </w:r>
      <w:r w:rsidR="0002578D">
        <w:rPr>
          <w:rFonts w:ascii="Times New Roman" w:hAnsi="Times New Roman" w:cs="Times New Roman"/>
          <w:sz w:val="24"/>
          <w:szCs w:val="24"/>
        </w:rPr>
        <w:t xml:space="preserve">related incidents </w:t>
      </w:r>
      <w:r w:rsidR="000E6B03">
        <w:rPr>
          <w:rFonts w:ascii="Times New Roman" w:hAnsi="Times New Roman" w:cs="Times New Roman"/>
          <w:sz w:val="24"/>
          <w:szCs w:val="24"/>
        </w:rPr>
        <w:t xml:space="preserve">across </w:t>
      </w:r>
      <w:r w:rsidR="0002578D">
        <w:rPr>
          <w:rFonts w:ascii="Times New Roman" w:hAnsi="Times New Roman" w:cs="Times New Roman"/>
          <w:sz w:val="24"/>
          <w:szCs w:val="24"/>
        </w:rPr>
        <w:t xml:space="preserve">the country, </w:t>
      </w:r>
      <w:r w:rsidR="000E6B03">
        <w:rPr>
          <w:rFonts w:ascii="Times New Roman" w:hAnsi="Times New Roman" w:cs="Times New Roman"/>
          <w:sz w:val="24"/>
          <w:szCs w:val="24"/>
        </w:rPr>
        <w:t>such as</w:t>
      </w:r>
      <w:r w:rsidR="0002578D">
        <w:rPr>
          <w:rFonts w:ascii="Times New Roman" w:hAnsi="Times New Roman" w:cs="Times New Roman"/>
          <w:sz w:val="24"/>
          <w:szCs w:val="24"/>
        </w:rPr>
        <w:t xml:space="preserve"> the reopening of public schools with social distancing </w:t>
      </w:r>
      <w:r w:rsidR="000E6B03">
        <w:rPr>
          <w:rFonts w:ascii="Times New Roman" w:hAnsi="Times New Roman" w:cs="Times New Roman"/>
          <w:sz w:val="24"/>
          <w:szCs w:val="24"/>
        </w:rPr>
        <w:t xml:space="preserve">measures </w:t>
      </w:r>
      <w:r w:rsidR="0002578D">
        <w:rPr>
          <w:rFonts w:ascii="Times New Roman" w:hAnsi="Times New Roman" w:cs="Times New Roman"/>
          <w:sz w:val="24"/>
          <w:szCs w:val="24"/>
        </w:rPr>
        <w:t xml:space="preserve">and the </w:t>
      </w:r>
      <w:r w:rsidR="000E6B03">
        <w:rPr>
          <w:rFonts w:ascii="Times New Roman" w:hAnsi="Times New Roman" w:cs="Times New Roman"/>
          <w:sz w:val="24"/>
          <w:szCs w:val="24"/>
        </w:rPr>
        <w:t>emergence</w:t>
      </w:r>
      <w:r w:rsidR="0002578D">
        <w:rPr>
          <w:rFonts w:ascii="Times New Roman" w:hAnsi="Times New Roman" w:cs="Times New Roman"/>
          <w:sz w:val="24"/>
          <w:szCs w:val="24"/>
        </w:rPr>
        <w:t xml:space="preserve"> of a new variant in the United States. These results </w:t>
      </w:r>
      <w:r w:rsidR="0008733C">
        <w:rPr>
          <w:rFonts w:ascii="Times New Roman" w:hAnsi="Times New Roman" w:cs="Times New Roman"/>
          <w:sz w:val="24"/>
          <w:szCs w:val="24"/>
        </w:rPr>
        <w:t xml:space="preserve">demonstrate an underlying </w:t>
      </w:r>
      <w:r w:rsidR="000E6B03">
        <w:rPr>
          <w:rFonts w:ascii="Times New Roman" w:hAnsi="Times New Roman" w:cs="Times New Roman"/>
          <w:sz w:val="24"/>
          <w:szCs w:val="24"/>
        </w:rPr>
        <w:t>gap</w:t>
      </w:r>
      <w:r w:rsidR="0008733C">
        <w:rPr>
          <w:rFonts w:ascii="Times New Roman" w:hAnsi="Times New Roman" w:cs="Times New Roman"/>
          <w:sz w:val="24"/>
          <w:szCs w:val="24"/>
        </w:rPr>
        <w:t xml:space="preserve"> that was created in the United States education system during COVID-19</w:t>
      </w:r>
      <w:r w:rsidR="000E6B03">
        <w:rPr>
          <w:rFonts w:ascii="Times New Roman" w:hAnsi="Times New Roman" w:cs="Times New Roman"/>
          <w:sz w:val="24"/>
          <w:szCs w:val="24"/>
        </w:rPr>
        <w:t xml:space="preserve"> -</w:t>
      </w:r>
      <w:r w:rsidR="0008733C">
        <w:rPr>
          <w:rFonts w:ascii="Times New Roman" w:hAnsi="Times New Roman" w:cs="Times New Roman"/>
          <w:sz w:val="24"/>
          <w:szCs w:val="24"/>
        </w:rPr>
        <w:t xml:space="preserve"> a </w:t>
      </w:r>
      <w:r w:rsidR="000E6B03">
        <w:rPr>
          <w:rFonts w:ascii="Times New Roman" w:hAnsi="Times New Roman" w:cs="Times New Roman"/>
          <w:sz w:val="24"/>
          <w:szCs w:val="24"/>
        </w:rPr>
        <w:t>gap</w:t>
      </w:r>
      <w:r w:rsidR="0008733C">
        <w:rPr>
          <w:rFonts w:ascii="Times New Roman" w:hAnsi="Times New Roman" w:cs="Times New Roman"/>
          <w:sz w:val="24"/>
          <w:szCs w:val="24"/>
        </w:rPr>
        <w:t xml:space="preserve"> that </w:t>
      </w:r>
      <w:r w:rsidR="000E6B03">
        <w:rPr>
          <w:rFonts w:ascii="Times New Roman" w:hAnsi="Times New Roman" w:cs="Times New Roman"/>
          <w:sz w:val="24"/>
          <w:szCs w:val="24"/>
        </w:rPr>
        <w:t>continues to plague teachers and students nationwide.</w:t>
      </w:r>
    </w:p>
    <w:p w14:paraId="0E7DCDF8" w14:textId="2FF58FAB" w:rsidR="00B66608" w:rsidRDefault="00B66608" w:rsidP="00B66608">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Dashboard </w:t>
      </w:r>
      <w:r>
        <w:rPr>
          <w:rFonts w:ascii="Times New Roman" w:hAnsi="Times New Roman" w:cs="Times New Roman"/>
          <w:i/>
          <w:iCs/>
          <w:sz w:val="24"/>
          <w:szCs w:val="24"/>
        </w:rPr>
        <w:t>5</w:t>
      </w:r>
      <w:r>
        <w:rPr>
          <w:rFonts w:ascii="Times New Roman" w:hAnsi="Times New Roman" w:cs="Times New Roman"/>
          <w:i/>
          <w:iCs/>
          <w:sz w:val="24"/>
          <w:szCs w:val="24"/>
        </w:rPr>
        <w:t xml:space="preserve">: </w:t>
      </w:r>
      <w:r>
        <w:rPr>
          <w:rFonts w:ascii="Times New Roman" w:hAnsi="Times New Roman" w:cs="Times New Roman"/>
          <w:i/>
          <w:iCs/>
          <w:sz w:val="24"/>
          <w:szCs w:val="24"/>
        </w:rPr>
        <w:t>Further Problems in Public Education</w:t>
      </w:r>
    </w:p>
    <w:p w14:paraId="5153ED1C" w14:textId="284CB5B3" w:rsidR="00B66608" w:rsidRDefault="001E0CB6" w:rsidP="00B66608">
      <w:pPr>
        <w:spacing w:line="240" w:lineRule="auto"/>
        <w:rPr>
          <w:rFonts w:ascii="Times New Roman" w:hAnsi="Times New Roman" w:cs="Times New Roman"/>
          <w:sz w:val="24"/>
          <w:szCs w:val="24"/>
        </w:rPr>
      </w:pPr>
      <w:r>
        <w:rPr>
          <w:rFonts w:ascii="Times New Roman" w:hAnsi="Times New Roman" w:cs="Times New Roman"/>
          <w:sz w:val="24"/>
          <w:szCs w:val="24"/>
        </w:rPr>
        <w:tab/>
      </w:r>
      <w:r w:rsidR="00444908" w:rsidRPr="00436282">
        <w:rPr>
          <w:rFonts w:ascii="Times New Roman" w:hAnsi="Times New Roman" w:cs="Times New Roman"/>
          <w:sz w:val="24"/>
          <w:szCs w:val="24"/>
        </w:rPr>
        <w:t xml:space="preserve">In this dashboard, three more important issues are presented in the United States education system. Firstly, the culmination of events during the pandemic </w:t>
      </w:r>
      <w:r w:rsidR="0033470A" w:rsidRPr="00436282">
        <w:rPr>
          <w:rFonts w:ascii="Times New Roman" w:hAnsi="Times New Roman" w:cs="Times New Roman"/>
          <w:sz w:val="24"/>
          <w:szCs w:val="24"/>
        </w:rPr>
        <w:t>resulted in a</w:t>
      </w:r>
      <w:r w:rsidR="00444908" w:rsidRPr="00436282">
        <w:rPr>
          <w:rFonts w:ascii="Times New Roman" w:hAnsi="Times New Roman" w:cs="Times New Roman"/>
          <w:sz w:val="24"/>
          <w:szCs w:val="24"/>
        </w:rPr>
        <w:t xml:space="preserve"> significant increase in the number of students who missed key material during those school years.</w:t>
      </w:r>
      <w:r w:rsidR="00541AC0" w:rsidRPr="00436282">
        <w:rPr>
          <w:rFonts w:ascii="Times New Roman" w:hAnsi="Times New Roman" w:cs="Times New Roman"/>
          <w:sz w:val="24"/>
          <w:szCs w:val="24"/>
        </w:rPr>
        <w:t xml:space="preserve"> </w:t>
      </w:r>
      <w:r w:rsidR="00541AC0" w:rsidRPr="00436282">
        <w:rPr>
          <w:rFonts w:ascii="Times New Roman" w:hAnsi="Times New Roman" w:cs="Times New Roman"/>
          <w:color w:val="0D0D0D"/>
          <w:sz w:val="24"/>
          <w:szCs w:val="24"/>
          <w:shd w:val="clear" w:color="auto" w:fill="FFFFFF"/>
        </w:rPr>
        <w:t xml:space="preserve">Note how in the bar chart at the top of the dashboard, public schools </w:t>
      </w:r>
      <w:r w:rsidR="00541AC0" w:rsidRPr="00436282">
        <w:rPr>
          <w:rFonts w:ascii="Times New Roman" w:hAnsi="Times New Roman" w:cs="Times New Roman"/>
          <w:color w:val="0D0D0D"/>
          <w:sz w:val="24"/>
          <w:szCs w:val="24"/>
          <w:shd w:val="clear" w:color="auto" w:fill="FFFFFF"/>
        </w:rPr>
        <w:t xml:space="preserve">in all regions of the country </w:t>
      </w:r>
      <w:r w:rsidR="00541AC0" w:rsidRPr="00436282">
        <w:rPr>
          <w:rFonts w:ascii="Times New Roman" w:hAnsi="Times New Roman" w:cs="Times New Roman"/>
          <w:color w:val="0D0D0D"/>
          <w:sz w:val="24"/>
          <w:szCs w:val="24"/>
          <w:shd w:val="clear" w:color="auto" w:fill="FFFFFF"/>
        </w:rPr>
        <w:t>experienced a greater percentage of students deemed “behind their grade level” by their educators post-COVID than in years prior.</w:t>
      </w:r>
      <w:r w:rsidR="00541AC0" w:rsidRPr="00436282">
        <w:rPr>
          <w:rFonts w:ascii="Times New Roman" w:hAnsi="Times New Roman" w:cs="Times New Roman"/>
          <w:sz w:val="24"/>
          <w:szCs w:val="24"/>
        </w:rPr>
        <w:t xml:space="preserve"> Moreover, </w:t>
      </w:r>
      <w:r w:rsidR="00541AC0" w:rsidRPr="00436282">
        <w:rPr>
          <w:rFonts w:ascii="Times New Roman" w:hAnsi="Times New Roman" w:cs="Times New Roman"/>
          <w:color w:val="0D0D0D"/>
          <w:sz w:val="24"/>
          <w:szCs w:val="24"/>
          <w:shd w:val="clear" w:color="auto" w:fill="FFFFFF"/>
        </w:rPr>
        <w:t>the highest percentage of students deemed "behind their grade level" by their educators post-COVID were in schools located in the western region of the United States.</w:t>
      </w:r>
      <w:r w:rsidR="00444908" w:rsidRPr="00436282">
        <w:rPr>
          <w:rFonts w:ascii="Times New Roman" w:hAnsi="Times New Roman" w:cs="Times New Roman"/>
          <w:sz w:val="24"/>
          <w:szCs w:val="24"/>
        </w:rPr>
        <w:t xml:space="preserve"> </w:t>
      </w:r>
      <w:r w:rsidR="00444908" w:rsidRPr="00436282">
        <w:rPr>
          <w:rFonts w:ascii="Times New Roman" w:hAnsi="Times New Roman" w:cs="Times New Roman"/>
          <w:sz w:val="24"/>
          <w:szCs w:val="24"/>
        </w:rPr>
        <w:t>States like Utah, Nevada and Washington</w:t>
      </w:r>
      <w:r w:rsidR="00444908" w:rsidRPr="00436282">
        <w:rPr>
          <w:rFonts w:ascii="Times New Roman" w:hAnsi="Times New Roman" w:cs="Times New Roman"/>
          <w:sz w:val="24"/>
          <w:szCs w:val="24"/>
        </w:rPr>
        <w:t>,</w:t>
      </w:r>
      <w:r w:rsidR="00444908" w:rsidRPr="00436282">
        <w:rPr>
          <w:rFonts w:ascii="Times New Roman" w:hAnsi="Times New Roman" w:cs="Times New Roman"/>
          <w:sz w:val="24"/>
          <w:szCs w:val="24"/>
        </w:rPr>
        <w:t xml:space="preserve"> who we observed in previous dashboards had 10% of their teachers quit, are now grappling with burdensome setbacks to their students. </w:t>
      </w:r>
      <w:r w:rsidR="00541AC0" w:rsidRPr="00436282">
        <w:rPr>
          <w:rFonts w:ascii="Times New Roman" w:hAnsi="Times New Roman" w:cs="Times New Roman"/>
          <w:color w:val="0D0D0D"/>
          <w:sz w:val="24"/>
          <w:szCs w:val="24"/>
          <w:shd w:val="clear" w:color="auto" w:fill="FFFFFF"/>
        </w:rPr>
        <w:t>Further scrutiny of this dashboard reveals</w:t>
      </w:r>
      <w:r w:rsidR="00541AC0" w:rsidRPr="00436282">
        <w:rPr>
          <w:rFonts w:ascii="Times New Roman" w:hAnsi="Times New Roman" w:cs="Times New Roman"/>
          <w:color w:val="0D0D0D"/>
          <w:sz w:val="24"/>
          <w:szCs w:val="24"/>
          <w:shd w:val="clear" w:color="auto" w:fill="FFFFFF"/>
        </w:rPr>
        <w:t xml:space="preserve"> that </w:t>
      </w:r>
      <w:r w:rsidR="00922693" w:rsidRPr="00436282">
        <w:rPr>
          <w:rFonts w:ascii="Times New Roman" w:hAnsi="Times New Roman" w:cs="Times New Roman"/>
          <w:sz w:val="24"/>
          <w:szCs w:val="24"/>
        </w:rPr>
        <w:t xml:space="preserve">the largest disparity for students deemed “behind grade level” pre-COVID versus post-COVID occurred in the Northeast public schools. There is a 17% difference between </w:t>
      </w:r>
      <w:r w:rsidR="00541AC0" w:rsidRPr="00436282">
        <w:rPr>
          <w:rFonts w:ascii="Times New Roman" w:hAnsi="Times New Roman" w:cs="Times New Roman"/>
          <w:sz w:val="24"/>
          <w:szCs w:val="24"/>
        </w:rPr>
        <w:t>the pre-COVID bar and post-COVID bar for schools in the Northeast</w:t>
      </w:r>
      <w:r w:rsidR="00922693" w:rsidRPr="00436282">
        <w:rPr>
          <w:rFonts w:ascii="Times New Roman" w:hAnsi="Times New Roman" w:cs="Times New Roman"/>
          <w:sz w:val="24"/>
          <w:szCs w:val="24"/>
        </w:rPr>
        <w:t xml:space="preserve">, and nearly 50% of students in the Northeast are determined to be behind their grade level in 2022. This </w:t>
      </w:r>
      <w:r w:rsidR="00541AC0" w:rsidRPr="00436282">
        <w:rPr>
          <w:rFonts w:ascii="Times New Roman" w:hAnsi="Times New Roman" w:cs="Times New Roman"/>
          <w:sz w:val="24"/>
          <w:szCs w:val="24"/>
        </w:rPr>
        <w:t xml:space="preserve">is not </w:t>
      </w:r>
      <w:proofErr w:type="gramStart"/>
      <w:r w:rsidR="00541AC0" w:rsidRPr="00436282">
        <w:rPr>
          <w:rFonts w:ascii="Times New Roman" w:hAnsi="Times New Roman" w:cs="Times New Roman"/>
          <w:sz w:val="24"/>
          <w:szCs w:val="24"/>
        </w:rPr>
        <w:t>surprising</w:t>
      </w:r>
      <w:proofErr w:type="gramEnd"/>
      <w:r w:rsidR="006F347B" w:rsidRPr="00436282">
        <w:rPr>
          <w:rFonts w:ascii="Times New Roman" w:hAnsi="Times New Roman" w:cs="Times New Roman"/>
          <w:sz w:val="24"/>
          <w:szCs w:val="24"/>
        </w:rPr>
        <w:t xml:space="preserve"> but it is worrisome</w:t>
      </w:r>
      <w:r w:rsidR="00541AC0" w:rsidRPr="00436282">
        <w:rPr>
          <w:rFonts w:ascii="Times New Roman" w:hAnsi="Times New Roman" w:cs="Times New Roman"/>
          <w:sz w:val="24"/>
          <w:szCs w:val="24"/>
        </w:rPr>
        <w:t>,</w:t>
      </w:r>
      <w:r w:rsidR="00922693" w:rsidRPr="00436282">
        <w:rPr>
          <w:rFonts w:ascii="Times New Roman" w:hAnsi="Times New Roman" w:cs="Times New Roman"/>
          <w:sz w:val="24"/>
          <w:szCs w:val="24"/>
        </w:rPr>
        <w:t xml:space="preserve"> considering </w:t>
      </w:r>
      <w:r w:rsidR="006F347B" w:rsidRPr="00436282">
        <w:rPr>
          <w:rFonts w:ascii="Times New Roman" w:hAnsi="Times New Roman" w:cs="Times New Roman"/>
          <w:sz w:val="24"/>
          <w:szCs w:val="24"/>
        </w:rPr>
        <w:t>that</w:t>
      </w:r>
      <w:r w:rsidR="00922693" w:rsidRPr="00436282">
        <w:rPr>
          <w:rFonts w:ascii="Times New Roman" w:hAnsi="Times New Roman" w:cs="Times New Roman"/>
          <w:sz w:val="24"/>
          <w:szCs w:val="24"/>
        </w:rPr>
        <w:t xml:space="preserve"> we </w:t>
      </w:r>
      <w:r w:rsidR="003776F5" w:rsidRPr="00436282">
        <w:rPr>
          <w:rFonts w:ascii="Times New Roman" w:hAnsi="Times New Roman" w:cs="Times New Roman"/>
          <w:sz w:val="24"/>
          <w:szCs w:val="24"/>
        </w:rPr>
        <w:t xml:space="preserve">also </w:t>
      </w:r>
      <w:r w:rsidR="00922693" w:rsidRPr="00436282">
        <w:rPr>
          <w:rFonts w:ascii="Times New Roman" w:hAnsi="Times New Roman" w:cs="Times New Roman"/>
          <w:sz w:val="24"/>
          <w:szCs w:val="24"/>
        </w:rPr>
        <w:t xml:space="preserve">saw </w:t>
      </w:r>
      <w:r w:rsidR="003776F5" w:rsidRPr="00436282">
        <w:rPr>
          <w:rFonts w:ascii="Times New Roman" w:hAnsi="Times New Roman" w:cs="Times New Roman"/>
          <w:sz w:val="24"/>
          <w:szCs w:val="24"/>
        </w:rPr>
        <w:t xml:space="preserve">in previous displays </w:t>
      </w:r>
      <w:r w:rsidR="00922693" w:rsidRPr="00436282">
        <w:rPr>
          <w:rFonts w:ascii="Times New Roman" w:hAnsi="Times New Roman" w:cs="Times New Roman"/>
          <w:sz w:val="24"/>
          <w:szCs w:val="24"/>
        </w:rPr>
        <w:t>the staggering number of teachers that shifted schools or left the profession in places like Vermont</w:t>
      </w:r>
      <w:r w:rsidR="003776F5" w:rsidRPr="00436282">
        <w:rPr>
          <w:rFonts w:ascii="Times New Roman" w:hAnsi="Times New Roman" w:cs="Times New Roman"/>
          <w:sz w:val="24"/>
          <w:szCs w:val="24"/>
        </w:rPr>
        <w:t>, Connecticut</w:t>
      </w:r>
      <w:r w:rsidR="00922693" w:rsidRPr="00436282">
        <w:rPr>
          <w:rFonts w:ascii="Times New Roman" w:hAnsi="Times New Roman" w:cs="Times New Roman"/>
          <w:sz w:val="24"/>
          <w:szCs w:val="24"/>
        </w:rPr>
        <w:t xml:space="preserve"> and M</w:t>
      </w:r>
      <w:r w:rsidR="003776F5" w:rsidRPr="00436282">
        <w:rPr>
          <w:rFonts w:ascii="Times New Roman" w:hAnsi="Times New Roman" w:cs="Times New Roman"/>
          <w:sz w:val="24"/>
          <w:szCs w:val="24"/>
        </w:rPr>
        <w:t>a</w:t>
      </w:r>
      <w:r w:rsidR="00922693" w:rsidRPr="00436282">
        <w:rPr>
          <w:rFonts w:ascii="Times New Roman" w:hAnsi="Times New Roman" w:cs="Times New Roman"/>
          <w:sz w:val="24"/>
          <w:szCs w:val="24"/>
        </w:rPr>
        <w:t xml:space="preserve">ssachusetts. </w:t>
      </w:r>
      <w:r w:rsidR="006F347B" w:rsidRPr="00436282">
        <w:rPr>
          <w:rFonts w:ascii="Times New Roman" w:hAnsi="Times New Roman" w:cs="Times New Roman"/>
          <w:sz w:val="24"/>
          <w:szCs w:val="24"/>
        </w:rPr>
        <w:t xml:space="preserve">As an icing on the cake, </w:t>
      </w:r>
      <w:r w:rsidR="006F347B" w:rsidRPr="00436282">
        <w:rPr>
          <w:rFonts w:ascii="Times New Roman" w:hAnsi="Times New Roman" w:cs="Times New Roman"/>
          <w:color w:val="0D0D0D"/>
          <w:sz w:val="24"/>
          <w:szCs w:val="24"/>
          <w:shd w:val="clear" w:color="auto" w:fill="FFFFFF"/>
        </w:rPr>
        <w:t xml:space="preserve">when the bar chart is adjusted to display the location of schools instead of regions, it becomes evident that cities have </w:t>
      </w:r>
      <w:r w:rsidR="006F347B" w:rsidRPr="00436282">
        <w:rPr>
          <w:rFonts w:ascii="Times New Roman" w:hAnsi="Times New Roman" w:cs="Times New Roman"/>
          <w:color w:val="0D0D0D"/>
          <w:sz w:val="24"/>
          <w:szCs w:val="24"/>
          <w:shd w:val="clear" w:color="auto" w:fill="FFFFFF"/>
        </w:rPr>
        <w:t xml:space="preserve">up to </w:t>
      </w:r>
      <w:r w:rsidR="006F347B" w:rsidRPr="00436282">
        <w:rPr>
          <w:rFonts w:ascii="Times New Roman" w:hAnsi="Times New Roman" w:cs="Times New Roman"/>
          <w:color w:val="0D0D0D"/>
          <w:sz w:val="24"/>
          <w:szCs w:val="24"/>
          <w:shd w:val="clear" w:color="auto" w:fill="FFFFFF"/>
        </w:rPr>
        <w:t>59% of their students falling below grade level benchmarks</w:t>
      </w:r>
      <w:r w:rsidR="006F347B" w:rsidRPr="00436282">
        <w:rPr>
          <w:rFonts w:ascii="Times New Roman" w:hAnsi="Times New Roman" w:cs="Times New Roman"/>
          <w:color w:val="0D0D0D"/>
          <w:sz w:val="24"/>
          <w:szCs w:val="24"/>
          <w:shd w:val="clear" w:color="auto" w:fill="FFFFFF"/>
        </w:rPr>
        <w:t xml:space="preserve">! </w:t>
      </w:r>
      <w:r w:rsidR="002079C6" w:rsidRPr="00436282">
        <w:rPr>
          <w:rFonts w:ascii="Times New Roman" w:hAnsi="Times New Roman" w:cs="Times New Roman"/>
          <w:sz w:val="24"/>
          <w:szCs w:val="24"/>
        </w:rPr>
        <w:t xml:space="preserve">Now, these numbers cannot all be attributed to the attrition rates of teachers after the pandemic. </w:t>
      </w:r>
      <w:r w:rsidR="006F347B" w:rsidRPr="00436282">
        <w:rPr>
          <w:rFonts w:ascii="Times New Roman" w:hAnsi="Times New Roman" w:cs="Times New Roman"/>
          <w:sz w:val="24"/>
          <w:szCs w:val="24"/>
        </w:rPr>
        <w:t>Examination of</w:t>
      </w:r>
      <w:r w:rsidR="002079C6" w:rsidRPr="00436282">
        <w:rPr>
          <w:rFonts w:ascii="Times New Roman" w:hAnsi="Times New Roman" w:cs="Times New Roman"/>
          <w:sz w:val="24"/>
          <w:szCs w:val="24"/>
        </w:rPr>
        <w:t xml:space="preserve"> the two others graphs in this dashboard</w:t>
      </w:r>
      <w:r w:rsidR="006F347B" w:rsidRPr="00436282">
        <w:rPr>
          <w:rFonts w:ascii="Times New Roman" w:hAnsi="Times New Roman" w:cs="Times New Roman"/>
          <w:sz w:val="24"/>
          <w:szCs w:val="24"/>
        </w:rPr>
        <w:t xml:space="preserve"> reveals that</w:t>
      </w:r>
      <w:r w:rsidR="002079C6" w:rsidRPr="00436282">
        <w:rPr>
          <w:rFonts w:ascii="Times New Roman" w:hAnsi="Times New Roman" w:cs="Times New Roman"/>
          <w:sz w:val="24"/>
          <w:szCs w:val="24"/>
        </w:rPr>
        <w:t xml:space="preserve"> students after the pandemic are more distracted in classrooms according to their teachers, and they are absent in outstandingly greater numbers </w:t>
      </w:r>
      <w:r w:rsidR="006F347B" w:rsidRPr="00436282">
        <w:rPr>
          <w:rFonts w:ascii="Times New Roman" w:hAnsi="Times New Roman" w:cs="Times New Roman"/>
          <w:sz w:val="24"/>
          <w:szCs w:val="24"/>
        </w:rPr>
        <w:t xml:space="preserve">in 2022 </w:t>
      </w:r>
      <w:r w:rsidR="002079C6" w:rsidRPr="00436282">
        <w:rPr>
          <w:rFonts w:ascii="Times New Roman" w:hAnsi="Times New Roman" w:cs="Times New Roman"/>
          <w:sz w:val="24"/>
          <w:szCs w:val="24"/>
        </w:rPr>
        <w:t>compared to 2017.</w:t>
      </w:r>
      <w:r w:rsidR="006F347B" w:rsidRPr="00436282">
        <w:rPr>
          <w:rFonts w:ascii="Times New Roman" w:hAnsi="Times New Roman" w:cs="Times New Roman"/>
          <w:color w:val="0D0D0D"/>
          <w:sz w:val="24"/>
          <w:szCs w:val="24"/>
          <w:shd w:val="clear" w:color="auto" w:fill="FFFFFF"/>
        </w:rPr>
        <w:t xml:space="preserve"> I</w:t>
      </w:r>
      <w:r w:rsidR="006F347B" w:rsidRPr="00436282">
        <w:rPr>
          <w:rFonts w:ascii="Times New Roman" w:hAnsi="Times New Roman" w:cs="Times New Roman"/>
          <w:color w:val="0D0D0D"/>
          <w:sz w:val="24"/>
          <w:szCs w:val="24"/>
          <w:shd w:val="clear" w:color="auto" w:fill="FFFFFF"/>
        </w:rPr>
        <w:t>n the "student electronic use" scatter plot, public schools in the Midwest, South, and Northeast all report that students now use their cellphones in the classroom more frequently than before the pandemic</w:t>
      </w:r>
      <w:r w:rsidR="005457A9" w:rsidRPr="00436282">
        <w:rPr>
          <w:rFonts w:ascii="Times New Roman" w:hAnsi="Times New Roman" w:cs="Times New Roman"/>
          <w:sz w:val="24"/>
          <w:szCs w:val="24"/>
        </w:rPr>
        <w:t xml:space="preserve">. Moreover, when looking at the text table in the right-hand corner, student absences are spiking after COVID, and this is evident not just for high schoolers, but for grade 4 students! In 2022, the National Center for Education determined that approximately 21% of all </w:t>
      </w:r>
      <w:proofErr w:type="gramStart"/>
      <w:r w:rsidR="005457A9" w:rsidRPr="00436282">
        <w:rPr>
          <w:rFonts w:ascii="Times New Roman" w:hAnsi="Times New Roman" w:cs="Times New Roman"/>
          <w:sz w:val="24"/>
          <w:szCs w:val="24"/>
        </w:rPr>
        <w:t>grade</w:t>
      </w:r>
      <w:proofErr w:type="gramEnd"/>
      <w:r w:rsidR="005457A9" w:rsidRPr="00436282">
        <w:rPr>
          <w:rFonts w:ascii="Times New Roman" w:hAnsi="Times New Roman" w:cs="Times New Roman"/>
          <w:sz w:val="24"/>
          <w:szCs w:val="24"/>
        </w:rPr>
        <w:t xml:space="preserve"> 4 students miss</w:t>
      </w:r>
      <w:r w:rsidR="006F347B" w:rsidRPr="00436282">
        <w:rPr>
          <w:rFonts w:ascii="Times New Roman" w:hAnsi="Times New Roman" w:cs="Times New Roman"/>
          <w:sz w:val="24"/>
          <w:szCs w:val="24"/>
        </w:rPr>
        <w:t>ed</w:t>
      </w:r>
      <w:r w:rsidR="005457A9" w:rsidRPr="00436282">
        <w:rPr>
          <w:rFonts w:ascii="Times New Roman" w:hAnsi="Times New Roman" w:cs="Times New Roman"/>
          <w:sz w:val="24"/>
          <w:szCs w:val="24"/>
        </w:rPr>
        <w:t xml:space="preserve"> 5 or more days in any given month during the </w:t>
      </w:r>
      <w:r w:rsidR="006F347B" w:rsidRPr="00436282">
        <w:rPr>
          <w:rFonts w:ascii="Times New Roman" w:hAnsi="Times New Roman" w:cs="Times New Roman"/>
          <w:sz w:val="24"/>
          <w:szCs w:val="24"/>
        </w:rPr>
        <w:t xml:space="preserve">2022 </w:t>
      </w:r>
      <w:r w:rsidR="005457A9" w:rsidRPr="00436282">
        <w:rPr>
          <w:rFonts w:ascii="Times New Roman" w:hAnsi="Times New Roman" w:cs="Times New Roman"/>
          <w:sz w:val="24"/>
          <w:szCs w:val="24"/>
        </w:rPr>
        <w:t xml:space="preserve">school year. </w:t>
      </w:r>
      <w:r w:rsidR="006F347B" w:rsidRPr="00436282">
        <w:rPr>
          <w:rFonts w:ascii="Times New Roman" w:hAnsi="Times New Roman" w:cs="Times New Roman"/>
          <w:sz w:val="24"/>
          <w:szCs w:val="24"/>
        </w:rPr>
        <w:t>Consequently</w:t>
      </w:r>
      <w:r w:rsidR="005457A9" w:rsidRPr="00436282">
        <w:rPr>
          <w:rFonts w:ascii="Times New Roman" w:hAnsi="Times New Roman" w:cs="Times New Roman"/>
          <w:sz w:val="24"/>
          <w:szCs w:val="24"/>
        </w:rPr>
        <w:t xml:space="preserve">, all these results indicate that it wasn’t just teachers who </w:t>
      </w:r>
      <w:r w:rsidR="005457A9" w:rsidRPr="00436282">
        <w:rPr>
          <w:rFonts w:ascii="Times New Roman" w:hAnsi="Times New Roman" w:cs="Times New Roman"/>
          <w:sz w:val="24"/>
          <w:szCs w:val="24"/>
        </w:rPr>
        <w:lastRenderedPageBreak/>
        <w:t xml:space="preserve">experienced new difficulties during the pandemic, but student behavior and standards of education all dropped post-COVID. </w:t>
      </w:r>
    </w:p>
    <w:p w14:paraId="38AFB60C" w14:textId="655A0065" w:rsidR="0072516B" w:rsidRDefault="001553E5" w:rsidP="0072516B">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Conclusion: </w:t>
      </w:r>
      <w:r w:rsidR="0072516B">
        <w:rPr>
          <w:rFonts w:ascii="Times New Roman" w:hAnsi="Times New Roman" w:cs="Times New Roman"/>
          <w:i/>
          <w:iCs/>
          <w:sz w:val="24"/>
          <w:szCs w:val="24"/>
        </w:rPr>
        <w:t xml:space="preserve">Dashboard </w:t>
      </w:r>
      <w:r w:rsidR="0072516B">
        <w:rPr>
          <w:rFonts w:ascii="Times New Roman" w:hAnsi="Times New Roman" w:cs="Times New Roman"/>
          <w:i/>
          <w:iCs/>
          <w:sz w:val="24"/>
          <w:szCs w:val="24"/>
        </w:rPr>
        <w:t>6</w:t>
      </w:r>
      <w:r>
        <w:rPr>
          <w:rFonts w:ascii="Times New Roman" w:hAnsi="Times New Roman" w:cs="Times New Roman"/>
          <w:i/>
          <w:iCs/>
          <w:sz w:val="24"/>
          <w:szCs w:val="24"/>
        </w:rPr>
        <w:t xml:space="preserve"> (Scores are Down)</w:t>
      </w:r>
    </w:p>
    <w:p w14:paraId="0FECCC76" w14:textId="6C92E3A9" w:rsidR="000846B4" w:rsidRDefault="008E1352" w:rsidP="000846B4">
      <w:pPr>
        <w:spacing w:line="240" w:lineRule="auto"/>
        <w:rPr>
          <w:rFonts w:ascii="Times New Roman" w:hAnsi="Times New Roman" w:cs="Times New Roman"/>
          <w:color w:val="0D0D0D"/>
          <w:sz w:val="24"/>
          <w:szCs w:val="24"/>
          <w:shd w:val="clear" w:color="auto" w:fill="FFFFFF"/>
        </w:rPr>
      </w:pPr>
      <w:r>
        <w:rPr>
          <w:rFonts w:ascii="Times New Roman" w:hAnsi="Times New Roman" w:cs="Times New Roman"/>
          <w:sz w:val="24"/>
          <w:szCs w:val="24"/>
        </w:rPr>
        <w:tab/>
        <w:t>In this final dashboard, the displays presented here, accompanied by the information discussed in previous dashboards, answers the question if US public education is in a crisis</w:t>
      </w:r>
      <w:r w:rsidR="00794114">
        <w:rPr>
          <w:rFonts w:ascii="Times New Roman" w:hAnsi="Times New Roman" w:cs="Times New Roman"/>
          <w:sz w:val="24"/>
          <w:szCs w:val="24"/>
        </w:rPr>
        <w:t>. According to the tree map and the bar diagram in the dashboard,</w:t>
      </w:r>
      <w:r w:rsidR="006417ED">
        <w:rPr>
          <w:rFonts w:ascii="Times New Roman" w:hAnsi="Times New Roman" w:cs="Times New Roman"/>
          <w:sz w:val="24"/>
          <w:szCs w:val="24"/>
        </w:rPr>
        <w:t xml:space="preserve"> </w:t>
      </w:r>
      <w:r w:rsidR="00794114">
        <w:rPr>
          <w:rFonts w:ascii="Times New Roman" w:hAnsi="Times New Roman" w:cs="Times New Roman"/>
          <w:sz w:val="24"/>
          <w:szCs w:val="24"/>
        </w:rPr>
        <w:t>m</w:t>
      </w:r>
      <w:r w:rsidR="006417ED">
        <w:rPr>
          <w:rFonts w:ascii="Times New Roman" w:hAnsi="Times New Roman" w:cs="Times New Roman"/>
          <w:sz w:val="24"/>
          <w:szCs w:val="24"/>
        </w:rPr>
        <w:t>athematics scale scores</w:t>
      </w:r>
      <w:r w:rsidR="00794114">
        <w:rPr>
          <w:rFonts w:ascii="Times New Roman" w:hAnsi="Times New Roman" w:cs="Times New Roman"/>
          <w:sz w:val="24"/>
          <w:szCs w:val="24"/>
        </w:rPr>
        <w:t>, as determined by NAEP (otherwise known as the Nation’s Report Card), are at their lowest levels for grade 4 and grade 8 students since 2005. The school year of 2022 produced some of the worst NAEP mathematics scores in nearly two decades, and this is even further highlighted by the decline of SAT scores in 2022 and 2023 compared to previous years. In the SAT percent difference bar diagram, the graduating class of 2023 had the greatest percent decrease in SAT results in the last 5 years.</w:t>
      </w:r>
      <w:r w:rsidR="009C0BA4">
        <w:rPr>
          <w:rFonts w:ascii="Times New Roman" w:hAnsi="Times New Roman" w:cs="Times New Roman"/>
          <w:sz w:val="24"/>
          <w:szCs w:val="24"/>
        </w:rPr>
        <w:t xml:space="preserve"> </w:t>
      </w:r>
      <w:r w:rsidR="00B72761">
        <w:rPr>
          <w:rFonts w:ascii="Times New Roman" w:hAnsi="Times New Roman" w:cs="Times New Roman"/>
          <w:sz w:val="24"/>
          <w:szCs w:val="24"/>
        </w:rPr>
        <w:t>Consequently, w</w:t>
      </w:r>
      <w:r w:rsidR="009C0BA4">
        <w:rPr>
          <w:rFonts w:ascii="Times New Roman" w:hAnsi="Times New Roman" w:cs="Times New Roman"/>
          <w:sz w:val="24"/>
          <w:szCs w:val="24"/>
        </w:rPr>
        <w:t xml:space="preserve">hen seeing these results, one cannot help but sound the alarm on a national public education crisis. The outcomes of this display, as well as the information from preceding dashboards, all point out the necessity for a reconstruction of the education system. Some of the major changes that need to take place are: increased salaries and better incentives for current public school educators, increased funding for public schools to fill vacancies in special education programs and STEM fields of study, a stricter establishment of rules for technology use in classrooms as well as maximum number of allowed absences, and a more </w:t>
      </w:r>
      <w:r w:rsidR="009C0BA4" w:rsidRPr="001553E5">
        <w:rPr>
          <w:rFonts w:ascii="Times New Roman" w:hAnsi="Times New Roman" w:cs="Times New Roman"/>
          <w:sz w:val="24"/>
          <w:szCs w:val="24"/>
        </w:rPr>
        <w:t xml:space="preserve">intense focus on filling in gaps created during the pandemic in the mathematics and </w:t>
      </w:r>
      <w:proofErr w:type="spellStart"/>
      <w:r w:rsidR="009C0BA4" w:rsidRPr="001553E5">
        <w:rPr>
          <w:rFonts w:ascii="Times New Roman" w:hAnsi="Times New Roman" w:cs="Times New Roman"/>
          <w:sz w:val="24"/>
          <w:szCs w:val="24"/>
        </w:rPr>
        <w:t>english</w:t>
      </w:r>
      <w:proofErr w:type="spellEnd"/>
      <w:r w:rsidR="009C0BA4" w:rsidRPr="001553E5">
        <w:rPr>
          <w:rFonts w:ascii="Times New Roman" w:hAnsi="Times New Roman" w:cs="Times New Roman"/>
          <w:sz w:val="24"/>
          <w:szCs w:val="24"/>
        </w:rPr>
        <w:t xml:space="preserve"> subjects. </w:t>
      </w:r>
      <w:r w:rsidR="001553E5" w:rsidRPr="001553E5">
        <w:rPr>
          <w:rFonts w:ascii="Times New Roman" w:hAnsi="Times New Roman" w:cs="Times New Roman"/>
          <w:color w:val="0D0D0D"/>
          <w:sz w:val="24"/>
          <w:szCs w:val="24"/>
          <w:shd w:val="clear" w:color="auto" w:fill="FFFFFF"/>
        </w:rPr>
        <w:t>We hope that the information highlighted in these data visuals not only brought attention to the challenges exacerbated by COVID in US education</w:t>
      </w:r>
      <w:r w:rsidR="00B72DDB">
        <w:rPr>
          <w:rFonts w:ascii="Times New Roman" w:hAnsi="Times New Roman" w:cs="Times New Roman"/>
          <w:color w:val="0D0D0D"/>
          <w:sz w:val="24"/>
          <w:szCs w:val="24"/>
          <w:shd w:val="clear" w:color="auto" w:fill="FFFFFF"/>
        </w:rPr>
        <w:t>,</w:t>
      </w:r>
      <w:r w:rsidR="001553E5" w:rsidRPr="001553E5">
        <w:rPr>
          <w:rFonts w:ascii="Times New Roman" w:hAnsi="Times New Roman" w:cs="Times New Roman"/>
          <w:color w:val="0D0D0D"/>
          <w:sz w:val="24"/>
          <w:szCs w:val="24"/>
          <w:shd w:val="clear" w:color="auto" w:fill="FFFFFF"/>
        </w:rPr>
        <w:t xml:space="preserve"> but also </w:t>
      </w:r>
      <w:r w:rsidR="001553E5">
        <w:rPr>
          <w:rFonts w:ascii="Times New Roman" w:hAnsi="Times New Roman" w:cs="Times New Roman"/>
          <w:color w:val="0D0D0D"/>
          <w:sz w:val="24"/>
          <w:szCs w:val="24"/>
          <w:shd w:val="clear" w:color="auto" w:fill="FFFFFF"/>
        </w:rPr>
        <w:t>illuminated</w:t>
      </w:r>
      <w:r w:rsidR="001553E5" w:rsidRPr="001553E5">
        <w:rPr>
          <w:rFonts w:ascii="Times New Roman" w:hAnsi="Times New Roman" w:cs="Times New Roman"/>
          <w:color w:val="0D0D0D"/>
          <w:sz w:val="24"/>
          <w:szCs w:val="24"/>
          <w:shd w:val="clear" w:color="auto" w:fill="FFFFFF"/>
        </w:rPr>
        <w:t xml:space="preserve"> significant areas for improvement in public schools moving forward.</w:t>
      </w:r>
    </w:p>
    <w:p w14:paraId="221E566A" w14:textId="77777777" w:rsidR="001553E5" w:rsidRDefault="001553E5" w:rsidP="001553E5">
      <w:pPr>
        <w:spacing w:line="240" w:lineRule="auto"/>
        <w:jc w:val="center"/>
        <w:rPr>
          <w:rFonts w:ascii="Times New Roman" w:hAnsi="Times New Roman" w:cs="Times New Roman"/>
          <w:color w:val="0D0D0D"/>
          <w:sz w:val="24"/>
          <w:szCs w:val="24"/>
          <w:shd w:val="clear" w:color="auto" w:fill="FFFFFF"/>
        </w:rPr>
      </w:pPr>
    </w:p>
    <w:p w14:paraId="0CB629F3" w14:textId="77777777" w:rsidR="001553E5" w:rsidRDefault="001553E5" w:rsidP="000846B4">
      <w:pPr>
        <w:spacing w:line="240" w:lineRule="auto"/>
        <w:rPr>
          <w:rFonts w:ascii="Times New Roman" w:hAnsi="Times New Roman" w:cs="Times New Roman"/>
          <w:sz w:val="24"/>
          <w:szCs w:val="24"/>
        </w:rPr>
      </w:pPr>
    </w:p>
    <w:p w14:paraId="0EBA5F85" w14:textId="77777777" w:rsidR="001437A1" w:rsidRDefault="001437A1" w:rsidP="000846B4">
      <w:pPr>
        <w:spacing w:line="240" w:lineRule="auto"/>
        <w:rPr>
          <w:rFonts w:ascii="Times New Roman" w:hAnsi="Times New Roman" w:cs="Times New Roman"/>
          <w:sz w:val="24"/>
          <w:szCs w:val="24"/>
        </w:rPr>
      </w:pPr>
    </w:p>
    <w:p w14:paraId="584F06D0" w14:textId="77777777" w:rsidR="001437A1" w:rsidRDefault="001437A1" w:rsidP="000846B4">
      <w:pPr>
        <w:spacing w:line="240" w:lineRule="auto"/>
        <w:rPr>
          <w:rFonts w:ascii="Times New Roman" w:hAnsi="Times New Roman" w:cs="Times New Roman"/>
          <w:sz w:val="24"/>
          <w:szCs w:val="24"/>
        </w:rPr>
      </w:pPr>
    </w:p>
    <w:p w14:paraId="2B5A3C32" w14:textId="77777777" w:rsidR="001437A1" w:rsidRDefault="001437A1" w:rsidP="000846B4">
      <w:pPr>
        <w:spacing w:line="240" w:lineRule="auto"/>
        <w:rPr>
          <w:rFonts w:ascii="Times New Roman" w:hAnsi="Times New Roman" w:cs="Times New Roman"/>
          <w:sz w:val="24"/>
          <w:szCs w:val="24"/>
        </w:rPr>
      </w:pPr>
    </w:p>
    <w:p w14:paraId="5D874702" w14:textId="77777777" w:rsidR="001437A1" w:rsidRDefault="001437A1" w:rsidP="000846B4">
      <w:pPr>
        <w:spacing w:line="240" w:lineRule="auto"/>
        <w:rPr>
          <w:rFonts w:ascii="Times New Roman" w:hAnsi="Times New Roman" w:cs="Times New Roman"/>
          <w:sz w:val="24"/>
          <w:szCs w:val="24"/>
        </w:rPr>
      </w:pPr>
    </w:p>
    <w:p w14:paraId="2A06DB29" w14:textId="77777777" w:rsidR="001437A1" w:rsidRDefault="001437A1" w:rsidP="000846B4">
      <w:pPr>
        <w:spacing w:line="240" w:lineRule="auto"/>
        <w:rPr>
          <w:rFonts w:ascii="Times New Roman" w:hAnsi="Times New Roman" w:cs="Times New Roman"/>
          <w:sz w:val="24"/>
          <w:szCs w:val="24"/>
        </w:rPr>
      </w:pPr>
    </w:p>
    <w:p w14:paraId="33E8D898" w14:textId="77777777" w:rsidR="001437A1" w:rsidRDefault="001437A1" w:rsidP="000846B4">
      <w:pPr>
        <w:spacing w:line="240" w:lineRule="auto"/>
        <w:rPr>
          <w:rFonts w:ascii="Times New Roman" w:hAnsi="Times New Roman" w:cs="Times New Roman"/>
          <w:sz w:val="24"/>
          <w:szCs w:val="24"/>
        </w:rPr>
      </w:pPr>
    </w:p>
    <w:p w14:paraId="11B76B8E" w14:textId="77777777" w:rsidR="001437A1" w:rsidRDefault="001437A1" w:rsidP="000846B4">
      <w:pPr>
        <w:spacing w:line="240" w:lineRule="auto"/>
        <w:rPr>
          <w:rFonts w:ascii="Times New Roman" w:hAnsi="Times New Roman" w:cs="Times New Roman"/>
          <w:sz w:val="24"/>
          <w:szCs w:val="24"/>
        </w:rPr>
      </w:pPr>
    </w:p>
    <w:p w14:paraId="2C8B4861" w14:textId="77777777" w:rsidR="001437A1" w:rsidRDefault="001437A1" w:rsidP="000846B4">
      <w:pPr>
        <w:spacing w:line="240" w:lineRule="auto"/>
        <w:rPr>
          <w:rFonts w:ascii="Times New Roman" w:hAnsi="Times New Roman" w:cs="Times New Roman"/>
          <w:sz w:val="24"/>
          <w:szCs w:val="24"/>
        </w:rPr>
      </w:pPr>
    </w:p>
    <w:p w14:paraId="074731D3" w14:textId="77777777" w:rsidR="001437A1" w:rsidRDefault="001437A1" w:rsidP="000846B4">
      <w:pPr>
        <w:spacing w:line="240" w:lineRule="auto"/>
        <w:rPr>
          <w:rFonts w:ascii="Times New Roman" w:hAnsi="Times New Roman" w:cs="Times New Roman"/>
          <w:sz w:val="24"/>
          <w:szCs w:val="24"/>
        </w:rPr>
      </w:pPr>
    </w:p>
    <w:p w14:paraId="642D7DDD" w14:textId="77777777" w:rsidR="001437A1" w:rsidRDefault="001437A1" w:rsidP="000846B4">
      <w:pPr>
        <w:spacing w:line="240" w:lineRule="auto"/>
        <w:rPr>
          <w:rFonts w:ascii="Times New Roman" w:hAnsi="Times New Roman" w:cs="Times New Roman"/>
          <w:sz w:val="24"/>
          <w:szCs w:val="24"/>
        </w:rPr>
      </w:pPr>
    </w:p>
    <w:p w14:paraId="5182ED08" w14:textId="77777777" w:rsidR="001437A1" w:rsidRDefault="001437A1" w:rsidP="000846B4">
      <w:pPr>
        <w:spacing w:line="240" w:lineRule="auto"/>
        <w:rPr>
          <w:rFonts w:ascii="Times New Roman" w:hAnsi="Times New Roman" w:cs="Times New Roman"/>
          <w:sz w:val="24"/>
          <w:szCs w:val="24"/>
        </w:rPr>
      </w:pPr>
    </w:p>
    <w:p w14:paraId="030FC833" w14:textId="77777777" w:rsidR="001437A1" w:rsidRDefault="001437A1" w:rsidP="000846B4">
      <w:pPr>
        <w:spacing w:line="240" w:lineRule="auto"/>
        <w:rPr>
          <w:rFonts w:ascii="Times New Roman" w:hAnsi="Times New Roman" w:cs="Times New Roman"/>
          <w:sz w:val="24"/>
          <w:szCs w:val="24"/>
        </w:rPr>
      </w:pPr>
    </w:p>
    <w:p w14:paraId="47D8C019" w14:textId="77777777" w:rsidR="001437A1" w:rsidRDefault="001437A1" w:rsidP="000846B4">
      <w:pPr>
        <w:spacing w:line="240" w:lineRule="auto"/>
        <w:rPr>
          <w:rFonts w:ascii="Times New Roman" w:hAnsi="Times New Roman" w:cs="Times New Roman"/>
          <w:sz w:val="24"/>
          <w:szCs w:val="24"/>
        </w:rPr>
      </w:pPr>
    </w:p>
    <w:p w14:paraId="673F127E" w14:textId="57E4BB74" w:rsidR="001437A1" w:rsidRDefault="001437A1" w:rsidP="00390C54">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739022A" w14:textId="60796563" w:rsidR="001650AE" w:rsidRPr="001650AE" w:rsidRDefault="001650AE" w:rsidP="001650AE">
      <w:pPr>
        <w:pStyle w:val="NormalWeb"/>
        <w:ind w:left="567" w:hanging="567"/>
      </w:pPr>
      <w:r>
        <w:t xml:space="preserve">“All about SAT Scores: National Average and Full Statistics: </w:t>
      </w:r>
      <w:proofErr w:type="spellStart"/>
      <w:r>
        <w:t>Bestcolleges</w:t>
      </w:r>
      <w:proofErr w:type="spellEnd"/>
      <w:r>
        <w:t xml:space="preserve">.” </w:t>
      </w:r>
      <w:r>
        <w:rPr>
          <w:i/>
          <w:iCs/>
        </w:rPr>
        <w:t>BestColleges.Com</w:t>
      </w:r>
      <w:r>
        <w:t xml:space="preserve">, 19 Dec. 2023, www.bestcolleges.com/research/average-sat-score-full-statistics/#:~:text=The%20average%20total%20SAT%20score%20was%201028%20in%202023%2C%20the,test%20changed%20formats%20in%202016.&amp;text=From%202006%2D2016%2C%20the%20SAT,from%20high%20school%20in%202023. </w:t>
      </w:r>
    </w:p>
    <w:p w14:paraId="45A23DFE" w14:textId="779C0356" w:rsidR="001650AE" w:rsidRDefault="001650AE" w:rsidP="001650AE">
      <w:pPr>
        <w:pStyle w:val="NormalWeb"/>
        <w:ind w:left="567" w:hanging="567"/>
      </w:pPr>
      <w:r>
        <w:rPr>
          <w:i/>
          <w:iCs/>
        </w:rPr>
        <w:t>Coe - Teacher Turnover: Stayers, Movers, and Leavers</w:t>
      </w:r>
      <w:r>
        <w:t>, nces.ed.gov/programs/</w:t>
      </w:r>
      <w:proofErr w:type="spellStart"/>
      <w:r>
        <w:t>coe</w:t>
      </w:r>
      <w:proofErr w:type="spellEnd"/>
      <w:r>
        <w:t>/indicator/</w:t>
      </w:r>
      <w:proofErr w:type="spellStart"/>
      <w:r>
        <w:t>slc</w:t>
      </w:r>
      <w:proofErr w:type="spellEnd"/>
      <w:r>
        <w:t xml:space="preserve">. Accessed 3 May 2024. </w:t>
      </w:r>
    </w:p>
    <w:p w14:paraId="2FC9B084" w14:textId="24DA6789" w:rsidR="00193399" w:rsidRDefault="00193399" w:rsidP="00193399">
      <w:pPr>
        <w:pStyle w:val="NormalWeb"/>
        <w:ind w:left="567" w:hanging="567"/>
      </w:pPr>
      <w:r>
        <w:t xml:space="preserve">“The Condition of Education 2023 at a Glance.” </w:t>
      </w:r>
      <w:r>
        <w:rPr>
          <w:i/>
          <w:iCs/>
        </w:rPr>
        <w:t>COE 2022 At a Glance</w:t>
      </w:r>
      <w:r>
        <w:t>, nces.ed.gov/programs/</w:t>
      </w:r>
      <w:proofErr w:type="spellStart"/>
      <w:r>
        <w:t>coe</w:t>
      </w:r>
      <w:proofErr w:type="spellEnd"/>
      <w:r>
        <w:t>/</w:t>
      </w:r>
      <w:proofErr w:type="spellStart"/>
      <w:r>
        <w:t>ataglance</w:t>
      </w:r>
      <w:proofErr w:type="spellEnd"/>
      <w:r>
        <w:t xml:space="preserve">. Accessed 3 May 2024. </w:t>
      </w:r>
    </w:p>
    <w:p w14:paraId="6B79302B" w14:textId="11D7192E" w:rsidR="00193399" w:rsidRPr="00193399" w:rsidRDefault="00193399" w:rsidP="00193399">
      <w:pPr>
        <w:pStyle w:val="NormalWeb"/>
        <w:ind w:left="567" w:hanging="567"/>
      </w:pPr>
      <w:r>
        <w:t xml:space="preserve">“Digest of Education Statistics, 2017.” </w:t>
      </w:r>
      <w:r>
        <w:rPr>
          <w:i/>
          <w:iCs/>
        </w:rPr>
        <w:t>National Center for Education Statistics (NCES) Home Page, a Part of the U.S. Department of Education</w:t>
      </w:r>
      <w:r>
        <w:t xml:space="preserve">, nces.ed.gov/programs/digest/d17/tables/dt17_227.50.asp?referer=raceindicators. Accessed 3 May 2024. </w:t>
      </w:r>
    </w:p>
    <w:p w14:paraId="575E2A5A" w14:textId="6F9520A1" w:rsidR="001650AE" w:rsidRDefault="001650AE" w:rsidP="001650AE">
      <w:pPr>
        <w:pStyle w:val="NormalWeb"/>
        <w:ind w:left="567" w:hanging="567"/>
      </w:pPr>
      <w:r>
        <w:t xml:space="preserve">“Digest of Education Statistics, 2022.” </w:t>
      </w:r>
      <w:r>
        <w:rPr>
          <w:i/>
          <w:iCs/>
        </w:rPr>
        <w:t>National Center for Education Statistics (NCES) Home Page, a Part of the U.S. Department of Education</w:t>
      </w:r>
      <w:r>
        <w:t xml:space="preserve">, nces.ed.gov/programs/digest/d22/tables/dt22_211.50.asp. Accessed 3 May 2024. </w:t>
      </w:r>
    </w:p>
    <w:p w14:paraId="4FA6E148" w14:textId="5772E352" w:rsidR="00193399" w:rsidRDefault="00193399" w:rsidP="00193399">
      <w:pPr>
        <w:pStyle w:val="NormalWeb"/>
        <w:ind w:left="567" w:hanging="567"/>
      </w:pPr>
      <w:r>
        <w:t xml:space="preserve">“Digest of Education Statistics, 2022.” </w:t>
      </w:r>
      <w:r>
        <w:rPr>
          <w:i/>
          <w:iCs/>
        </w:rPr>
        <w:t>National Center for Education Statistics (NCES) Home Page, a Part of the U.S. Department of Education</w:t>
      </w:r>
      <w:r>
        <w:t xml:space="preserve">, nces.ed.gov/programs/digest/d22/tables/dt22_211.60.asp. Accessed 3 May 2024. </w:t>
      </w:r>
    </w:p>
    <w:p w14:paraId="339A7EE2" w14:textId="0DB4423F" w:rsidR="00390C54" w:rsidRDefault="00390C54" w:rsidP="00390C54">
      <w:pPr>
        <w:pStyle w:val="NormalWeb"/>
        <w:ind w:left="567" w:hanging="567"/>
      </w:pPr>
      <w:r>
        <w:t xml:space="preserve">“Digest of Education Statistics, 2022.” </w:t>
      </w:r>
      <w:r>
        <w:rPr>
          <w:i/>
          <w:iCs/>
        </w:rPr>
        <w:t>National Center for Education Statistics (NCES) Home Page, a Part of the U.S. Department of Education</w:t>
      </w:r>
      <w:r>
        <w:t xml:space="preserve">, nces.ed.gov/programs/digest/d22/tables/dt22_222.10.asp. Accessed 3 May 2024. </w:t>
      </w:r>
    </w:p>
    <w:p w14:paraId="78CD54F7" w14:textId="707037EA" w:rsidR="001650AE" w:rsidRDefault="001650AE" w:rsidP="001650AE">
      <w:pPr>
        <w:pStyle w:val="NormalWeb"/>
        <w:ind w:left="567" w:hanging="567"/>
      </w:pPr>
      <w:r>
        <w:t xml:space="preserve">“Digest of Education Statistics, 2022.” </w:t>
      </w:r>
      <w:r>
        <w:rPr>
          <w:i/>
          <w:iCs/>
        </w:rPr>
        <w:t>National Center for Education Statistics (NCES) Home Page, a Part of the U.S. Department of Education</w:t>
      </w:r>
      <w:r>
        <w:t xml:space="preserve">, nces.ed.gov/programs/digest/d22/tables/dt22_226.50.asp. Accessed 3 May 2024. </w:t>
      </w:r>
    </w:p>
    <w:p w14:paraId="53FC6461" w14:textId="7A1F44E3" w:rsidR="007D19A9" w:rsidRDefault="007D19A9" w:rsidP="007D19A9">
      <w:pPr>
        <w:pStyle w:val="NormalWeb"/>
        <w:ind w:left="567" w:hanging="567"/>
      </w:pPr>
      <w:r>
        <w:t xml:space="preserve">“National Teacher and Principal Survey (NTPS).” </w:t>
      </w:r>
      <w:r>
        <w:rPr>
          <w:i/>
          <w:iCs/>
        </w:rPr>
        <w:t>National Center for Education Statistics (NCES) Home Page, a Part of the U.S. Department of Education</w:t>
      </w:r>
      <w:r>
        <w:t xml:space="preserve">, nces.ed.gov/surveys/ntps/estable/table/ntps/ntps_trend_6811_t12n. Accessed 3 May 2024. </w:t>
      </w:r>
    </w:p>
    <w:p w14:paraId="26B41CD3" w14:textId="27DF7834" w:rsidR="007D19A9" w:rsidRDefault="007D19A9" w:rsidP="007D19A9">
      <w:pPr>
        <w:pStyle w:val="NormalWeb"/>
        <w:ind w:left="567" w:hanging="567"/>
      </w:pPr>
      <w:r>
        <w:t xml:space="preserve">“National Teacher and Principal Survey (NTPS).” </w:t>
      </w:r>
      <w:r>
        <w:rPr>
          <w:i/>
          <w:iCs/>
        </w:rPr>
        <w:t>National Center for Education Statistics (NCES) Home Page, a Part of the U.S. Department of Education</w:t>
      </w:r>
      <w:r>
        <w:t xml:space="preserve">, nces.ed.gov/surveys/ntps/estable/table/ntps/ntps_trend_notfillvacancy_n1s. Accessed 3 May 2024. </w:t>
      </w:r>
    </w:p>
    <w:p w14:paraId="0A4BD5BC" w14:textId="108E9964" w:rsidR="00193399" w:rsidRDefault="00193399" w:rsidP="00193399">
      <w:pPr>
        <w:pStyle w:val="NormalWeb"/>
        <w:ind w:left="567" w:hanging="567"/>
      </w:pPr>
      <w:r>
        <w:lastRenderedPageBreak/>
        <w:t xml:space="preserve">“National Teacher and Principal Survey (NTPS).” </w:t>
      </w:r>
      <w:r>
        <w:rPr>
          <w:i/>
          <w:iCs/>
        </w:rPr>
        <w:t>National Center for Education Statistics (NCES) Home Page, a Part of the U.S. Department of Education</w:t>
      </w:r>
      <w:r>
        <w:t>, nces.ed.gov/surveys/</w:t>
      </w:r>
      <w:proofErr w:type="spellStart"/>
      <w:r>
        <w:t>ntps</w:t>
      </w:r>
      <w:proofErr w:type="spellEnd"/>
      <w:r>
        <w:t>/</w:t>
      </w:r>
      <w:proofErr w:type="spellStart"/>
      <w:r>
        <w:t>estable</w:t>
      </w:r>
      <w:proofErr w:type="spellEnd"/>
      <w:r>
        <w:t>/table/</w:t>
      </w:r>
      <w:proofErr w:type="spellStart"/>
      <w:r>
        <w:t>ntps</w:t>
      </w:r>
      <w:proofErr w:type="spellEnd"/>
      <w:r>
        <w:t xml:space="preserve">/tfs2122_80601_cf1s. Accessed 3 May 2024. </w:t>
      </w:r>
    </w:p>
    <w:p w14:paraId="7BDD0CAD" w14:textId="77777777" w:rsidR="001650AE" w:rsidRDefault="001650AE" w:rsidP="001650AE">
      <w:pPr>
        <w:pStyle w:val="NormalWeb"/>
        <w:ind w:left="567" w:hanging="567"/>
      </w:pPr>
      <w:r>
        <w:rPr>
          <w:i/>
          <w:iCs/>
        </w:rPr>
        <w:t>New Data Shows That Just as Many Students Are behind Grade Level as Last Year | Education News | U.S. News</w:t>
      </w:r>
      <w:r>
        <w:t xml:space="preserve">, www.usnews.com/news/education-news/articles/2023-02-09/new-data-shows-that-just-as-many-students-are-behind-grade-level-as-last-year. Accessed 3 May 2024. </w:t>
      </w:r>
    </w:p>
    <w:p w14:paraId="056B17B1" w14:textId="18507757" w:rsidR="00193399" w:rsidRDefault="00193399" w:rsidP="00193399">
      <w:pPr>
        <w:pStyle w:val="NormalWeb"/>
        <w:ind w:left="567" w:hanging="567"/>
      </w:pPr>
      <w:r>
        <w:t xml:space="preserve">Published by                                    Statista Research Department, and Apr 10. “Quits among Educational Services Staff U.S. 2024.” </w:t>
      </w:r>
      <w:r>
        <w:rPr>
          <w:i/>
          <w:iCs/>
        </w:rPr>
        <w:t>Statista</w:t>
      </w:r>
      <w:r>
        <w:t xml:space="preserve">, 10 Apr. 2024, www.statista.com/statistics/1316461/number-quits-educational-services-staff-us-unadjusted/. </w:t>
      </w:r>
    </w:p>
    <w:p w14:paraId="69B19CF6" w14:textId="77777777" w:rsidR="001650AE" w:rsidRDefault="001650AE" w:rsidP="001650AE">
      <w:pPr>
        <w:pStyle w:val="NormalWeb"/>
        <w:ind w:left="567" w:hanging="567"/>
      </w:pPr>
      <w:r>
        <w:rPr>
          <w:i/>
          <w:iCs/>
        </w:rPr>
        <w:t>School Pulse Panel</w:t>
      </w:r>
      <w:r>
        <w:t>, ies.ed.gov/</w:t>
      </w:r>
      <w:proofErr w:type="spellStart"/>
      <w:r>
        <w:t>schoolsurvey</w:t>
      </w:r>
      <w:proofErr w:type="spellEnd"/>
      <w:r>
        <w:t>/</w:t>
      </w:r>
      <w:proofErr w:type="spellStart"/>
      <w:r>
        <w:t>spp</w:t>
      </w:r>
      <w:proofErr w:type="spellEnd"/>
      <w:r>
        <w:t xml:space="preserve">/. Accessed 3 May 2024. </w:t>
      </w:r>
    </w:p>
    <w:p w14:paraId="62ECCF5D" w14:textId="77777777" w:rsidR="00193399" w:rsidRDefault="00193399" w:rsidP="00193399">
      <w:pPr>
        <w:pStyle w:val="NormalWeb"/>
        <w:ind w:left="567" w:hanging="567"/>
      </w:pPr>
      <w:r>
        <w:t xml:space="preserve">“Timeline of Events Related to the COVID-19 Pandemic.” </w:t>
      </w:r>
      <w:r>
        <w:rPr>
          <w:i/>
          <w:iCs/>
        </w:rPr>
        <w:t>FRASER</w:t>
      </w:r>
      <w:r>
        <w:t xml:space="preserve">, fraser.stlouisfed.org/timeline/covid-19-pandemic. Accessed 3 May 2024. </w:t>
      </w:r>
    </w:p>
    <w:p w14:paraId="7D956AB6" w14:textId="77777777" w:rsidR="00193399" w:rsidRDefault="00193399" w:rsidP="001650AE">
      <w:pPr>
        <w:pStyle w:val="NormalWeb"/>
        <w:ind w:left="567" w:hanging="567"/>
      </w:pPr>
    </w:p>
    <w:p w14:paraId="0AE42879" w14:textId="77777777" w:rsidR="001650AE" w:rsidRPr="001650AE" w:rsidRDefault="001650AE" w:rsidP="001650AE">
      <w:pPr>
        <w:pStyle w:val="NormalWeb"/>
        <w:ind w:left="567" w:hanging="567"/>
      </w:pPr>
    </w:p>
    <w:p w14:paraId="5BA307DD" w14:textId="77777777" w:rsidR="00390C54" w:rsidRDefault="00390C54" w:rsidP="00390C54">
      <w:pPr>
        <w:spacing w:line="240" w:lineRule="auto"/>
        <w:rPr>
          <w:rFonts w:ascii="Times New Roman" w:hAnsi="Times New Roman" w:cs="Times New Roman"/>
          <w:sz w:val="24"/>
          <w:szCs w:val="24"/>
        </w:rPr>
      </w:pPr>
    </w:p>
    <w:p w14:paraId="595EBC4B" w14:textId="77777777" w:rsidR="001437A1" w:rsidRPr="000846B4" w:rsidRDefault="001437A1" w:rsidP="001437A1">
      <w:pPr>
        <w:spacing w:line="240" w:lineRule="auto"/>
        <w:rPr>
          <w:rFonts w:ascii="Times New Roman" w:hAnsi="Times New Roman" w:cs="Times New Roman"/>
          <w:sz w:val="24"/>
          <w:szCs w:val="24"/>
        </w:rPr>
      </w:pPr>
    </w:p>
    <w:p w14:paraId="08AB8F93" w14:textId="77777777" w:rsidR="0072516B" w:rsidRPr="00436282" w:rsidRDefault="0072516B" w:rsidP="0072516B">
      <w:pPr>
        <w:spacing w:line="240" w:lineRule="auto"/>
        <w:jc w:val="center"/>
        <w:rPr>
          <w:rFonts w:ascii="Times New Roman" w:hAnsi="Times New Roman" w:cs="Times New Roman"/>
          <w:sz w:val="24"/>
          <w:szCs w:val="24"/>
        </w:rPr>
      </w:pPr>
    </w:p>
    <w:p w14:paraId="168F31FF" w14:textId="77777777" w:rsidR="00B66608" w:rsidRPr="00B321E4" w:rsidRDefault="00B66608" w:rsidP="00B66608">
      <w:pPr>
        <w:spacing w:line="240" w:lineRule="auto"/>
        <w:jc w:val="center"/>
        <w:rPr>
          <w:rFonts w:ascii="Times New Roman" w:hAnsi="Times New Roman" w:cs="Times New Roman"/>
          <w:sz w:val="24"/>
          <w:szCs w:val="24"/>
        </w:rPr>
      </w:pPr>
    </w:p>
    <w:sectPr w:rsidR="00B66608" w:rsidRPr="00B321E4" w:rsidSect="0007243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A313B" w14:textId="77777777" w:rsidR="00072436" w:rsidRDefault="00072436" w:rsidP="00E34FC6">
      <w:pPr>
        <w:spacing w:after="0" w:line="240" w:lineRule="auto"/>
      </w:pPr>
      <w:r>
        <w:separator/>
      </w:r>
    </w:p>
  </w:endnote>
  <w:endnote w:type="continuationSeparator" w:id="0">
    <w:p w14:paraId="5C55BC33" w14:textId="77777777" w:rsidR="00072436" w:rsidRDefault="00072436" w:rsidP="00E3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BFE81" w14:textId="77777777" w:rsidR="00072436" w:rsidRDefault="00072436" w:rsidP="00E34FC6">
      <w:pPr>
        <w:spacing w:after="0" w:line="240" w:lineRule="auto"/>
      </w:pPr>
      <w:r>
        <w:separator/>
      </w:r>
    </w:p>
  </w:footnote>
  <w:footnote w:type="continuationSeparator" w:id="0">
    <w:p w14:paraId="5B1F675C" w14:textId="77777777" w:rsidR="00072436" w:rsidRDefault="00072436" w:rsidP="00E34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380FA" w14:textId="77777777" w:rsidR="00E34FC6" w:rsidRDefault="00E34FC6" w:rsidP="00E34FC6">
    <w:pPr>
      <w:spacing w:line="240" w:lineRule="auto"/>
      <w:rPr>
        <w:rFonts w:ascii="Times New Roman" w:hAnsi="Times New Roman" w:cs="Times New Roman"/>
        <w:sz w:val="20"/>
        <w:szCs w:val="20"/>
      </w:rPr>
    </w:pPr>
    <w:r>
      <w:rPr>
        <w:rFonts w:ascii="Times New Roman" w:hAnsi="Times New Roman" w:cs="Times New Roman"/>
        <w:sz w:val="20"/>
        <w:szCs w:val="20"/>
      </w:rPr>
      <w:t>Bryan Pritsker</w:t>
    </w:r>
  </w:p>
  <w:p w14:paraId="4337B157" w14:textId="77777777" w:rsidR="00E34FC6" w:rsidRDefault="00E34FC6" w:rsidP="00E34FC6">
    <w:pPr>
      <w:spacing w:line="240" w:lineRule="auto"/>
      <w:rPr>
        <w:rFonts w:ascii="Times New Roman" w:hAnsi="Times New Roman" w:cs="Times New Roman"/>
        <w:sz w:val="20"/>
        <w:szCs w:val="20"/>
      </w:rPr>
    </w:pPr>
    <w:r>
      <w:rPr>
        <w:rFonts w:ascii="Times New Roman" w:hAnsi="Times New Roman" w:cs="Times New Roman"/>
        <w:sz w:val="20"/>
        <w:szCs w:val="20"/>
      </w:rPr>
      <w:t>Data Visualization Project</w:t>
    </w:r>
  </w:p>
  <w:p w14:paraId="3CE18278" w14:textId="3DD24045" w:rsidR="00E34FC6" w:rsidRPr="00E34FC6" w:rsidRDefault="00E34FC6" w:rsidP="00E34FC6">
    <w:pPr>
      <w:spacing w:line="240" w:lineRule="auto"/>
      <w:rPr>
        <w:rFonts w:ascii="Times New Roman" w:hAnsi="Times New Roman" w:cs="Times New Roman"/>
        <w:sz w:val="20"/>
        <w:szCs w:val="20"/>
      </w:rPr>
    </w:pPr>
    <w:r>
      <w:rPr>
        <w:rFonts w:ascii="Times New Roman" w:hAnsi="Times New Roman" w:cs="Times New Roman"/>
        <w:sz w:val="20"/>
        <w:szCs w:val="20"/>
      </w:rPr>
      <w:t>5/3/24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39"/>
    <w:rsid w:val="0002578D"/>
    <w:rsid w:val="00035DCA"/>
    <w:rsid w:val="00044D08"/>
    <w:rsid w:val="00050DEB"/>
    <w:rsid w:val="00072436"/>
    <w:rsid w:val="000846B4"/>
    <w:rsid w:val="0008733C"/>
    <w:rsid w:val="000B1F01"/>
    <w:rsid w:val="000B5B40"/>
    <w:rsid w:val="000E6B03"/>
    <w:rsid w:val="001437A1"/>
    <w:rsid w:val="00154DFF"/>
    <w:rsid w:val="001553E5"/>
    <w:rsid w:val="00162C54"/>
    <w:rsid w:val="001650AE"/>
    <w:rsid w:val="00193399"/>
    <w:rsid w:val="001E0CB6"/>
    <w:rsid w:val="0020107E"/>
    <w:rsid w:val="002079C6"/>
    <w:rsid w:val="00290962"/>
    <w:rsid w:val="002B7643"/>
    <w:rsid w:val="002C3E0B"/>
    <w:rsid w:val="002E5BCC"/>
    <w:rsid w:val="002F7375"/>
    <w:rsid w:val="00327139"/>
    <w:rsid w:val="0033470A"/>
    <w:rsid w:val="00374013"/>
    <w:rsid w:val="00374A84"/>
    <w:rsid w:val="003776F5"/>
    <w:rsid w:val="00390C54"/>
    <w:rsid w:val="003B7F31"/>
    <w:rsid w:val="003D02A5"/>
    <w:rsid w:val="00436282"/>
    <w:rsid w:val="00444908"/>
    <w:rsid w:val="004C3067"/>
    <w:rsid w:val="004C4C9F"/>
    <w:rsid w:val="0050555D"/>
    <w:rsid w:val="00541AC0"/>
    <w:rsid w:val="005457A9"/>
    <w:rsid w:val="005565A7"/>
    <w:rsid w:val="00594B96"/>
    <w:rsid w:val="005A6963"/>
    <w:rsid w:val="0060300E"/>
    <w:rsid w:val="00611899"/>
    <w:rsid w:val="00627BBC"/>
    <w:rsid w:val="006417ED"/>
    <w:rsid w:val="0066772A"/>
    <w:rsid w:val="006F347B"/>
    <w:rsid w:val="0072516B"/>
    <w:rsid w:val="007527ED"/>
    <w:rsid w:val="00794114"/>
    <w:rsid w:val="007D19A9"/>
    <w:rsid w:val="00804153"/>
    <w:rsid w:val="008129A9"/>
    <w:rsid w:val="00850871"/>
    <w:rsid w:val="0087308E"/>
    <w:rsid w:val="008A2AD6"/>
    <w:rsid w:val="008E1352"/>
    <w:rsid w:val="008E5525"/>
    <w:rsid w:val="00922693"/>
    <w:rsid w:val="00926F1D"/>
    <w:rsid w:val="00962FD6"/>
    <w:rsid w:val="00990D82"/>
    <w:rsid w:val="009C0ADE"/>
    <w:rsid w:val="009C0BA4"/>
    <w:rsid w:val="00A3563A"/>
    <w:rsid w:val="00A372DA"/>
    <w:rsid w:val="00A75C5B"/>
    <w:rsid w:val="00AC6677"/>
    <w:rsid w:val="00AE638D"/>
    <w:rsid w:val="00B20B4F"/>
    <w:rsid w:val="00B321E4"/>
    <w:rsid w:val="00B62DDC"/>
    <w:rsid w:val="00B66608"/>
    <w:rsid w:val="00B72761"/>
    <w:rsid w:val="00B72DDB"/>
    <w:rsid w:val="00BA6F4E"/>
    <w:rsid w:val="00BF34AD"/>
    <w:rsid w:val="00C20BF0"/>
    <w:rsid w:val="00E15E02"/>
    <w:rsid w:val="00E34FC6"/>
    <w:rsid w:val="00E768CC"/>
    <w:rsid w:val="00EF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A24F"/>
  <w15:chartTrackingRefBased/>
  <w15:docId w15:val="{0E1A90D4-51F1-478C-B629-75E6757F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139"/>
    <w:rPr>
      <w:rFonts w:eastAsiaTheme="majorEastAsia" w:cstheme="majorBidi"/>
      <w:color w:val="272727" w:themeColor="text1" w:themeTint="D8"/>
    </w:rPr>
  </w:style>
  <w:style w:type="paragraph" w:styleId="Title">
    <w:name w:val="Title"/>
    <w:basedOn w:val="Normal"/>
    <w:next w:val="Normal"/>
    <w:link w:val="TitleChar"/>
    <w:uiPriority w:val="10"/>
    <w:qFormat/>
    <w:rsid w:val="00327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139"/>
    <w:pPr>
      <w:spacing w:before="160"/>
      <w:jc w:val="center"/>
    </w:pPr>
    <w:rPr>
      <w:i/>
      <w:iCs/>
      <w:color w:val="404040" w:themeColor="text1" w:themeTint="BF"/>
    </w:rPr>
  </w:style>
  <w:style w:type="character" w:customStyle="1" w:styleId="QuoteChar">
    <w:name w:val="Quote Char"/>
    <w:basedOn w:val="DefaultParagraphFont"/>
    <w:link w:val="Quote"/>
    <w:uiPriority w:val="29"/>
    <w:rsid w:val="00327139"/>
    <w:rPr>
      <w:i/>
      <w:iCs/>
      <w:color w:val="404040" w:themeColor="text1" w:themeTint="BF"/>
    </w:rPr>
  </w:style>
  <w:style w:type="paragraph" w:styleId="ListParagraph">
    <w:name w:val="List Paragraph"/>
    <w:basedOn w:val="Normal"/>
    <w:uiPriority w:val="34"/>
    <w:qFormat/>
    <w:rsid w:val="00327139"/>
    <w:pPr>
      <w:ind w:left="720"/>
      <w:contextualSpacing/>
    </w:pPr>
  </w:style>
  <w:style w:type="character" w:styleId="IntenseEmphasis">
    <w:name w:val="Intense Emphasis"/>
    <w:basedOn w:val="DefaultParagraphFont"/>
    <w:uiPriority w:val="21"/>
    <w:qFormat/>
    <w:rsid w:val="00327139"/>
    <w:rPr>
      <w:i/>
      <w:iCs/>
      <w:color w:val="0F4761" w:themeColor="accent1" w:themeShade="BF"/>
    </w:rPr>
  </w:style>
  <w:style w:type="paragraph" w:styleId="IntenseQuote">
    <w:name w:val="Intense Quote"/>
    <w:basedOn w:val="Normal"/>
    <w:next w:val="Normal"/>
    <w:link w:val="IntenseQuoteChar"/>
    <w:uiPriority w:val="30"/>
    <w:qFormat/>
    <w:rsid w:val="00327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139"/>
    <w:rPr>
      <w:i/>
      <w:iCs/>
      <w:color w:val="0F4761" w:themeColor="accent1" w:themeShade="BF"/>
    </w:rPr>
  </w:style>
  <w:style w:type="character" w:styleId="IntenseReference">
    <w:name w:val="Intense Reference"/>
    <w:basedOn w:val="DefaultParagraphFont"/>
    <w:uiPriority w:val="32"/>
    <w:qFormat/>
    <w:rsid w:val="00327139"/>
    <w:rPr>
      <w:b/>
      <w:bCs/>
      <w:smallCaps/>
      <w:color w:val="0F4761" w:themeColor="accent1" w:themeShade="BF"/>
      <w:spacing w:val="5"/>
    </w:rPr>
  </w:style>
  <w:style w:type="paragraph" w:styleId="Header">
    <w:name w:val="header"/>
    <w:basedOn w:val="Normal"/>
    <w:link w:val="HeaderChar"/>
    <w:uiPriority w:val="99"/>
    <w:unhideWhenUsed/>
    <w:rsid w:val="00E3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FC6"/>
  </w:style>
  <w:style w:type="paragraph" w:styleId="Footer">
    <w:name w:val="footer"/>
    <w:basedOn w:val="Normal"/>
    <w:link w:val="FooterChar"/>
    <w:uiPriority w:val="99"/>
    <w:unhideWhenUsed/>
    <w:rsid w:val="00E34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FC6"/>
  </w:style>
  <w:style w:type="paragraph" w:styleId="NormalWeb">
    <w:name w:val="Normal (Web)"/>
    <w:basedOn w:val="Normal"/>
    <w:uiPriority w:val="99"/>
    <w:unhideWhenUsed/>
    <w:rsid w:val="00390C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5533">
      <w:bodyDiv w:val="1"/>
      <w:marLeft w:val="0"/>
      <w:marRight w:val="0"/>
      <w:marTop w:val="0"/>
      <w:marBottom w:val="0"/>
      <w:divBdr>
        <w:top w:val="none" w:sz="0" w:space="0" w:color="auto"/>
        <w:left w:val="none" w:sz="0" w:space="0" w:color="auto"/>
        <w:bottom w:val="none" w:sz="0" w:space="0" w:color="auto"/>
        <w:right w:val="none" w:sz="0" w:space="0" w:color="auto"/>
      </w:divBdr>
    </w:div>
    <w:div w:id="85272841">
      <w:bodyDiv w:val="1"/>
      <w:marLeft w:val="0"/>
      <w:marRight w:val="0"/>
      <w:marTop w:val="0"/>
      <w:marBottom w:val="0"/>
      <w:divBdr>
        <w:top w:val="none" w:sz="0" w:space="0" w:color="auto"/>
        <w:left w:val="none" w:sz="0" w:space="0" w:color="auto"/>
        <w:bottom w:val="none" w:sz="0" w:space="0" w:color="auto"/>
        <w:right w:val="none" w:sz="0" w:space="0" w:color="auto"/>
      </w:divBdr>
    </w:div>
    <w:div w:id="297033366">
      <w:bodyDiv w:val="1"/>
      <w:marLeft w:val="0"/>
      <w:marRight w:val="0"/>
      <w:marTop w:val="0"/>
      <w:marBottom w:val="0"/>
      <w:divBdr>
        <w:top w:val="none" w:sz="0" w:space="0" w:color="auto"/>
        <w:left w:val="none" w:sz="0" w:space="0" w:color="auto"/>
        <w:bottom w:val="none" w:sz="0" w:space="0" w:color="auto"/>
        <w:right w:val="none" w:sz="0" w:space="0" w:color="auto"/>
      </w:divBdr>
    </w:div>
    <w:div w:id="459148755">
      <w:bodyDiv w:val="1"/>
      <w:marLeft w:val="0"/>
      <w:marRight w:val="0"/>
      <w:marTop w:val="0"/>
      <w:marBottom w:val="0"/>
      <w:divBdr>
        <w:top w:val="none" w:sz="0" w:space="0" w:color="auto"/>
        <w:left w:val="none" w:sz="0" w:space="0" w:color="auto"/>
        <w:bottom w:val="none" w:sz="0" w:space="0" w:color="auto"/>
        <w:right w:val="none" w:sz="0" w:space="0" w:color="auto"/>
      </w:divBdr>
    </w:div>
    <w:div w:id="720052794">
      <w:bodyDiv w:val="1"/>
      <w:marLeft w:val="0"/>
      <w:marRight w:val="0"/>
      <w:marTop w:val="0"/>
      <w:marBottom w:val="0"/>
      <w:divBdr>
        <w:top w:val="none" w:sz="0" w:space="0" w:color="auto"/>
        <w:left w:val="none" w:sz="0" w:space="0" w:color="auto"/>
        <w:bottom w:val="none" w:sz="0" w:space="0" w:color="auto"/>
        <w:right w:val="none" w:sz="0" w:space="0" w:color="auto"/>
      </w:divBdr>
    </w:div>
    <w:div w:id="744689579">
      <w:bodyDiv w:val="1"/>
      <w:marLeft w:val="0"/>
      <w:marRight w:val="0"/>
      <w:marTop w:val="0"/>
      <w:marBottom w:val="0"/>
      <w:divBdr>
        <w:top w:val="none" w:sz="0" w:space="0" w:color="auto"/>
        <w:left w:val="none" w:sz="0" w:space="0" w:color="auto"/>
        <w:bottom w:val="none" w:sz="0" w:space="0" w:color="auto"/>
        <w:right w:val="none" w:sz="0" w:space="0" w:color="auto"/>
      </w:divBdr>
    </w:div>
    <w:div w:id="788010439">
      <w:bodyDiv w:val="1"/>
      <w:marLeft w:val="0"/>
      <w:marRight w:val="0"/>
      <w:marTop w:val="0"/>
      <w:marBottom w:val="0"/>
      <w:divBdr>
        <w:top w:val="none" w:sz="0" w:space="0" w:color="auto"/>
        <w:left w:val="none" w:sz="0" w:space="0" w:color="auto"/>
        <w:bottom w:val="none" w:sz="0" w:space="0" w:color="auto"/>
        <w:right w:val="none" w:sz="0" w:space="0" w:color="auto"/>
      </w:divBdr>
    </w:div>
    <w:div w:id="871068135">
      <w:bodyDiv w:val="1"/>
      <w:marLeft w:val="0"/>
      <w:marRight w:val="0"/>
      <w:marTop w:val="0"/>
      <w:marBottom w:val="0"/>
      <w:divBdr>
        <w:top w:val="none" w:sz="0" w:space="0" w:color="auto"/>
        <w:left w:val="none" w:sz="0" w:space="0" w:color="auto"/>
        <w:bottom w:val="none" w:sz="0" w:space="0" w:color="auto"/>
        <w:right w:val="none" w:sz="0" w:space="0" w:color="auto"/>
      </w:divBdr>
    </w:div>
    <w:div w:id="956256076">
      <w:bodyDiv w:val="1"/>
      <w:marLeft w:val="0"/>
      <w:marRight w:val="0"/>
      <w:marTop w:val="0"/>
      <w:marBottom w:val="0"/>
      <w:divBdr>
        <w:top w:val="none" w:sz="0" w:space="0" w:color="auto"/>
        <w:left w:val="none" w:sz="0" w:space="0" w:color="auto"/>
        <w:bottom w:val="none" w:sz="0" w:space="0" w:color="auto"/>
        <w:right w:val="none" w:sz="0" w:space="0" w:color="auto"/>
      </w:divBdr>
    </w:div>
    <w:div w:id="1018317554">
      <w:bodyDiv w:val="1"/>
      <w:marLeft w:val="0"/>
      <w:marRight w:val="0"/>
      <w:marTop w:val="0"/>
      <w:marBottom w:val="0"/>
      <w:divBdr>
        <w:top w:val="none" w:sz="0" w:space="0" w:color="auto"/>
        <w:left w:val="none" w:sz="0" w:space="0" w:color="auto"/>
        <w:bottom w:val="none" w:sz="0" w:space="0" w:color="auto"/>
        <w:right w:val="none" w:sz="0" w:space="0" w:color="auto"/>
      </w:divBdr>
      <w:divsChild>
        <w:div w:id="980382858">
          <w:marLeft w:val="0"/>
          <w:marRight w:val="0"/>
          <w:marTop w:val="0"/>
          <w:marBottom w:val="0"/>
          <w:divBdr>
            <w:top w:val="single" w:sz="2" w:space="0" w:color="E3E3E3"/>
            <w:left w:val="single" w:sz="2" w:space="0" w:color="E3E3E3"/>
            <w:bottom w:val="single" w:sz="2" w:space="0" w:color="E3E3E3"/>
            <w:right w:val="single" w:sz="2" w:space="0" w:color="E3E3E3"/>
          </w:divBdr>
          <w:divsChild>
            <w:div w:id="844634996">
              <w:marLeft w:val="0"/>
              <w:marRight w:val="0"/>
              <w:marTop w:val="0"/>
              <w:marBottom w:val="0"/>
              <w:divBdr>
                <w:top w:val="single" w:sz="2" w:space="0" w:color="E3E3E3"/>
                <w:left w:val="single" w:sz="2" w:space="0" w:color="E3E3E3"/>
                <w:bottom w:val="single" w:sz="2" w:space="0" w:color="E3E3E3"/>
                <w:right w:val="single" w:sz="2" w:space="0" w:color="E3E3E3"/>
              </w:divBdr>
              <w:divsChild>
                <w:div w:id="2096169889">
                  <w:marLeft w:val="0"/>
                  <w:marRight w:val="0"/>
                  <w:marTop w:val="0"/>
                  <w:marBottom w:val="0"/>
                  <w:divBdr>
                    <w:top w:val="single" w:sz="2" w:space="0" w:color="E3E3E3"/>
                    <w:left w:val="single" w:sz="2" w:space="0" w:color="E3E3E3"/>
                    <w:bottom w:val="single" w:sz="2" w:space="0" w:color="E3E3E3"/>
                    <w:right w:val="single" w:sz="2" w:space="0" w:color="E3E3E3"/>
                  </w:divBdr>
                  <w:divsChild>
                    <w:div w:id="1506820541">
                      <w:marLeft w:val="0"/>
                      <w:marRight w:val="0"/>
                      <w:marTop w:val="0"/>
                      <w:marBottom w:val="0"/>
                      <w:divBdr>
                        <w:top w:val="single" w:sz="2" w:space="0" w:color="E3E3E3"/>
                        <w:left w:val="single" w:sz="2" w:space="0" w:color="E3E3E3"/>
                        <w:bottom w:val="single" w:sz="2" w:space="0" w:color="E3E3E3"/>
                        <w:right w:val="single" w:sz="2" w:space="0" w:color="E3E3E3"/>
                      </w:divBdr>
                      <w:divsChild>
                        <w:div w:id="1819607913">
                          <w:marLeft w:val="0"/>
                          <w:marRight w:val="0"/>
                          <w:marTop w:val="0"/>
                          <w:marBottom w:val="0"/>
                          <w:divBdr>
                            <w:top w:val="single" w:sz="2" w:space="0" w:color="E3E3E3"/>
                            <w:left w:val="single" w:sz="2" w:space="0" w:color="E3E3E3"/>
                            <w:bottom w:val="single" w:sz="2" w:space="0" w:color="E3E3E3"/>
                            <w:right w:val="single" w:sz="2" w:space="0" w:color="E3E3E3"/>
                          </w:divBdr>
                          <w:divsChild>
                            <w:div w:id="1618683579">
                              <w:marLeft w:val="0"/>
                              <w:marRight w:val="0"/>
                              <w:marTop w:val="0"/>
                              <w:marBottom w:val="0"/>
                              <w:divBdr>
                                <w:top w:val="single" w:sz="2" w:space="0" w:color="E3E3E3"/>
                                <w:left w:val="single" w:sz="2" w:space="0" w:color="E3E3E3"/>
                                <w:bottom w:val="single" w:sz="2" w:space="0" w:color="E3E3E3"/>
                                <w:right w:val="single" w:sz="2" w:space="0" w:color="E3E3E3"/>
                              </w:divBdr>
                              <w:divsChild>
                                <w:div w:id="2135631720">
                                  <w:marLeft w:val="0"/>
                                  <w:marRight w:val="0"/>
                                  <w:marTop w:val="100"/>
                                  <w:marBottom w:val="100"/>
                                  <w:divBdr>
                                    <w:top w:val="single" w:sz="2" w:space="0" w:color="E3E3E3"/>
                                    <w:left w:val="single" w:sz="2" w:space="0" w:color="E3E3E3"/>
                                    <w:bottom w:val="single" w:sz="2" w:space="0" w:color="E3E3E3"/>
                                    <w:right w:val="single" w:sz="2" w:space="0" w:color="E3E3E3"/>
                                  </w:divBdr>
                                  <w:divsChild>
                                    <w:div w:id="390807466">
                                      <w:marLeft w:val="0"/>
                                      <w:marRight w:val="0"/>
                                      <w:marTop w:val="0"/>
                                      <w:marBottom w:val="0"/>
                                      <w:divBdr>
                                        <w:top w:val="single" w:sz="2" w:space="0" w:color="E3E3E3"/>
                                        <w:left w:val="single" w:sz="2" w:space="0" w:color="E3E3E3"/>
                                        <w:bottom w:val="single" w:sz="2" w:space="0" w:color="E3E3E3"/>
                                        <w:right w:val="single" w:sz="2" w:space="0" w:color="E3E3E3"/>
                                      </w:divBdr>
                                      <w:divsChild>
                                        <w:div w:id="1054426678">
                                          <w:marLeft w:val="0"/>
                                          <w:marRight w:val="0"/>
                                          <w:marTop w:val="0"/>
                                          <w:marBottom w:val="0"/>
                                          <w:divBdr>
                                            <w:top w:val="single" w:sz="2" w:space="0" w:color="E3E3E3"/>
                                            <w:left w:val="single" w:sz="2" w:space="0" w:color="E3E3E3"/>
                                            <w:bottom w:val="single" w:sz="2" w:space="0" w:color="E3E3E3"/>
                                            <w:right w:val="single" w:sz="2" w:space="0" w:color="E3E3E3"/>
                                          </w:divBdr>
                                          <w:divsChild>
                                            <w:div w:id="1049112648">
                                              <w:marLeft w:val="0"/>
                                              <w:marRight w:val="0"/>
                                              <w:marTop w:val="0"/>
                                              <w:marBottom w:val="0"/>
                                              <w:divBdr>
                                                <w:top w:val="single" w:sz="2" w:space="0" w:color="E3E3E3"/>
                                                <w:left w:val="single" w:sz="2" w:space="0" w:color="E3E3E3"/>
                                                <w:bottom w:val="single" w:sz="2" w:space="0" w:color="E3E3E3"/>
                                                <w:right w:val="single" w:sz="2" w:space="0" w:color="E3E3E3"/>
                                              </w:divBdr>
                                              <w:divsChild>
                                                <w:div w:id="1742480491">
                                                  <w:marLeft w:val="0"/>
                                                  <w:marRight w:val="0"/>
                                                  <w:marTop w:val="0"/>
                                                  <w:marBottom w:val="0"/>
                                                  <w:divBdr>
                                                    <w:top w:val="single" w:sz="2" w:space="0" w:color="E3E3E3"/>
                                                    <w:left w:val="single" w:sz="2" w:space="0" w:color="E3E3E3"/>
                                                    <w:bottom w:val="single" w:sz="2" w:space="0" w:color="E3E3E3"/>
                                                    <w:right w:val="single" w:sz="2" w:space="0" w:color="E3E3E3"/>
                                                  </w:divBdr>
                                                  <w:divsChild>
                                                    <w:div w:id="1876700609">
                                                      <w:marLeft w:val="0"/>
                                                      <w:marRight w:val="0"/>
                                                      <w:marTop w:val="0"/>
                                                      <w:marBottom w:val="0"/>
                                                      <w:divBdr>
                                                        <w:top w:val="single" w:sz="2" w:space="0" w:color="E3E3E3"/>
                                                        <w:left w:val="single" w:sz="2" w:space="0" w:color="E3E3E3"/>
                                                        <w:bottom w:val="single" w:sz="2" w:space="0" w:color="E3E3E3"/>
                                                        <w:right w:val="single" w:sz="2" w:space="0" w:color="E3E3E3"/>
                                                      </w:divBdr>
                                                      <w:divsChild>
                                                        <w:div w:id="1791627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6631397">
          <w:marLeft w:val="0"/>
          <w:marRight w:val="0"/>
          <w:marTop w:val="0"/>
          <w:marBottom w:val="0"/>
          <w:divBdr>
            <w:top w:val="none" w:sz="0" w:space="0" w:color="auto"/>
            <w:left w:val="none" w:sz="0" w:space="0" w:color="auto"/>
            <w:bottom w:val="none" w:sz="0" w:space="0" w:color="auto"/>
            <w:right w:val="none" w:sz="0" w:space="0" w:color="auto"/>
          </w:divBdr>
        </w:div>
      </w:divsChild>
    </w:div>
    <w:div w:id="1114519708">
      <w:bodyDiv w:val="1"/>
      <w:marLeft w:val="0"/>
      <w:marRight w:val="0"/>
      <w:marTop w:val="0"/>
      <w:marBottom w:val="0"/>
      <w:divBdr>
        <w:top w:val="none" w:sz="0" w:space="0" w:color="auto"/>
        <w:left w:val="none" w:sz="0" w:space="0" w:color="auto"/>
        <w:bottom w:val="none" w:sz="0" w:space="0" w:color="auto"/>
        <w:right w:val="none" w:sz="0" w:space="0" w:color="auto"/>
      </w:divBdr>
    </w:div>
    <w:div w:id="1325400903">
      <w:bodyDiv w:val="1"/>
      <w:marLeft w:val="0"/>
      <w:marRight w:val="0"/>
      <w:marTop w:val="0"/>
      <w:marBottom w:val="0"/>
      <w:divBdr>
        <w:top w:val="none" w:sz="0" w:space="0" w:color="auto"/>
        <w:left w:val="none" w:sz="0" w:space="0" w:color="auto"/>
        <w:bottom w:val="none" w:sz="0" w:space="0" w:color="auto"/>
        <w:right w:val="none" w:sz="0" w:space="0" w:color="auto"/>
      </w:divBdr>
    </w:div>
    <w:div w:id="1646857004">
      <w:bodyDiv w:val="1"/>
      <w:marLeft w:val="0"/>
      <w:marRight w:val="0"/>
      <w:marTop w:val="0"/>
      <w:marBottom w:val="0"/>
      <w:divBdr>
        <w:top w:val="none" w:sz="0" w:space="0" w:color="auto"/>
        <w:left w:val="none" w:sz="0" w:space="0" w:color="auto"/>
        <w:bottom w:val="none" w:sz="0" w:space="0" w:color="auto"/>
        <w:right w:val="none" w:sz="0" w:space="0" w:color="auto"/>
      </w:divBdr>
    </w:div>
    <w:div w:id="1654942067">
      <w:bodyDiv w:val="1"/>
      <w:marLeft w:val="0"/>
      <w:marRight w:val="0"/>
      <w:marTop w:val="0"/>
      <w:marBottom w:val="0"/>
      <w:divBdr>
        <w:top w:val="none" w:sz="0" w:space="0" w:color="auto"/>
        <w:left w:val="none" w:sz="0" w:space="0" w:color="auto"/>
        <w:bottom w:val="none" w:sz="0" w:space="0" w:color="auto"/>
        <w:right w:val="none" w:sz="0" w:space="0" w:color="auto"/>
      </w:divBdr>
    </w:div>
    <w:div w:id="1803842703">
      <w:bodyDiv w:val="1"/>
      <w:marLeft w:val="0"/>
      <w:marRight w:val="0"/>
      <w:marTop w:val="0"/>
      <w:marBottom w:val="0"/>
      <w:divBdr>
        <w:top w:val="none" w:sz="0" w:space="0" w:color="auto"/>
        <w:left w:val="none" w:sz="0" w:space="0" w:color="auto"/>
        <w:bottom w:val="none" w:sz="0" w:space="0" w:color="auto"/>
        <w:right w:val="none" w:sz="0" w:space="0" w:color="auto"/>
      </w:divBdr>
    </w:div>
    <w:div w:id="19725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214DA-EF67-435E-B264-977C0B97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7</Pages>
  <Words>3100</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 Pritsker</dc:creator>
  <cp:keywords/>
  <dc:description/>
  <cp:lastModifiedBy>Bryan L Pritsker</cp:lastModifiedBy>
  <cp:revision>39</cp:revision>
  <dcterms:created xsi:type="dcterms:W3CDTF">2024-04-28T15:26:00Z</dcterms:created>
  <dcterms:modified xsi:type="dcterms:W3CDTF">2024-05-03T18:39:00Z</dcterms:modified>
</cp:coreProperties>
</file>