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Crear configuración Definir el archivo .conf en /etc/apache2/sitesavailable/ con los parámetros del Virtual Host.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sudo nano /etc/apache2/sites-available/miweb.conf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02 Activar sitio Ejecutar sudo a2ensite para habilitar la configuración. Esto genera enlace simbólico en /etc/apache2/sites-enabled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&lt;VirtualHost *:80&gt;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ServerName miweb.local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DocumentRoot /var/www/miweb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&lt;Directory /var/www/miweb&gt;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Options Indexes FollowSymLinks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AllowOverride All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Require all granted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&lt;/Directory&gt;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ErrorLog ${APACHE_LOG_DIR}/miweb_error.log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CustomLog ${APACHE_LOG_DIR}/miweb_access.log combined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&lt;/VirtualHost&gt;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sudo a2ensite miweb.conf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03 Recargar Apache Aplicar cambios con sudo systemctl reload apache2 para que surtan efecto.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systemctl reload apache2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VERIFICAR QUE FUNCIONA: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nano /etc/hosts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