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widowControl w:val="1"/>
        <w:spacing w:after="120" w:before="240" w:line="360" w:lineRule="auto"/>
        <w:ind w:left="0" w:right="-113" w:firstLine="0"/>
        <w:jc w:val="left"/>
        <w:rPr/>
      </w:pPr>
      <w:r w:rsidDel="00000000" w:rsidR="00000000" w:rsidRPr="00000000">
        <w:rPr>
          <w:rtl w:val="0"/>
        </w:rPr>
        <w:t xml:space="preserve">Gestión de Procesos en GNU/Linux -parte 3-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ind w:left="0" w:firstLine="0"/>
        <w:rPr/>
      </w:pPr>
      <w:r w:rsidDel="00000000" w:rsidR="00000000" w:rsidRPr="00000000">
        <w:rPr>
          <w:rtl w:val="0"/>
        </w:rPr>
        <w:t xml:space="preserve">Objetivos: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987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Conocer los principales comandos de GNU/Linux para gestionar ejecuciones en segundo plano.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98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ind w:left="0" w:firstLine="0"/>
        <w:rPr/>
      </w:pPr>
      <w:r w:rsidDel="00000000" w:rsidR="00000000" w:rsidRPr="00000000">
        <w:rPr>
          <w:rtl w:val="0"/>
        </w:rPr>
        <w:t xml:space="preserve">Tareas</w:t>
      </w:r>
    </w:p>
    <w:p w:rsidR="00000000" w:rsidDel="00000000" w:rsidP="00000000" w:rsidRDefault="00000000" w:rsidRPr="00000000" w14:paraId="00000007">
      <w:pPr>
        <w:numPr>
          <w:ilvl w:val="2"/>
          <w:numId w:val="2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0"/>
          <w:i w:val="0"/>
          <w:color w:val="000000"/>
          <w:sz w:val="24"/>
          <w:szCs w:val="24"/>
          <w:u w:val="none"/>
          <w:rtl w:val="0"/>
        </w:rPr>
        <w:t xml:space="preserve">Cuando se trata ejecutar procesos en background (segundo plano) se utiliza operador </w:t>
      </w:r>
      <w:r w:rsidDel="00000000" w:rsidR="00000000" w:rsidRPr="00000000">
        <w:rPr>
          <w:b w:val="0"/>
          <w:i w:val="0"/>
          <w:color w:val="000000"/>
          <w:sz w:val="24"/>
          <w:szCs w:val="24"/>
          <w:highlight w:val="yellow"/>
          <w:u w:val="none"/>
          <w:rtl w:val="0"/>
        </w:rPr>
        <w:t xml:space="preserve">&amp;</w:t>
      </w:r>
      <w:r w:rsidDel="00000000" w:rsidR="00000000" w:rsidRPr="00000000">
        <w:rPr>
          <w:b w:val="0"/>
          <w:i w:val="0"/>
          <w:color w:val="000000"/>
          <w:sz w:val="24"/>
          <w:szCs w:val="24"/>
          <w:u w:val="none"/>
          <w:rtl w:val="0"/>
        </w:rPr>
        <w:t xml:space="preserve">. Ejecuta el comando: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57" w:before="57" w:line="360" w:lineRule="auto"/>
        <w:ind w:left="1800" w:firstLine="0"/>
        <w:jc w:val="both"/>
        <w:rPr>
          <w:rFonts w:ascii="Courier New" w:cs="Courier New" w:eastAsia="Courier New" w:hAnsi="Courier New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color w:val="000000"/>
          <w:sz w:val="24"/>
          <w:szCs w:val="24"/>
          <w:u w:val="none"/>
          <w:rtl w:val="0"/>
        </w:rPr>
        <w:t xml:space="preserve">yes &gt;/dev/null &amp;</w:t>
      </w:r>
    </w:p>
    <w:p w:rsidR="00000000" w:rsidDel="00000000" w:rsidP="00000000" w:rsidRDefault="00000000" w:rsidRPr="00000000" w14:paraId="00000009">
      <w:pPr>
        <w:numPr>
          <w:ilvl w:val="2"/>
          <w:numId w:val="2"/>
        </w:numPr>
        <w:spacing w:after="57" w:before="57" w:line="360" w:lineRule="auto"/>
        <w:ind w:left="1440" w:hanging="360"/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i w:val="0"/>
          <w:color w:val="000000"/>
          <w:sz w:val="24"/>
          <w:szCs w:val="24"/>
          <w:u w:val="none"/>
          <w:rtl w:val="0"/>
        </w:rPr>
        <w:t xml:space="preserve">Apunta el PID del proceso asociado al comando del punto anterior.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2"/>
          <w:numId w:val="2"/>
        </w:numPr>
        <w:spacing w:after="57" w:before="57" w:line="360" w:lineRule="auto"/>
        <w:ind w:left="1440" w:hanging="360"/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i w:val="0"/>
          <w:color w:val="000000"/>
          <w:sz w:val="24"/>
          <w:szCs w:val="24"/>
          <w:u w:val="none"/>
          <w:rtl w:val="0"/>
        </w:rPr>
        <w:t xml:space="preserve">Utiliza el comando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color w:val="000000"/>
          <w:sz w:val="24"/>
          <w:szCs w:val="24"/>
          <w:u w:val="none"/>
          <w:rtl w:val="0"/>
        </w:rPr>
        <w:t xml:space="preserve">jobs</w:t>
      </w:r>
      <w:r w:rsidDel="00000000" w:rsidR="00000000" w:rsidRPr="00000000">
        <w:rPr>
          <w:b w:val="0"/>
          <w:i w:val="0"/>
          <w:color w:val="000000"/>
          <w:sz w:val="24"/>
          <w:szCs w:val="24"/>
          <w:u w:val="none"/>
          <w:rtl w:val="0"/>
        </w:rPr>
        <w:t xml:space="preserve">, ¿qué devuelve?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2"/>
          <w:numId w:val="2"/>
        </w:numPr>
        <w:spacing w:after="57" w:before="57" w:line="360" w:lineRule="auto"/>
        <w:ind w:left="1440" w:hanging="360"/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i w:val="0"/>
          <w:color w:val="000000"/>
          <w:sz w:val="24"/>
          <w:szCs w:val="24"/>
          <w:u w:val="none"/>
          <w:rtl w:val="0"/>
        </w:rPr>
        <w:t xml:space="preserve">Pasa el trabajo a primer plano. Recuerda que para ello tienes el comando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color w:val="000000"/>
          <w:sz w:val="24"/>
          <w:szCs w:val="24"/>
          <w:u w:val="none"/>
          <w:rtl w:val="0"/>
        </w:rPr>
        <w:t xml:space="preserve">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2"/>
          <w:numId w:val="2"/>
        </w:numPr>
        <w:spacing w:after="57" w:before="57" w:line="360" w:lineRule="auto"/>
        <w:ind w:left="1440" w:hanging="360"/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i w:val="0"/>
          <w:color w:val="000000"/>
          <w:sz w:val="24"/>
          <w:szCs w:val="24"/>
          <w:u w:val="none"/>
          <w:rtl w:val="0"/>
        </w:rPr>
        <w:t xml:space="preserve">Pausa el proceso llevándolo a segundo plano al mismo tiempo (Pista: combinación de teclas CTRL +Z).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2"/>
          <w:numId w:val="2"/>
        </w:numPr>
        <w:spacing w:after="57" w:before="57" w:line="360" w:lineRule="auto"/>
        <w:ind w:left="1440" w:hanging="360"/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i w:val="0"/>
          <w:color w:val="000000"/>
          <w:sz w:val="24"/>
          <w:szCs w:val="24"/>
          <w:u w:val="none"/>
          <w:rtl w:val="0"/>
        </w:rPr>
        <w:t xml:space="preserve">Comprueba que esta pausado.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2"/>
          <w:numId w:val="2"/>
        </w:numPr>
        <w:spacing w:after="57" w:before="57" w:line="360" w:lineRule="auto"/>
        <w:ind w:left="1440" w:hanging="360"/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i w:val="0"/>
          <w:color w:val="000000"/>
          <w:sz w:val="24"/>
          <w:szCs w:val="24"/>
          <w:u w:val="none"/>
          <w:rtl w:val="0"/>
        </w:rPr>
        <w:t xml:space="preserve">Pon en ejecución el proceso que está en segundo plano parado. Recuerda que para ello tienes el comando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color w:val="000000"/>
          <w:sz w:val="24"/>
          <w:szCs w:val="24"/>
          <w:u w:val="none"/>
          <w:rtl w:val="0"/>
        </w:rPr>
        <w:t xml:space="preserve">bg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2"/>
          <w:numId w:val="2"/>
        </w:numPr>
        <w:spacing w:after="57" w:before="57" w:line="360" w:lineRule="auto"/>
        <w:ind w:left="1440" w:hanging="360"/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i w:val="0"/>
          <w:color w:val="000000"/>
          <w:sz w:val="24"/>
          <w:szCs w:val="24"/>
          <w:u w:val="none"/>
          <w:rtl w:val="0"/>
        </w:rPr>
        <w:t xml:space="preserve">Averigua el PID del proceso asociado al comando “yes”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2"/>
          <w:numId w:val="2"/>
        </w:numPr>
        <w:spacing w:after="57" w:before="57" w:line="360" w:lineRule="auto"/>
        <w:ind w:left="1440" w:hanging="360"/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i w:val="0"/>
          <w:color w:val="000000"/>
          <w:sz w:val="24"/>
          <w:szCs w:val="24"/>
          <w:u w:val="none"/>
          <w:rtl w:val="0"/>
        </w:rPr>
        <w:t xml:space="preserve">Fuerza la terminación del proceso asociado  a “yes”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907" w:top="1976" w:left="1195" w:right="1249" w:header="1417" w:footer="141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Courier New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center" w:leader="none" w:pos="4419"/>
        <w:tab w:val="right" w:leader="none" w:pos="8838"/>
      </w:tabs>
      <w:spacing w:after="0" w:before="0" w:line="240" w:lineRule="auto"/>
      <w:ind w:left="0" w:right="397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ab/>
      <w:t xml:space="preserve">                     Obra bajo licencia  </w:t>
    </w:r>
    <w:hyperlink r:id="rId1"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80"/>
          <w:sz w:val="18"/>
          <w:szCs w:val="18"/>
          <w:u w:val="single"/>
          <w:shd w:fill="auto" w:val="clear"/>
          <w:vertAlign w:val="baseline"/>
          <w:rtl w:val="0"/>
        </w:rPr>
        <w:t xml:space="preserve">CC BY-NC-SA 4.0 20</w:t>
      </w:r>
    </w:hyperlink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©  Blanca Isasi-Isasmendi Sánchez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36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50165</wp:posOffset>
              </wp:positionH>
              <wp:positionV relativeFrom="paragraph">
                <wp:posOffset>175260</wp:posOffset>
              </wp:positionV>
              <wp:extent cx="538861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651940" y="3780000"/>
                        <a:ext cx="538812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3465A4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50165</wp:posOffset>
              </wp:positionH>
              <wp:positionV relativeFrom="paragraph">
                <wp:posOffset>175260</wp:posOffset>
              </wp:positionV>
              <wp:extent cx="538861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8861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4845050</wp:posOffset>
          </wp:positionH>
          <wp:positionV relativeFrom="paragraph">
            <wp:posOffset>-270509</wp:posOffset>
          </wp:positionV>
          <wp:extent cx="1156335" cy="452755"/>
          <wp:effectExtent b="0" l="0" r="0" t="0"/>
          <wp:wrapSquare wrapText="bothSides" distB="0" distT="0" distL="0" distR="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56335" cy="45275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"/>
      <w:lvlJc w:val="left"/>
      <w:pPr>
        <w:ind w:left="987" w:hanging="360"/>
      </w:pPr>
      <w:rPr/>
    </w:lvl>
    <w:lvl w:ilvl="1">
      <w:start w:val="1"/>
      <w:numFmt w:val="bullet"/>
      <w:lvlText w:val="◦"/>
      <w:lvlJc w:val="left"/>
      <w:pPr>
        <w:ind w:left="1347" w:hanging="360.0000000000001"/>
      </w:pPr>
      <w:rPr/>
    </w:lvl>
    <w:lvl w:ilvl="2">
      <w:start w:val="1"/>
      <w:numFmt w:val="bullet"/>
      <w:lvlText w:val="▪"/>
      <w:lvlJc w:val="left"/>
      <w:pPr>
        <w:ind w:left="1707" w:hanging="360"/>
      </w:pPr>
      <w:rPr/>
    </w:lvl>
    <w:lvl w:ilvl="3">
      <w:start w:val="1"/>
      <w:numFmt w:val="bullet"/>
      <w:lvlText w:val=""/>
      <w:lvlJc w:val="left"/>
      <w:pPr>
        <w:ind w:left="2067" w:hanging="360"/>
      </w:pPr>
      <w:rPr/>
    </w:lvl>
    <w:lvl w:ilvl="4">
      <w:start w:val="1"/>
      <w:numFmt w:val="bullet"/>
      <w:lvlText w:val="◦"/>
      <w:lvlJc w:val="left"/>
      <w:pPr>
        <w:ind w:left="2427" w:hanging="360"/>
      </w:pPr>
      <w:rPr/>
    </w:lvl>
    <w:lvl w:ilvl="5">
      <w:start w:val="1"/>
      <w:numFmt w:val="bullet"/>
      <w:lvlText w:val="▪"/>
      <w:lvlJc w:val="left"/>
      <w:pPr>
        <w:ind w:left="2787" w:hanging="360"/>
      </w:pPr>
      <w:rPr/>
    </w:lvl>
    <w:lvl w:ilvl="6">
      <w:start w:val="1"/>
      <w:numFmt w:val="bullet"/>
      <w:lvlText w:val=""/>
      <w:lvlJc w:val="left"/>
      <w:pPr>
        <w:ind w:left="3147" w:hanging="360"/>
      </w:pPr>
      <w:rPr/>
    </w:lvl>
    <w:lvl w:ilvl="7">
      <w:start w:val="1"/>
      <w:numFmt w:val="bullet"/>
      <w:lvlText w:val="◦"/>
      <w:lvlJc w:val="left"/>
      <w:pPr>
        <w:ind w:left="3507" w:hanging="360"/>
      </w:pPr>
      <w:rPr/>
    </w:lvl>
    <w:lvl w:ilvl="8">
      <w:start w:val="1"/>
      <w:numFmt w:val="bullet"/>
      <w:lvlText w:val="▪"/>
      <w:lvlJc w:val="left"/>
      <w:pPr>
        <w:ind w:left="3867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0" w:firstLine="0"/>
    </w:pPr>
    <w:rPr>
      <w:rFonts w:ascii="Liberation Sans" w:cs="Liberation Sans" w:eastAsia="Liberation Sans" w:hAnsi="Liberation Sans"/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  <w:ind w:left="0" w:firstLine="0"/>
    </w:pPr>
    <w:rPr>
      <w:rFonts w:ascii="Liberation Sans" w:cs="Liberation Sans" w:eastAsia="Liberation Sans" w:hAnsi="Liberation Sans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120" w:before="120" w:lineRule="auto"/>
      <w:ind w:left="0" w:firstLine="0"/>
    </w:pPr>
    <w:rPr>
      <w:rFonts w:ascii="Liberation Sans" w:cs="Liberation Sans" w:eastAsia="Liberation Sans" w:hAnsi="Liberation Sans"/>
      <w:b w:val="1"/>
      <w:i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spacing w:after="60" w:before="120" w:lineRule="auto"/>
      <w:ind w:left="0" w:firstLine="0"/>
    </w:pPr>
    <w:rPr>
      <w:rFonts w:ascii="Liberation Sans" w:cs="Liberation Sans" w:eastAsia="Liberation Sans" w:hAnsi="Liberation Sans"/>
      <w:b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spacing w:after="60" w:before="60" w:lineRule="auto"/>
      <w:ind w:left="0" w:firstLine="0"/>
    </w:pPr>
    <w:rPr>
      <w:rFonts w:ascii="Liberation Sans" w:cs="Liberation Sans" w:eastAsia="Liberation Sans" w:hAnsi="Liberation Sans"/>
      <w:b w:val="1"/>
      <w:i w:val="1"/>
      <w:sz w:val="24"/>
      <w:szCs w:val="24"/>
    </w:rPr>
  </w:style>
  <w:style w:type="paragraph" w:styleId="Title">
    <w:name w:val="Title"/>
    <w:basedOn w:val="Normal"/>
    <w:next w:val="Normal"/>
    <w:pPr>
      <w:spacing w:after="0" w:before="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creativecommons.org/licenses/by-nc-sa/4.0/?ref=chooser-v1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