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after="80"/>
        <w:jc w:val="both"/>
        <w:rPr>
          <w:rFonts w:ascii="Gill Sans Light" w:hAnsi="Gill Sans Light" w:cs="Gill Sans Light"/>
          <w:b/>
          <w:sz w:val="28"/>
          <w:szCs w:val="28"/>
        </w:rPr>
      </w:pPr>
      <w:r>
        <w:rPr>
          <w:rFonts w:ascii="Gill Sans Light" w:hAnsi="Gill Sans Light" w:cs="Gill Sans Light"/>
          <w:b/>
          <w:sz w:val="28"/>
          <w:szCs w:val="28"/>
        </w:rPr>
        <w:t>Statistical Analyses</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RStudio was used to visualize and analyze the data gathered from online survey. Pearson’s correlation was used for correlation statistics. </w:t>
      </w:r>
    </w:p>
    <w:p>
      <w:pPr>
        <w:spacing w:before="80" w:after="80"/>
        <w:jc w:val="both"/>
        <w:rPr>
          <w:rFonts w:ascii="Gill Sans Light" w:hAnsi="Gill Sans Light" w:cs="Gill Sans Light"/>
          <w:b/>
        </w:rPr>
      </w:pPr>
      <w:r>
        <w:rPr>
          <w:rFonts w:ascii="Gill Sans Light" w:hAnsi="Gill Sans Light" w:cs="Gill Sans Light"/>
          <w:b/>
        </w:rPr>
        <w:t>Descriptive Statistics</w:t>
      </w:r>
    </w:p>
    <w:p>
      <w:pPr>
        <w:spacing w:before="80" w:after="80"/>
        <w:jc w:val="both"/>
        <w:rPr>
          <w:rFonts w:ascii="Gill Sans Light" w:hAnsi="Gill Sans Light" w:cs="Gill Sans Light"/>
          <w:sz w:val="20"/>
          <w:szCs w:val="20"/>
        </w:rPr>
      </w:pPr>
      <w:r>
        <w:rPr>
          <w:rFonts w:ascii="Gill Sans Light" w:hAnsi="Gill Sans Light" w:cs="Gill Sans Light"/>
          <w:sz w:val="20"/>
          <w:szCs w:val="20"/>
        </w:rPr>
        <w:t>Figure 1 is the boxplot displaying overview of the data with x-axis indicating variable and y-axis indicating the score in 7-scale. Note that a “_” prefix means “not”. Some outliers of participants considered that robot was receiving command when eyes were turning and brightening. In terms of respect, some outliers indicated that the robot did not respect while brightening eyes. Some outliers suggested that the robot was not willing to listen while eyes were blinking. Most of the participants had little experience with robot while some outliers had more experience.</w:t>
      </w:r>
    </w:p>
    <w:p>
      <w:pPr>
        <w:spacing w:before="80" w:after="80"/>
        <w:jc w:val="both"/>
        <w:rPr>
          <w:rFonts w:ascii="Gill Sans Light" w:hAnsi="Gill Sans Light" w:cs="Gill Sans Light"/>
          <w:sz w:val="20"/>
          <w:szCs w:val="20"/>
        </w:rPr>
      </w:pPr>
      <w:r>
        <w:rPr>
          <w:rFonts w:ascii="Gill Sans Light" w:hAnsi="Gill Sans Light" w:cs="Gill Sans Light"/>
          <w:sz w:val="20"/>
          <w:szCs w:val="20"/>
          <w:lang w:eastAsia="zh-CN"/>
        </w:rPr>
        <w:drawing>
          <wp:inline distT="0" distB="0" distL="0" distR="0">
            <wp:extent cx="2880360" cy="1569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80360" cy="1569085"/>
                    </a:xfrm>
                    <a:prstGeom prst="rect">
                      <a:avLst/>
                    </a:prstGeom>
                  </pic:spPr>
                </pic:pic>
              </a:graphicData>
            </a:graphic>
          </wp:inline>
        </w:drawing>
      </w:r>
    </w:p>
    <w:p>
      <w:pPr>
        <w:spacing w:before="80" w:after="80"/>
        <w:jc w:val="center"/>
        <w:rPr>
          <w:rFonts w:ascii="Gill Sans Light" w:hAnsi="Gill Sans Light" w:cs="Gill Sans Light"/>
          <w:sz w:val="16"/>
          <w:szCs w:val="16"/>
        </w:rPr>
      </w:pPr>
      <w:r>
        <w:rPr>
          <w:rFonts w:ascii="Gill Sans Light" w:hAnsi="Gill Sans Light" w:cs="Gill Sans Light"/>
          <w:sz w:val="16"/>
          <w:szCs w:val="16"/>
        </w:rPr>
        <w:t>Figure 1</w:t>
      </w:r>
    </w:p>
    <w:p>
      <w:pPr>
        <w:spacing w:before="80" w:after="80"/>
        <w:jc w:val="both"/>
        <w:rPr>
          <w:rFonts w:ascii="Gill Sans Light" w:hAnsi="Gill Sans Light" w:cs="Gill Sans Light"/>
          <w:b/>
        </w:rPr>
      </w:pPr>
      <w:r>
        <w:rPr>
          <w:rFonts w:ascii="Gill Sans Light" w:hAnsi="Gill Sans Light" w:cs="Gill Sans Light"/>
          <w:b/>
        </w:rPr>
        <w:t>Correlation Statistics</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We used function cor() and rcorr() in RStudio to explore the correlations. We used </w:t>
      </w:r>
      <w:r>
        <w:rPr>
          <w:rFonts w:ascii="Gill Sans Light" w:hAnsi="Gill Sans Light" w:cs="Gill Sans Light"/>
          <w:b/>
          <w:sz w:val="20"/>
          <w:szCs w:val="20"/>
        </w:rPr>
        <w:t>Pearson’s correlation</w:t>
      </w:r>
      <w:r>
        <w:rPr>
          <w:rFonts w:ascii="Gill Sans Light" w:hAnsi="Gill Sans Light" w:cs="Gill Sans Light"/>
          <w:sz w:val="20"/>
          <w:szCs w:val="20"/>
        </w:rPr>
        <w:t xml:space="preserve"> to calculate the </w:t>
      </w:r>
      <w:r>
        <w:rPr>
          <w:rFonts w:ascii="Gill Sans Light" w:hAnsi="Gill Sans Light" w:cs="Gill Sans Light"/>
          <w:b/>
          <w:sz w:val="20"/>
          <w:szCs w:val="20"/>
        </w:rPr>
        <w:t>r-values</w:t>
      </w:r>
      <w:r>
        <w:rPr>
          <w:rFonts w:ascii="Gill Sans Light" w:hAnsi="Gill Sans Light" w:cs="Gill Sans Light"/>
          <w:sz w:val="20"/>
          <w:szCs w:val="20"/>
        </w:rPr>
        <w:t xml:space="preserve"> and </w:t>
      </w:r>
      <w:r>
        <w:rPr>
          <w:rFonts w:ascii="Gill Sans Light" w:hAnsi="Gill Sans Light" w:cs="Gill Sans Light"/>
          <w:b/>
          <w:sz w:val="20"/>
          <w:szCs w:val="20"/>
        </w:rPr>
        <w:t>p-values</w:t>
      </w:r>
      <w:r>
        <w:rPr>
          <w:rFonts w:ascii="Gill Sans Light" w:hAnsi="Gill Sans Light" w:cs="Gill Sans Light"/>
          <w:sz w:val="20"/>
          <w:szCs w:val="20"/>
        </w:rPr>
        <w:t xml:space="preserve"> for significant tests.</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An </w:t>
      </w:r>
      <w:r>
        <w:rPr>
          <w:rFonts w:ascii="Gill Sans Light" w:hAnsi="Gill Sans Light" w:cs="Gill Sans Light"/>
          <w:b/>
          <w:sz w:val="20"/>
          <w:szCs w:val="20"/>
        </w:rPr>
        <w:t>alpha</w:t>
      </w:r>
      <w:r>
        <w:rPr>
          <w:rFonts w:ascii="Gill Sans Light" w:hAnsi="Gill Sans Light" w:cs="Gill Sans Light"/>
          <w:sz w:val="20"/>
          <w:szCs w:val="20"/>
        </w:rPr>
        <w:t xml:space="preserve"> level of </w:t>
      </w:r>
      <w:r>
        <w:rPr>
          <w:rFonts w:ascii="Gill Sans Light" w:hAnsi="Gill Sans Light" w:cs="Gill Sans Light"/>
          <w:b/>
          <w:sz w:val="20"/>
          <w:szCs w:val="20"/>
        </w:rPr>
        <w:t>0.05</w:t>
      </w:r>
      <w:r>
        <w:rPr>
          <w:rFonts w:ascii="Gill Sans Light" w:hAnsi="Gill Sans Light" w:cs="Gill Sans Light"/>
          <w:sz w:val="20"/>
          <w:szCs w:val="20"/>
        </w:rPr>
        <w:t xml:space="preserve"> was used for all statistics tests. </w:t>
      </w:r>
      <w:r>
        <w:rPr>
          <w:rFonts w:ascii="Gill Sans Light" w:hAnsi="Gill Sans Light" w:cs="Gill Sans Light"/>
          <w:b/>
          <w:sz w:val="20"/>
          <w:szCs w:val="20"/>
        </w:rPr>
        <w:t>31</w:t>
      </w:r>
      <w:r>
        <w:rPr>
          <w:rFonts w:ascii="Gill Sans Light" w:hAnsi="Gill Sans Light" w:cs="Gill Sans Light"/>
          <w:sz w:val="20"/>
          <w:szCs w:val="20"/>
        </w:rPr>
        <w:t xml:space="preserve"> participants were recruited in this survey. As a result, we found the following interesting correlations:</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1)People’s perception of robot receiving command when turning eyes towards them and people’s perception of robot receiving command when eyes circling were positively correlated, </w:t>
      </w:r>
      <w:r>
        <w:rPr>
          <w:rFonts w:ascii="Gill Sans Light" w:hAnsi="Gill Sans Light" w:cs="Gill Sans Light"/>
          <w:b/>
          <w:i/>
          <w:sz w:val="20"/>
          <w:szCs w:val="20"/>
        </w:rPr>
        <w:t>r</w:t>
      </w:r>
      <w:r>
        <w:rPr>
          <w:rFonts w:ascii="Gill Sans Light" w:hAnsi="Gill Sans Light" w:cs="Gill Sans Light"/>
          <w:b/>
          <w:sz w:val="20"/>
          <w:szCs w:val="20"/>
        </w:rPr>
        <w:t xml:space="preserve">(29) = .51, </w:t>
      </w:r>
      <w:r>
        <w:rPr>
          <w:rFonts w:ascii="Gill Sans Light" w:hAnsi="Gill Sans Light" w:cs="Gill Sans Light"/>
          <w:b/>
          <w:i/>
          <w:sz w:val="20"/>
          <w:szCs w:val="20"/>
        </w:rPr>
        <w:t>p</w:t>
      </w:r>
      <w:r>
        <w:rPr>
          <w:rFonts w:ascii="Gill Sans Light" w:hAnsi="Gill Sans Light" w:cs="Gill Sans Light"/>
          <w:b/>
          <w:sz w:val="20"/>
          <w:szCs w:val="20"/>
        </w:rPr>
        <w:t xml:space="preserve"> &lt; .01 (0.0031)</w:t>
      </w:r>
      <w:r>
        <w:rPr>
          <w:rFonts w:ascii="Gill Sans Light" w:hAnsi="Gill Sans Light" w:cs="Gill Sans Light"/>
          <w:sz w:val="20"/>
          <w:szCs w:val="20"/>
        </w:rPr>
        <w:t>.</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2)People’s perception of robot receiving command when pausing the current actions and people’s perception of robot willing to receive command when eyes brightening were positively correlated, </w:t>
      </w:r>
      <w:r>
        <w:rPr>
          <w:rFonts w:ascii="Gill Sans Light" w:hAnsi="Gill Sans Light" w:cs="Gill Sans Light"/>
          <w:b/>
          <w:i/>
          <w:sz w:val="20"/>
          <w:szCs w:val="20"/>
        </w:rPr>
        <w:t>r</w:t>
      </w:r>
      <w:r>
        <w:rPr>
          <w:rFonts w:ascii="Gill Sans Light" w:hAnsi="Gill Sans Light" w:cs="Gill Sans Light"/>
          <w:b/>
          <w:sz w:val="20"/>
          <w:szCs w:val="20"/>
        </w:rPr>
        <w:t xml:space="preserve">(29) = .58, </w:t>
      </w:r>
      <w:r>
        <w:rPr>
          <w:rFonts w:ascii="Gill Sans Light" w:hAnsi="Gill Sans Light" w:cs="Gill Sans Light"/>
          <w:b/>
          <w:i/>
          <w:sz w:val="20"/>
          <w:szCs w:val="20"/>
        </w:rPr>
        <w:t>p</w:t>
      </w:r>
      <w:r>
        <w:rPr>
          <w:rFonts w:ascii="Gill Sans Light" w:hAnsi="Gill Sans Light" w:cs="Gill Sans Light"/>
          <w:b/>
          <w:sz w:val="20"/>
          <w:szCs w:val="20"/>
        </w:rPr>
        <w:t xml:space="preserve"> &lt; .01 (0.0007)</w:t>
      </w:r>
      <w:r>
        <w:rPr>
          <w:rFonts w:ascii="Gill Sans Light" w:hAnsi="Gill Sans Light" w:cs="Gill Sans Light"/>
          <w:sz w:val="20"/>
          <w:szCs w:val="20"/>
        </w:rPr>
        <w:t>.</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3)People’s perception of robot receiving command when pausing its current actions and experience with robot were positively correlated, </w:t>
      </w:r>
      <w:r>
        <w:rPr>
          <w:rFonts w:ascii="Gill Sans Light" w:hAnsi="Gill Sans Light" w:cs="Gill Sans Light"/>
          <w:b/>
          <w:sz w:val="20"/>
          <w:szCs w:val="20"/>
        </w:rPr>
        <w:t xml:space="preserve">r(29) = .38, </w:t>
      </w:r>
      <w:r>
        <w:rPr>
          <w:rFonts w:ascii="Gill Sans Light" w:hAnsi="Gill Sans Light" w:cs="Gill Sans Light"/>
          <w:b/>
          <w:i/>
          <w:sz w:val="20"/>
          <w:szCs w:val="20"/>
        </w:rPr>
        <w:t>p</w:t>
      </w:r>
      <w:r>
        <w:rPr>
          <w:rFonts w:ascii="Gill Sans Light" w:hAnsi="Gill Sans Light" w:cs="Gill Sans Light"/>
          <w:b/>
          <w:sz w:val="20"/>
          <w:szCs w:val="20"/>
        </w:rPr>
        <w:t xml:space="preserve"> = .04</w:t>
      </w:r>
      <w:r>
        <w:rPr>
          <w:rFonts w:ascii="Gill Sans Light" w:hAnsi="Gill Sans Light" w:cs="Gill Sans Light"/>
          <w:sz w:val="20"/>
          <w:szCs w:val="20"/>
        </w:rPr>
        <w:t xml:space="preserve">. </w:t>
      </w:r>
    </w:p>
    <w:p>
      <w:pPr>
        <w:spacing w:before="80" w:after="80"/>
        <w:jc w:val="both"/>
        <w:rPr>
          <w:rFonts w:ascii="Gill Sans Light" w:hAnsi="Gill Sans Light" w:cs="Gill Sans Light"/>
          <w:b/>
        </w:rPr>
      </w:pPr>
      <w:r>
        <w:rPr>
          <w:rFonts w:ascii="Gill Sans Light" w:hAnsi="Gill Sans Light" w:cs="Gill Sans Light"/>
          <w:b/>
        </w:rPr>
        <w:t>Inferential Statistics</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We conducted a </w:t>
      </w:r>
      <w:r>
        <w:rPr>
          <w:rFonts w:ascii="Gill Sans Light" w:hAnsi="Gill Sans Light" w:cs="Gill Sans Light"/>
          <w:b/>
          <w:sz w:val="20"/>
          <w:szCs w:val="20"/>
        </w:rPr>
        <w:t>within-subject</w:t>
      </w:r>
      <w:r>
        <w:rPr>
          <w:rFonts w:ascii="Gill Sans Light" w:hAnsi="Gill Sans Light" w:cs="Gill Sans Light"/>
          <w:sz w:val="20"/>
          <w:szCs w:val="20"/>
        </w:rPr>
        <w:t xml:space="preserve"> study with 31 participants and </w:t>
      </w:r>
      <w:r>
        <w:rPr>
          <w:rFonts w:ascii="Gill Sans Light" w:hAnsi="Gill Sans Light" w:cs="Gill Sans Light"/>
          <w:b/>
          <w:sz w:val="20"/>
          <w:szCs w:val="20"/>
        </w:rPr>
        <w:t>multiple dependents variables</w:t>
      </w:r>
      <w:r>
        <w:rPr>
          <w:rFonts w:ascii="Gill Sans Light" w:hAnsi="Gill Sans Light" w:cs="Gill Sans Light"/>
          <w:sz w:val="20"/>
          <w:szCs w:val="20"/>
        </w:rPr>
        <w:t xml:space="preserve"> (DV), we would explore how these DV affect the independent variables, therefore </w:t>
      </w:r>
      <w:r>
        <w:rPr>
          <w:rFonts w:ascii="Gill Sans Light" w:hAnsi="Gill Sans Light" w:cs="Gill Sans Light"/>
          <w:b/>
          <w:sz w:val="20"/>
          <w:szCs w:val="20"/>
        </w:rPr>
        <w:t>MULTI-WAY, WITHIN-PARTICIPANTS ANOVA</w:t>
      </w:r>
      <w:r>
        <w:rPr>
          <w:rFonts w:ascii="Gill Sans Light" w:hAnsi="Gill Sans Light" w:cs="Gill Sans Light"/>
          <w:sz w:val="20"/>
          <w:szCs w:val="20"/>
        </w:rPr>
        <w:t xml:space="preserve"> was used for inferential statistics analysis. Original data of “full_data_simplified.csv” was cleaned and organized to “full_data_within_subject.csv” for further study.</w:t>
      </w:r>
    </w:p>
    <w:p>
      <w:pPr>
        <w:spacing w:before="80" w:after="80"/>
        <w:jc w:val="both"/>
        <w:rPr>
          <w:rFonts w:ascii="Gill Sans Light" w:hAnsi="Gill Sans Light" w:cs="Gill Sans Light"/>
          <w:sz w:val="20"/>
          <w:szCs w:val="20"/>
        </w:rPr>
      </w:pPr>
      <w:r>
        <w:rPr>
          <w:rFonts w:ascii="Gill Sans Light" w:hAnsi="Gill Sans Light" w:cs="Gill Sans Light"/>
          <w:sz w:val="20"/>
          <w:szCs w:val="20"/>
        </w:rPr>
        <w:t>A hypothesis of “Owning a pet of cat or dog positively affects human’s perception of whether robot’s receiving command when pausing its current action” was proposed.</w:t>
      </w:r>
    </w:p>
    <w:p>
      <w:pPr>
        <w:spacing w:before="80" w:after="80"/>
        <w:jc w:val="both"/>
        <w:rPr>
          <w:rFonts w:ascii="Gill Sans Light" w:hAnsi="Gill Sans Light" w:cs="Gill Sans Light"/>
          <w:sz w:val="20"/>
          <w:szCs w:val="20"/>
        </w:rPr>
      </w:pPr>
      <w:r>
        <w:rPr>
          <w:rFonts w:ascii="Gill Sans Light" w:hAnsi="Gill Sans Light" w:cs="Gill Sans Light"/>
          <w:sz w:val="20"/>
          <w:szCs w:val="20"/>
        </w:rPr>
        <w:t>A multi-way analysis of variance yielded a main effect on human’s perception of robot receiving command when pausing its current actions for whether he/she owns a pet of cat or dog.</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The perception of receiving command when robot pausing its current actions was significantly stronger for owning a cat </w:t>
      </w:r>
      <w:r>
        <w:rPr>
          <w:rFonts w:ascii="Gill Sans Light" w:hAnsi="Gill Sans Light" w:cs="Gill Sans Light"/>
          <w:b/>
          <w:sz w:val="20"/>
          <w:szCs w:val="20"/>
        </w:rPr>
        <w:t>F(1, 30) = 35.43, p &lt; .01, (M = 1.13 SD = 0.34)</w:t>
      </w:r>
      <w:r>
        <w:rPr>
          <w:rFonts w:ascii="Gill Sans Light" w:hAnsi="Gill Sans Light" w:cs="Gill Sans Light"/>
          <w:sz w:val="20"/>
          <w:szCs w:val="20"/>
        </w:rPr>
        <w:t xml:space="preserve"> than owning a dog </w:t>
      </w:r>
      <w:r>
        <w:rPr>
          <w:rFonts w:ascii="Gill Sans Light" w:hAnsi="Gill Sans Light" w:cs="Gill Sans Light"/>
          <w:b/>
          <w:sz w:val="20"/>
          <w:szCs w:val="20"/>
        </w:rPr>
        <w:t>F(1, 30) = 1.63, p =</w:t>
      </w:r>
      <w:r>
        <w:rPr>
          <w:b/>
        </w:rPr>
        <w:t xml:space="preserve"> </w:t>
      </w:r>
      <w:r>
        <w:rPr>
          <w:rFonts w:ascii="Gill Sans Light" w:hAnsi="Gill Sans Light" w:cs="Gill Sans Light"/>
          <w:b/>
          <w:sz w:val="20"/>
          <w:szCs w:val="20"/>
        </w:rPr>
        <w:t>0.20, (M = 1.29 SD = 0.46).</w:t>
      </w:r>
      <w:r>
        <w:rPr>
          <w:rFonts w:ascii="Gill Sans Light" w:hAnsi="Gill Sans Light" w:cs="Gill Sans Light"/>
          <w:sz w:val="20"/>
          <w:szCs w:val="20"/>
        </w:rPr>
        <w:t xml:space="preserve"> As such, a sub null hypothesis of “Owning a cat does not positively affect human’s perception whether robot’s receiving command when pausing its current action” was rejected. However, another sub null hypothesis with the condition of “owning a dog” was accepted. Overall, the interaction effect was significant, </w:t>
      </w:r>
      <w:r>
        <w:rPr>
          <w:rFonts w:ascii="Gill Sans Light" w:hAnsi="Gill Sans Light" w:cs="Gill Sans Light"/>
          <w:b/>
          <w:sz w:val="20"/>
          <w:szCs w:val="20"/>
        </w:rPr>
        <w:t>F(1, 30) = 7.38, p = .01</w:t>
      </w:r>
      <w:r>
        <w:rPr>
          <w:rFonts w:ascii="Gill Sans Light" w:hAnsi="Gill Sans Light" w:cs="Gill Sans Light"/>
          <w:b/>
          <w:sz w:val="20"/>
          <w:szCs w:val="20"/>
          <w:lang w:val="en-US"/>
        </w:rPr>
        <w:t xml:space="preserve"> </w:t>
      </w:r>
      <w:bookmarkStart w:id="1" w:name="_GoBack"/>
      <w:bookmarkEnd w:id="1"/>
      <w:r>
        <w:rPr>
          <w:rFonts w:ascii="Gill Sans Light" w:hAnsi="Gill Sans Light" w:cs="Gill Sans Light"/>
          <w:sz w:val="20"/>
          <w:szCs w:val="20"/>
        </w:rPr>
        <w:t>(0.00808 to be more specific), indicating that owning a pet of cat or dog dramatically affect human’s perceptions of robot’s status of receiving command when robot pausing its current actions, while owning a cat has significantly effects while owning a dog does not.</w:t>
      </w:r>
    </w:p>
    <w:p>
      <w:pPr>
        <w:spacing w:before="80" w:after="80"/>
        <w:jc w:val="both"/>
        <w:rPr>
          <w:rFonts w:ascii="Gill Sans Light" w:hAnsi="Gill Sans Light" w:cs="Gill Sans Light"/>
          <w:sz w:val="20"/>
          <w:szCs w:val="20"/>
        </w:rPr>
      </w:pPr>
      <w:r>
        <w:rPr>
          <w:rFonts w:ascii="Gill Sans Light" w:hAnsi="Gill Sans Light" w:cs="Gill Sans Light"/>
          <w:sz w:val="20"/>
          <w:szCs w:val="20"/>
        </w:rPr>
        <w:t xml:space="preserve">Whether owning a cat or not and was depicted in figure 2. A </w:t>
      </w:r>
      <w:r>
        <w:rPr>
          <w:rFonts w:ascii="Gill Sans Light" w:hAnsi="Gill Sans Light" w:cs="Gill Sans Light"/>
          <w:b/>
          <w:sz w:val="20"/>
          <w:szCs w:val="20"/>
        </w:rPr>
        <w:t>Post-Hoc Comparison</w:t>
      </w:r>
      <w:r>
        <w:rPr>
          <w:rFonts w:ascii="Gill Sans Light" w:hAnsi="Gill Sans Light" w:cs="Gill Sans Light"/>
          <w:sz w:val="20"/>
          <w:szCs w:val="20"/>
        </w:rPr>
        <w:t xml:space="preserve"> in R was conducted for </w:t>
      </w:r>
      <w:r>
        <w:rPr>
          <w:rFonts w:ascii="Gill Sans Light" w:hAnsi="Gill Sans Light" w:cs="Gill Sans Light"/>
          <w:b/>
          <w:sz w:val="20"/>
          <w:szCs w:val="20"/>
        </w:rPr>
        <w:t>pairwise comparison</w:t>
      </w:r>
      <w:r>
        <w:rPr>
          <w:rFonts w:ascii="Gill Sans Light" w:hAnsi="Gill Sans Light" w:cs="Gill Sans Light"/>
          <w:sz w:val="20"/>
          <w:szCs w:val="20"/>
        </w:rPr>
        <w:t>, the result and the adjusted p-value were shown in Figure 3.</w:t>
      </w:r>
    </w:p>
    <w:p>
      <w:pPr>
        <w:spacing w:before="80" w:after="80"/>
        <w:rPr>
          <w:rFonts w:ascii="Gill Sans Light" w:hAnsi="Gill Sans Light" w:cs="Gill Sans Light"/>
          <w:sz w:val="20"/>
          <w:szCs w:val="20"/>
        </w:rPr>
      </w:pPr>
      <w:r>
        <w:rPr>
          <w:rFonts w:ascii="Gill Sans Light" w:hAnsi="Gill Sans Light" w:cs="Gill Sans Light"/>
          <w:sz w:val="20"/>
          <w:szCs w:val="20"/>
          <w:lang w:eastAsia="zh-CN"/>
        </w:rPr>
        <w:drawing>
          <wp:inline distT="0" distB="0" distL="0" distR="0">
            <wp:extent cx="110363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30563" cy="839161"/>
                    </a:xfrm>
                    <a:prstGeom prst="rect">
                      <a:avLst/>
                    </a:prstGeom>
                  </pic:spPr>
                </pic:pic>
              </a:graphicData>
            </a:graphic>
          </wp:inline>
        </w:drawing>
      </w:r>
      <w:r>
        <w:rPr>
          <w:rFonts w:ascii="Gill Sans Light" w:hAnsi="Gill Sans Light" w:cs="Gill Sans Light"/>
          <w:sz w:val="20"/>
          <w:szCs w:val="20"/>
        </w:rPr>
        <w:t xml:space="preserve">  </w:t>
      </w:r>
      <w:r>
        <w:rPr>
          <w:rFonts w:ascii="Gill Sans Light" w:hAnsi="Gill Sans Light" w:cs="Gill Sans Light"/>
          <w:sz w:val="16"/>
          <w:szCs w:val="20"/>
          <w:lang w:eastAsia="zh-CN"/>
        </w:rPr>
        <w:drawing>
          <wp:inline distT="0" distB="0" distL="0" distR="0">
            <wp:extent cx="1527810" cy="79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44371" cy="807321"/>
                    </a:xfrm>
                    <a:prstGeom prst="rect">
                      <a:avLst/>
                    </a:prstGeom>
                  </pic:spPr>
                </pic:pic>
              </a:graphicData>
            </a:graphic>
          </wp:inline>
        </w:drawing>
      </w:r>
    </w:p>
    <w:p>
      <w:pPr>
        <w:spacing w:before="80" w:after="80"/>
        <w:ind w:firstLine="720"/>
        <w:rPr>
          <w:rFonts w:ascii="Gill Sans Light" w:hAnsi="Gill Sans Light" w:cs="Gill Sans Light"/>
          <w:sz w:val="16"/>
          <w:szCs w:val="20"/>
        </w:rPr>
      </w:pPr>
      <w:r>
        <w:rPr>
          <w:rFonts w:ascii="Gill Sans Light" w:hAnsi="Gill Sans Light" w:cs="Gill Sans Light"/>
          <w:sz w:val="16"/>
          <w:szCs w:val="20"/>
        </w:rPr>
        <w:t>Figure 2</w:t>
      </w:r>
      <w:r>
        <w:rPr>
          <w:rFonts w:ascii="Gill Sans Light" w:hAnsi="Gill Sans Light" w:cs="Gill Sans Light"/>
          <w:sz w:val="16"/>
          <w:szCs w:val="20"/>
        </w:rPr>
        <w:tab/>
      </w:r>
      <w:r>
        <w:rPr>
          <w:rFonts w:ascii="Gill Sans Light" w:hAnsi="Gill Sans Light" w:cs="Gill Sans Light"/>
          <w:sz w:val="16"/>
          <w:szCs w:val="20"/>
        </w:rPr>
        <w:tab/>
      </w:r>
      <w:r>
        <w:rPr>
          <w:rFonts w:ascii="Gill Sans Light" w:hAnsi="Gill Sans Light" w:cs="Gill Sans Light"/>
          <w:sz w:val="16"/>
          <w:szCs w:val="20"/>
        </w:rPr>
        <w:tab/>
      </w:r>
      <w:r>
        <w:rPr>
          <w:rFonts w:ascii="Gill Sans Light" w:hAnsi="Gill Sans Light" w:cs="Gill Sans Light"/>
          <w:sz w:val="16"/>
          <w:szCs w:val="20"/>
        </w:rPr>
        <w:t>Figure 3</w:t>
      </w:r>
    </w:p>
    <w:p>
      <w:pPr>
        <w:spacing w:before="80" w:after="80"/>
        <w:jc w:val="both"/>
        <w:rPr>
          <w:rFonts w:ascii="Gill Sans Light" w:hAnsi="Gill Sans Light" w:cs="Gill Sans Light"/>
          <w:b/>
        </w:rPr>
      </w:pPr>
      <w:bookmarkStart w:id="0" w:name="OLE_LINK1"/>
    </w:p>
    <w:p>
      <w:pPr>
        <w:spacing w:before="80" w:after="80"/>
        <w:jc w:val="both"/>
        <w:rPr>
          <w:rFonts w:ascii="Gill Sans Light" w:hAnsi="Gill Sans Light" w:cs="Gill Sans Light"/>
          <w:sz w:val="20"/>
          <w:szCs w:val="20"/>
        </w:rPr>
      </w:pPr>
      <w:r>
        <w:rPr>
          <w:rFonts w:ascii="Gill Sans Light" w:hAnsi="Gill Sans Light" w:cs="Gill Sans Light"/>
          <w:b/>
        </w:rPr>
        <w:t>References</w:t>
      </w:r>
    </w:p>
    <w:bookmarkEnd w:id="0"/>
    <w:p>
      <w:pPr>
        <w:spacing w:before="80" w:after="80"/>
        <w:jc w:val="both"/>
        <w:rPr>
          <w:rFonts w:ascii="Gill Sans Light" w:hAnsi="Gill Sans Light" w:cs="Gill Sans Light"/>
          <w:sz w:val="20"/>
          <w:szCs w:val="20"/>
        </w:rPr>
      </w:pPr>
      <w:r>
        <w:rPr>
          <w:rFonts w:ascii="Gill Sans Light" w:hAnsi="Gill Sans Light" w:cs="Gill Sans Light"/>
          <w:sz w:val="20"/>
          <w:szCs w:val="20"/>
        </w:rPr>
        <w:t>Kaiser, H. F. (1960). The application of electronic computers to factor analysis. Educational</w:t>
      </w:r>
    </w:p>
    <w:p>
      <w:pPr>
        <w:spacing w:before="80" w:after="80"/>
        <w:jc w:val="both"/>
        <w:rPr>
          <w:rFonts w:ascii="Gill Sans Light" w:hAnsi="Gill Sans Light" w:cs="Gill Sans Light"/>
          <w:sz w:val="20"/>
          <w:szCs w:val="20"/>
        </w:rPr>
      </w:pPr>
      <w:r>
        <w:rPr>
          <w:rFonts w:ascii="Gill Sans Light" w:hAnsi="Gill Sans Light" w:cs="Gill Sans Light"/>
          <w:sz w:val="20"/>
          <w:szCs w:val="20"/>
        </w:rPr>
        <w:t>and Psychological Measurement, 20, 141-51.</w:t>
      </w:r>
    </w:p>
    <w:p>
      <w:pPr>
        <w:spacing w:before="80" w:after="80"/>
        <w:jc w:val="both"/>
        <w:rPr>
          <w:rFonts w:ascii="Gill Sans Light" w:hAnsi="Gill Sans Light" w:cs="Gill Sans Light"/>
          <w:sz w:val="20"/>
          <w:szCs w:val="20"/>
        </w:rPr>
      </w:pPr>
      <w:r>
        <w:rPr>
          <w:rFonts w:ascii="Gill Sans Light" w:hAnsi="Gill Sans Light" w:cs="Gill Sans Light"/>
          <w:sz w:val="20"/>
          <w:szCs w:val="20"/>
        </w:rPr>
        <w:t>Cattell, R. B. (1966). The Scree test for the number of factors. Multivariate Behavioral Research,</w:t>
      </w:r>
    </w:p>
    <w:p>
      <w:pPr>
        <w:spacing w:before="80" w:after="80"/>
        <w:jc w:val="both"/>
        <w:rPr>
          <w:rFonts w:ascii="Gill Sans Light" w:hAnsi="Gill Sans Light" w:cs="Gill Sans Light"/>
          <w:sz w:val="20"/>
          <w:szCs w:val="20"/>
        </w:rPr>
      </w:pPr>
      <w:r>
        <w:rPr>
          <w:rFonts w:ascii="Gill Sans Light" w:hAnsi="Gill Sans Light" w:cs="Gill Sans Light"/>
          <w:sz w:val="20"/>
          <w:szCs w:val="20"/>
        </w:rPr>
        <w:t>1, 245-76.</w:t>
      </w:r>
    </w:p>
    <w:p>
      <w:pPr>
        <w:spacing w:before="80" w:after="80"/>
        <w:jc w:val="both"/>
        <w:rPr>
          <w:rFonts w:ascii="Gill Sans Light" w:hAnsi="Gill Sans Light" w:cs="Gill Sans Light"/>
          <w:b/>
          <w:bCs/>
          <w:sz w:val="20"/>
          <w:szCs w:val="20"/>
        </w:rPr>
      </w:pPr>
      <w:r>
        <w:rPr>
          <w:rFonts w:ascii="Gill Sans Light" w:hAnsi="Gill Sans Light" w:cs="Gill Sans Light"/>
          <w:sz w:val="20"/>
          <w:szCs w:val="20"/>
        </w:rPr>
        <w:t>Cronbach, L. J. (1951). Coefficient alpha and the internal structure of tests. Psychometrika, 16(3), 297-334</w:t>
      </w:r>
    </w:p>
    <w:sectPr>
      <w:headerReference r:id="rId3" w:type="default"/>
      <w:pgSz w:w="12240" w:h="15840"/>
      <w:pgMar w:top="1440" w:right="1440" w:bottom="1440" w:left="1440" w:header="720" w:footer="720" w:gutter="0"/>
      <w:cols w:space="28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altName w:val="Yu Gothic"/>
    <w:panose1 w:val="00000000000000000000"/>
    <w:charset w:val="80"/>
    <w:family w:val="auto"/>
    <w:pitch w:val="default"/>
    <w:sig w:usb0="00000000" w:usb1="00000000" w:usb2="08000012" w:usb3="00000000" w:csb0="0002009F" w:csb1="00000000"/>
  </w:font>
  <w:font w:name="Gill Sans Light">
    <w:altName w:val="Segoe UI Semilight"/>
    <w:panose1 w:val="020B0302020104020203"/>
    <w:charset w:val="00"/>
    <w:family w:val="auto"/>
    <w:pitch w:val="default"/>
    <w:sig w:usb0="00000000" w:usb1="00000000" w:usb2="00000000" w:usb3="00000000" w:csb0="000001F7" w:csb1="00000000"/>
  </w:font>
  <w:font w:name="MS Gothic">
    <w:panose1 w:val="020B0609070205080204"/>
    <w:charset w:val="80"/>
    <w:family w:val="auto"/>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tabs>
        <w:tab w:val="right" w:pos="9360"/>
        <w:tab w:val="clear" w:pos="4320"/>
        <w:tab w:val="clear" w:pos="8640"/>
      </w:tabs>
      <w:rPr>
        <w:rFonts w:ascii="Gill Sans Light" w:hAnsi="Gill Sans Light" w:cs="Gill Sans Light"/>
        <w:i/>
        <w:sz w:val="20"/>
        <w:szCs w:val="20"/>
      </w:rPr>
    </w:pPr>
    <w:r>
      <w:rPr>
        <w:rFonts w:ascii="Gill Sans Light" w:hAnsi="Gill Sans Light" w:cs="Gill Sans Light"/>
        <w:i/>
        <w:sz w:val="20"/>
        <w:szCs w:val="20"/>
      </w:rPr>
      <w:t>CSCI-7000-008/ATLS 5519 Assignment IV — Statistical Analyses</w:t>
    </w:r>
    <w:r>
      <w:rPr>
        <w:rFonts w:ascii="Gill Sans Light" w:hAnsi="Gill Sans Light" w:cs="Gill Sans Light"/>
        <w:i/>
        <w:sz w:val="18"/>
        <w:szCs w:val="18"/>
      </w:rPr>
      <w:tab/>
    </w:r>
    <w:r>
      <w:rPr>
        <w:rFonts w:ascii="Gill Sans Light" w:hAnsi="Gill Sans Light" w:cs="Gill Sans Light"/>
        <w:i/>
        <w:sz w:val="18"/>
        <w:szCs w:val="18"/>
      </w:rPr>
      <w:t>Bo Cao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F7E"/>
    <w:rsid w:val="00054EB7"/>
    <w:rsid w:val="00054FCB"/>
    <w:rsid w:val="00064664"/>
    <w:rsid w:val="00070638"/>
    <w:rsid w:val="00080611"/>
    <w:rsid w:val="0008202E"/>
    <w:rsid w:val="00086A2E"/>
    <w:rsid w:val="00095477"/>
    <w:rsid w:val="00095D8B"/>
    <w:rsid w:val="000A5B3C"/>
    <w:rsid w:val="000B2F96"/>
    <w:rsid w:val="000C689D"/>
    <w:rsid w:val="0010677D"/>
    <w:rsid w:val="00117C2B"/>
    <w:rsid w:val="001305F7"/>
    <w:rsid w:val="001564D9"/>
    <w:rsid w:val="001613EB"/>
    <w:rsid w:val="001718A4"/>
    <w:rsid w:val="0017715B"/>
    <w:rsid w:val="00181604"/>
    <w:rsid w:val="00185520"/>
    <w:rsid w:val="00194983"/>
    <w:rsid w:val="001B4B3B"/>
    <w:rsid w:val="001C5A4D"/>
    <w:rsid w:val="001E3EE7"/>
    <w:rsid w:val="00200A2F"/>
    <w:rsid w:val="00211A33"/>
    <w:rsid w:val="00221E83"/>
    <w:rsid w:val="00224858"/>
    <w:rsid w:val="00257C76"/>
    <w:rsid w:val="002673E8"/>
    <w:rsid w:val="00273141"/>
    <w:rsid w:val="0027445F"/>
    <w:rsid w:val="002775F1"/>
    <w:rsid w:val="00280456"/>
    <w:rsid w:val="002D4F20"/>
    <w:rsid w:val="00304B67"/>
    <w:rsid w:val="0032066F"/>
    <w:rsid w:val="003311FE"/>
    <w:rsid w:val="003372F0"/>
    <w:rsid w:val="003679C4"/>
    <w:rsid w:val="00391F58"/>
    <w:rsid w:val="003920E3"/>
    <w:rsid w:val="003A5BF7"/>
    <w:rsid w:val="003B6B88"/>
    <w:rsid w:val="00433DC7"/>
    <w:rsid w:val="00440C81"/>
    <w:rsid w:val="0045010D"/>
    <w:rsid w:val="004607C5"/>
    <w:rsid w:val="00477278"/>
    <w:rsid w:val="00483286"/>
    <w:rsid w:val="004E7B8B"/>
    <w:rsid w:val="004F28DF"/>
    <w:rsid w:val="00520DB7"/>
    <w:rsid w:val="00526318"/>
    <w:rsid w:val="00536254"/>
    <w:rsid w:val="00553F7E"/>
    <w:rsid w:val="005545E0"/>
    <w:rsid w:val="00557C69"/>
    <w:rsid w:val="0057449E"/>
    <w:rsid w:val="00574BF9"/>
    <w:rsid w:val="00587CDD"/>
    <w:rsid w:val="00595D92"/>
    <w:rsid w:val="00596BB5"/>
    <w:rsid w:val="005C094C"/>
    <w:rsid w:val="005D46C4"/>
    <w:rsid w:val="005D5575"/>
    <w:rsid w:val="00603D62"/>
    <w:rsid w:val="00615656"/>
    <w:rsid w:val="0064209C"/>
    <w:rsid w:val="00695155"/>
    <w:rsid w:val="00697819"/>
    <w:rsid w:val="006E0E37"/>
    <w:rsid w:val="00707585"/>
    <w:rsid w:val="00736A70"/>
    <w:rsid w:val="00737B6E"/>
    <w:rsid w:val="007439ED"/>
    <w:rsid w:val="007604EB"/>
    <w:rsid w:val="00797900"/>
    <w:rsid w:val="007C6D96"/>
    <w:rsid w:val="00842C80"/>
    <w:rsid w:val="00843CA4"/>
    <w:rsid w:val="00857C28"/>
    <w:rsid w:val="00891A68"/>
    <w:rsid w:val="008E3E15"/>
    <w:rsid w:val="009057BF"/>
    <w:rsid w:val="0091626F"/>
    <w:rsid w:val="00925952"/>
    <w:rsid w:val="00940D7A"/>
    <w:rsid w:val="0096634E"/>
    <w:rsid w:val="00992C83"/>
    <w:rsid w:val="009B04E4"/>
    <w:rsid w:val="009F6620"/>
    <w:rsid w:val="00A023DD"/>
    <w:rsid w:val="00A60991"/>
    <w:rsid w:val="00A6693F"/>
    <w:rsid w:val="00A67E1A"/>
    <w:rsid w:val="00A879FD"/>
    <w:rsid w:val="00AA2D3A"/>
    <w:rsid w:val="00AA2FC8"/>
    <w:rsid w:val="00AA6DA6"/>
    <w:rsid w:val="00AC22A3"/>
    <w:rsid w:val="00AE6843"/>
    <w:rsid w:val="00AF7BA3"/>
    <w:rsid w:val="00B16755"/>
    <w:rsid w:val="00B242EC"/>
    <w:rsid w:val="00B31681"/>
    <w:rsid w:val="00B7415B"/>
    <w:rsid w:val="00B822CC"/>
    <w:rsid w:val="00BA6824"/>
    <w:rsid w:val="00BA6B2A"/>
    <w:rsid w:val="00BB0292"/>
    <w:rsid w:val="00BE1E3C"/>
    <w:rsid w:val="00BF4E59"/>
    <w:rsid w:val="00C16605"/>
    <w:rsid w:val="00C23ADF"/>
    <w:rsid w:val="00C25DE4"/>
    <w:rsid w:val="00C27B88"/>
    <w:rsid w:val="00C44156"/>
    <w:rsid w:val="00C52B05"/>
    <w:rsid w:val="00C927FF"/>
    <w:rsid w:val="00CC3C51"/>
    <w:rsid w:val="00D04234"/>
    <w:rsid w:val="00D121D0"/>
    <w:rsid w:val="00D179DE"/>
    <w:rsid w:val="00D2155A"/>
    <w:rsid w:val="00D3507F"/>
    <w:rsid w:val="00D45723"/>
    <w:rsid w:val="00D535B7"/>
    <w:rsid w:val="00D75DAA"/>
    <w:rsid w:val="00D84C95"/>
    <w:rsid w:val="00DB61CC"/>
    <w:rsid w:val="00DD7D9D"/>
    <w:rsid w:val="00DE1085"/>
    <w:rsid w:val="00DE689E"/>
    <w:rsid w:val="00DF1FB8"/>
    <w:rsid w:val="00E1272C"/>
    <w:rsid w:val="00E23078"/>
    <w:rsid w:val="00E35EA6"/>
    <w:rsid w:val="00E60675"/>
    <w:rsid w:val="00E6175C"/>
    <w:rsid w:val="00E909E0"/>
    <w:rsid w:val="00E93894"/>
    <w:rsid w:val="00E96620"/>
    <w:rsid w:val="00EA05BA"/>
    <w:rsid w:val="00EB2D64"/>
    <w:rsid w:val="00EC01DE"/>
    <w:rsid w:val="00EE2539"/>
    <w:rsid w:val="00F02F5D"/>
    <w:rsid w:val="00F113D9"/>
    <w:rsid w:val="00F408AB"/>
    <w:rsid w:val="00F42F0E"/>
    <w:rsid w:val="00F6263E"/>
    <w:rsid w:val="00F76C60"/>
    <w:rsid w:val="00F90DDD"/>
    <w:rsid w:val="00FB3592"/>
    <w:rsid w:val="00FE4C1B"/>
    <w:rsid w:val="08FF4B2D"/>
    <w:rsid w:val="09602A69"/>
    <w:rsid w:val="0B2029CE"/>
    <w:rsid w:val="43B62E24"/>
    <w:rsid w:val="50003D94"/>
    <w:rsid w:val="62DF6943"/>
    <w:rsid w:val="65792914"/>
    <w:rsid w:val="77255506"/>
    <w:rsid w:val="7A9865D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bidi="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320"/>
        <w:tab w:val="right" w:pos="8640"/>
      </w:tabs>
    </w:pPr>
  </w:style>
  <w:style w:type="paragraph" w:styleId="3">
    <w:name w:val="header"/>
    <w:basedOn w:val="1"/>
    <w:link w:val="6"/>
    <w:unhideWhenUsed/>
    <w:qFormat/>
    <w:uiPriority w:val="99"/>
    <w:pPr>
      <w:tabs>
        <w:tab w:val="center" w:pos="4320"/>
        <w:tab w:val="right" w:pos="8640"/>
      </w:tabs>
    </w:pPr>
  </w:style>
  <w:style w:type="character" w:customStyle="1" w:styleId="6">
    <w:name w:val="Header Char"/>
    <w:basedOn w:val="4"/>
    <w:link w:val="3"/>
    <w:qFormat/>
    <w:uiPriority w:val="99"/>
  </w:style>
  <w:style w:type="character" w:customStyle="1" w:styleId="7">
    <w:name w:val="Footer Char"/>
    <w:basedOn w:val="4"/>
    <w:link w:val="2"/>
    <w:qFormat/>
    <w:uiPriority w:val="99"/>
  </w:style>
  <w:style w:type="paragraph" w:customStyle="1" w:styleId="8">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578</Words>
  <Characters>3300</Characters>
  <Lines>27</Lines>
  <Paragraphs>7</Paragraphs>
  <ScaleCrop>false</ScaleCrop>
  <LinksUpToDate>false</LinksUpToDate>
  <CharactersWithSpaces>3871</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2010-11-03T05:35:00Z</dcterms:created>
  <dc:creator>Bilge Mutlu</dc:creator>
  <cp:lastModifiedBy>IronLab</cp:lastModifiedBy>
  <dcterms:modified xsi:type="dcterms:W3CDTF">2017-04-29T05:46:44Z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