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0534C" w14:textId="77777777" w:rsidR="0020737B" w:rsidRPr="00CE3798" w:rsidRDefault="00000000">
      <w:pPr>
        <w:pStyle w:val="Ttulo"/>
        <w:rPr>
          <w:highlight w:val="yellow"/>
          <w:u w:val="none"/>
        </w:rPr>
      </w:pPr>
      <w:r w:rsidRPr="00CE3798">
        <w:rPr>
          <w:highlight w:val="yellow"/>
        </w:rPr>
        <w:t>ASIGNACION</w:t>
      </w:r>
      <w:r w:rsidRPr="00CE3798">
        <w:rPr>
          <w:spacing w:val="-3"/>
          <w:highlight w:val="yellow"/>
        </w:rPr>
        <w:t xml:space="preserve"> </w:t>
      </w:r>
      <w:r w:rsidRPr="00CE3798">
        <w:rPr>
          <w:highlight w:val="yellow"/>
        </w:rPr>
        <w:t>DE VALORES</w:t>
      </w:r>
      <w:r w:rsidRPr="00CE3798">
        <w:rPr>
          <w:spacing w:val="-1"/>
          <w:highlight w:val="yellow"/>
        </w:rPr>
        <w:t xml:space="preserve"> </w:t>
      </w:r>
      <w:r w:rsidRPr="00CE3798">
        <w:rPr>
          <w:highlight w:val="yellow"/>
        </w:rPr>
        <w:t xml:space="preserve">A </w:t>
      </w:r>
      <w:r w:rsidRPr="00CE3798">
        <w:rPr>
          <w:spacing w:val="-2"/>
          <w:highlight w:val="yellow"/>
        </w:rPr>
        <w:t>VARIABLES.</w:t>
      </w:r>
    </w:p>
    <w:p w14:paraId="0DD886FE" w14:textId="77777777" w:rsidR="0020737B" w:rsidRPr="00CE3798" w:rsidRDefault="0020737B">
      <w:pPr>
        <w:pStyle w:val="Textoindependiente"/>
        <w:spacing w:before="28"/>
        <w:rPr>
          <w:b/>
          <w:highlight w:val="yellow"/>
        </w:rPr>
      </w:pPr>
    </w:p>
    <w:p w14:paraId="46BF85D4" w14:textId="77777777" w:rsidR="0020737B" w:rsidRDefault="00000000">
      <w:pPr>
        <w:pStyle w:val="Prrafodelista"/>
        <w:numPr>
          <w:ilvl w:val="0"/>
          <w:numId w:val="1"/>
        </w:numPr>
        <w:tabs>
          <w:tab w:val="left" w:pos="506"/>
          <w:tab w:val="left" w:pos="508"/>
        </w:tabs>
        <w:spacing w:line="244" w:lineRule="auto"/>
        <w:rPr>
          <w:sz w:val="26"/>
        </w:rPr>
      </w:pPr>
      <w:r w:rsidRPr="00CE3798">
        <w:rPr>
          <w:sz w:val="26"/>
          <w:highlight w:val="yellow"/>
        </w:rPr>
        <w:t xml:space="preserve">La asignación de valores a una variable en la parte ejecutable de un bloque se puede </w:t>
      </w:r>
      <w:r w:rsidRPr="00CE3798">
        <w:rPr>
          <w:sz w:val="26"/>
          <w:highlight w:val="cyan"/>
        </w:rPr>
        <w:t xml:space="preserve">realizar a través del </w:t>
      </w:r>
      <w:proofErr w:type="gramStart"/>
      <w:r w:rsidRPr="00CE3798">
        <w:rPr>
          <w:sz w:val="26"/>
          <w:highlight w:val="cyan"/>
        </w:rPr>
        <w:t>operador :</w:t>
      </w:r>
      <w:proofErr w:type="gramEnd"/>
      <w:r w:rsidRPr="00CE3798">
        <w:rPr>
          <w:sz w:val="26"/>
          <w:highlight w:val="cyan"/>
        </w:rPr>
        <w:t xml:space="preserve">= pero también con la cláusula INTO </w:t>
      </w:r>
      <w:r w:rsidRPr="00CE3798">
        <w:rPr>
          <w:sz w:val="26"/>
          <w:highlight w:val="yellow"/>
        </w:rPr>
        <w:t>de</w:t>
      </w:r>
      <w:r w:rsidRPr="00CE3798">
        <w:rPr>
          <w:spacing w:val="40"/>
          <w:sz w:val="26"/>
          <w:highlight w:val="yellow"/>
        </w:rPr>
        <w:t xml:space="preserve"> </w:t>
      </w:r>
      <w:r w:rsidRPr="00CE3798">
        <w:rPr>
          <w:sz w:val="26"/>
          <w:highlight w:val="yellow"/>
        </w:rPr>
        <w:t>las sentencias SELECT y con FETCH</w:t>
      </w:r>
      <w:r>
        <w:rPr>
          <w:sz w:val="26"/>
        </w:rPr>
        <w:t xml:space="preserve"> (Se estudiará posteriormente en el tema).</w:t>
      </w:r>
    </w:p>
    <w:p w14:paraId="3C7E01C3" w14:textId="77777777" w:rsidR="0020737B" w:rsidRDefault="0020737B">
      <w:pPr>
        <w:pStyle w:val="Textoindependiente"/>
        <w:spacing w:before="6"/>
      </w:pPr>
    </w:p>
    <w:p w14:paraId="49167752" w14:textId="77777777" w:rsidR="0020737B" w:rsidRDefault="00000000">
      <w:pPr>
        <w:pStyle w:val="Textoindependiente"/>
        <w:ind w:left="848"/>
      </w:pPr>
      <w:r>
        <w:rPr>
          <w:spacing w:val="-2"/>
        </w:rPr>
        <w:t>Ejemplos:</w:t>
      </w:r>
    </w:p>
    <w:p w14:paraId="7DEC6AB0" w14:textId="77777777" w:rsidR="0020737B" w:rsidRDefault="0020737B">
      <w:pPr>
        <w:pStyle w:val="Textoindependiente"/>
        <w:spacing w:before="12"/>
      </w:pPr>
    </w:p>
    <w:p w14:paraId="71C5E356" w14:textId="77777777" w:rsidR="0020737B" w:rsidRPr="00CE3798" w:rsidRDefault="00000000">
      <w:pPr>
        <w:pStyle w:val="Textoindependiente"/>
        <w:ind w:left="848"/>
        <w:rPr>
          <w:highlight w:val="green"/>
        </w:rPr>
      </w:pPr>
      <w:proofErr w:type="gramStart"/>
      <w:r w:rsidRPr="00CE3798">
        <w:rPr>
          <w:highlight w:val="green"/>
        </w:rPr>
        <w:t>total</w:t>
      </w:r>
      <w:r w:rsidRPr="00CE3798">
        <w:rPr>
          <w:spacing w:val="-3"/>
          <w:highlight w:val="green"/>
        </w:rPr>
        <w:t xml:space="preserve"> </w:t>
      </w:r>
      <w:r w:rsidRPr="00CE3798">
        <w:rPr>
          <w:highlight w:val="green"/>
        </w:rPr>
        <w:t>:</w:t>
      </w:r>
      <w:proofErr w:type="gramEnd"/>
      <w:r w:rsidRPr="00CE3798">
        <w:rPr>
          <w:highlight w:val="green"/>
        </w:rPr>
        <w:t>=</w:t>
      </w:r>
      <w:r w:rsidRPr="00CE3798">
        <w:rPr>
          <w:spacing w:val="-1"/>
          <w:highlight w:val="green"/>
        </w:rPr>
        <w:t xml:space="preserve"> </w:t>
      </w:r>
      <w:r w:rsidRPr="00CE3798">
        <w:rPr>
          <w:highlight w:val="green"/>
        </w:rPr>
        <w:t xml:space="preserve">unidades * </w:t>
      </w:r>
      <w:proofErr w:type="spellStart"/>
      <w:r w:rsidRPr="00CE3798">
        <w:rPr>
          <w:spacing w:val="-2"/>
          <w:highlight w:val="green"/>
        </w:rPr>
        <w:t>pts_unidad</w:t>
      </w:r>
      <w:proofErr w:type="spellEnd"/>
      <w:r w:rsidRPr="00CE3798">
        <w:rPr>
          <w:spacing w:val="-2"/>
          <w:highlight w:val="green"/>
        </w:rPr>
        <w:t>;</w:t>
      </w:r>
    </w:p>
    <w:p w14:paraId="4FAF4EC1" w14:textId="77777777" w:rsidR="0020737B" w:rsidRPr="00CE3798" w:rsidRDefault="00000000">
      <w:pPr>
        <w:pStyle w:val="Textoindependiente"/>
        <w:tabs>
          <w:tab w:val="left" w:pos="4388"/>
        </w:tabs>
        <w:spacing w:before="7" w:line="244" w:lineRule="auto"/>
        <w:ind w:left="1780" w:right="3881" w:hanging="933"/>
        <w:rPr>
          <w:highlight w:val="green"/>
          <w:lang w:val="en-US"/>
        </w:rPr>
      </w:pPr>
      <w:r w:rsidRPr="00CE3798">
        <w:rPr>
          <w:highlight w:val="green"/>
          <w:lang w:val="en-US"/>
        </w:rPr>
        <w:t xml:space="preserve">SELECT </w:t>
      </w:r>
      <w:proofErr w:type="spellStart"/>
      <w:r w:rsidRPr="00CE3798">
        <w:rPr>
          <w:highlight w:val="green"/>
          <w:lang w:val="en-US"/>
        </w:rPr>
        <w:t>salario</w:t>
      </w:r>
      <w:proofErr w:type="spellEnd"/>
      <w:r w:rsidRPr="00CE3798">
        <w:rPr>
          <w:highlight w:val="green"/>
          <w:lang w:val="en-US"/>
        </w:rPr>
        <w:t xml:space="preserve"> INTO </w:t>
      </w:r>
      <w:proofErr w:type="spellStart"/>
      <w:r w:rsidRPr="00CE3798">
        <w:rPr>
          <w:highlight w:val="green"/>
          <w:lang w:val="en-US"/>
        </w:rPr>
        <w:t>sueldo</w:t>
      </w:r>
      <w:proofErr w:type="spellEnd"/>
      <w:r w:rsidRPr="00CE3798">
        <w:rPr>
          <w:highlight w:val="green"/>
          <w:lang w:val="en-US"/>
        </w:rPr>
        <w:tab/>
        <w:t>FROM</w:t>
      </w:r>
      <w:r w:rsidRPr="00CE3798">
        <w:rPr>
          <w:spacing w:val="-21"/>
          <w:highlight w:val="green"/>
          <w:lang w:val="en-US"/>
        </w:rPr>
        <w:t xml:space="preserve"> </w:t>
      </w:r>
      <w:proofErr w:type="spellStart"/>
      <w:r w:rsidRPr="00CE3798">
        <w:rPr>
          <w:highlight w:val="green"/>
          <w:lang w:val="en-US"/>
        </w:rPr>
        <w:t>plantilla</w:t>
      </w:r>
      <w:proofErr w:type="spellEnd"/>
      <w:r w:rsidRPr="00CE3798">
        <w:rPr>
          <w:highlight w:val="green"/>
          <w:lang w:val="en-US"/>
        </w:rPr>
        <w:t xml:space="preserve"> WHERE </w:t>
      </w:r>
      <w:proofErr w:type="spellStart"/>
      <w:r w:rsidRPr="00CE3798">
        <w:rPr>
          <w:highlight w:val="green"/>
          <w:lang w:val="en-US"/>
        </w:rPr>
        <w:t>apellido</w:t>
      </w:r>
      <w:proofErr w:type="spellEnd"/>
      <w:r w:rsidRPr="00CE3798">
        <w:rPr>
          <w:highlight w:val="green"/>
          <w:lang w:val="en-US"/>
        </w:rPr>
        <w:t xml:space="preserve"> LIKE 'MORENO</w:t>
      </w:r>
      <w:proofErr w:type="gramStart"/>
      <w:r w:rsidRPr="00CE3798">
        <w:rPr>
          <w:highlight w:val="green"/>
          <w:lang w:val="en-US"/>
        </w:rPr>
        <w:t>';</w:t>
      </w:r>
      <w:proofErr w:type="gramEnd"/>
    </w:p>
    <w:p w14:paraId="136D2D57" w14:textId="77777777" w:rsidR="0020737B" w:rsidRDefault="00000000">
      <w:pPr>
        <w:pStyle w:val="Textoindependiente"/>
        <w:spacing w:line="314" w:lineRule="exact"/>
        <w:ind w:left="929"/>
      </w:pPr>
      <w:r w:rsidRPr="00CE3798">
        <w:rPr>
          <w:highlight w:val="green"/>
        </w:rPr>
        <w:t>FECHT</w:t>
      </w:r>
      <w:r w:rsidRPr="00CE3798">
        <w:rPr>
          <w:spacing w:val="-3"/>
          <w:highlight w:val="green"/>
        </w:rPr>
        <w:t xml:space="preserve"> </w:t>
      </w:r>
      <w:r w:rsidRPr="00CE3798">
        <w:rPr>
          <w:highlight w:val="green"/>
        </w:rPr>
        <w:t>cursor1</w:t>
      </w:r>
      <w:r w:rsidRPr="00CE3798">
        <w:rPr>
          <w:spacing w:val="-3"/>
          <w:highlight w:val="green"/>
        </w:rPr>
        <w:t xml:space="preserve"> </w:t>
      </w:r>
      <w:r w:rsidRPr="00CE3798">
        <w:rPr>
          <w:highlight w:val="green"/>
        </w:rPr>
        <w:t>INTO</w:t>
      </w:r>
      <w:r w:rsidRPr="00CE3798">
        <w:rPr>
          <w:spacing w:val="-2"/>
          <w:highlight w:val="green"/>
        </w:rPr>
        <w:t xml:space="preserve"> nombre;</w:t>
      </w:r>
    </w:p>
    <w:p w14:paraId="5E71134F" w14:textId="77777777" w:rsidR="0020737B" w:rsidRDefault="0020737B">
      <w:pPr>
        <w:pStyle w:val="Textoindependiente"/>
        <w:spacing w:before="12"/>
      </w:pPr>
    </w:p>
    <w:p w14:paraId="32FE9A16" w14:textId="77777777" w:rsidR="0020737B" w:rsidRDefault="00000000">
      <w:pPr>
        <w:pStyle w:val="Textoindependiente"/>
        <w:spacing w:line="244" w:lineRule="auto"/>
        <w:ind w:left="848" w:right="141"/>
        <w:jc w:val="both"/>
      </w:pPr>
      <w:r>
        <w:t>Para empezar a familiarizarnos con el SQL dentro de un bloque PL/SQL</w:t>
      </w:r>
      <w:r>
        <w:rPr>
          <w:spacing w:val="40"/>
        </w:rPr>
        <w:t xml:space="preserve"> </w:t>
      </w:r>
      <w:r>
        <w:t xml:space="preserve">vemos que las </w:t>
      </w:r>
      <w:proofErr w:type="spellStart"/>
      <w:r>
        <w:t>Select</w:t>
      </w:r>
      <w:proofErr w:type="spellEnd"/>
      <w:r>
        <w:t xml:space="preserve"> ya no hacen la salida en un terminal, sino que lo que recuperan lo almacenan en la variable que pongamos detrás del </w:t>
      </w:r>
      <w:proofErr w:type="spellStart"/>
      <w:r>
        <w:t>Into</w:t>
      </w:r>
      <w:proofErr w:type="spellEnd"/>
      <w:r>
        <w:t>.</w:t>
      </w:r>
    </w:p>
    <w:p w14:paraId="6C6A1668" w14:textId="77777777" w:rsidR="0020737B" w:rsidRDefault="0020737B">
      <w:pPr>
        <w:pStyle w:val="Textoindependiente"/>
        <w:spacing w:before="6"/>
      </w:pPr>
    </w:p>
    <w:p w14:paraId="3CEA7A82" w14:textId="77777777" w:rsidR="0020737B" w:rsidRDefault="00000000">
      <w:pPr>
        <w:pStyle w:val="Textoindependiente"/>
        <w:spacing w:line="244" w:lineRule="auto"/>
        <w:ind w:left="848" w:right="141"/>
        <w:jc w:val="both"/>
      </w:pPr>
      <w:r>
        <w:t>En este caso recuerda de la base de datos el sueldo de “MORENO2 y lo que recupere lo guarda en la variable sueldo.</w:t>
      </w:r>
    </w:p>
    <w:p w14:paraId="0A6AA845" w14:textId="77777777" w:rsidR="0020737B" w:rsidRPr="00CE3798" w:rsidRDefault="00000000">
      <w:pPr>
        <w:pStyle w:val="Prrafodelista"/>
        <w:numPr>
          <w:ilvl w:val="1"/>
          <w:numId w:val="1"/>
        </w:numPr>
        <w:tabs>
          <w:tab w:val="left" w:pos="866"/>
          <w:tab w:val="left" w:pos="868"/>
        </w:tabs>
        <w:spacing w:before="268" w:line="244" w:lineRule="auto"/>
        <w:rPr>
          <w:sz w:val="26"/>
          <w:highlight w:val="yellow"/>
        </w:rPr>
      </w:pPr>
      <w:r w:rsidRPr="00CE3798">
        <w:rPr>
          <w:sz w:val="26"/>
          <w:highlight w:val="yellow"/>
        </w:rPr>
        <w:t xml:space="preserve">También </w:t>
      </w:r>
      <w:r w:rsidRPr="00CE3798">
        <w:rPr>
          <w:sz w:val="26"/>
          <w:highlight w:val="cyan"/>
        </w:rPr>
        <w:t>es posible realizar asignaciones de valor a las variables en el momento</w:t>
      </w:r>
      <w:r w:rsidRPr="00CE3798">
        <w:rPr>
          <w:spacing w:val="-5"/>
          <w:sz w:val="26"/>
          <w:highlight w:val="cyan"/>
        </w:rPr>
        <w:t xml:space="preserve"> </w:t>
      </w:r>
      <w:r w:rsidRPr="00CE3798">
        <w:rPr>
          <w:sz w:val="26"/>
          <w:highlight w:val="cyan"/>
        </w:rPr>
        <w:t>de</w:t>
      </w:r>
      <w:r w:rsidRPr="00CE3798">
        <w:rPr>
          <w:spacing w:val="-5"/>
          <w:sz w:val="26"/>
          <w:highlight w:val="cyan"/>
        </w:rPr>
        <w:t xml:space="preserve"> </w:t>
      </w:r>
      <w:r w:rsidRPr="00CE3798">
        <w:rPr>
          <w:sz w:val="26"/>
          <w:highlight w:val="cyan"/>
        </w:rPr>
        <w:t>su</w:t>
      </w:r>
      <w:r w:rsidRPr="00CE3798">
        <w:rPr>
          <w:spacing w:val="-5"/>
          <w:sz w:val="26"/>
          <w:highlight w:val="cyan"/>
        </w:rPr>
        <w:t xml:space="preserve"> </w:t>
      </w:r>
      <w:r w:rsidRPr="00CE3798">
        <w:rPr>
          <w:sz w:val="26"/>
          <w:highlight w:val="cyan"/>
        </w:rPr>
        <w:t>declaración,</w:t>
      </w:r>
      <w:r w:rsidRPr="00CE3798">
        <w:rPr>
          <w:spacing w:val="-5"/>
          <w:sz w:val="26"/>
          <w:highlight w:val="cyan"/>
        </w:rPr>
        <w:t xml:space="preserve"> </w:t>
      </w:r>
      <w:r w:rsidRPr="00CE3798">
        <w:rPr>
          <w:sz w:val="26"/>
          <w:highlight w:val="cyan"/>
        </w:rPr>
        <w:t>para</w:t>
      </w:r>
      <w:r w:rsidRPr="00CE3798">
        <w:rPr>
          <w:spacing w:val="-5"/>
          <w:sz w:val="26"/>
          <w:highlight w:val="cyan"/>
        </w:rPr>
        <w:t xml:space="preserve"> </w:t>
      </w:r>
      <w:r w:rsidRPr="00CE3798">
        <w:rPr>
          <w:sz w:val="26"/>
          <w:highlight w:val="cyan"/>
        </w:rPr>
        <w:t>ello</w:t>
      </w:r>
      <w:r w:rsidRPr="00CE3798">
        <w:rPr>
          <w:spacing w:val="-5"/>
          <w:sz w:val="26"/>
          <w:highlight w:val="cyan"/>
        </w:rPr>
        <w:t xml:space="preserve"> </w:t>
      </w:r>
      <w:r w:rsidRPr="00CE3798">
        <w:rPr>
          <w:sz w:val="26"/>
          <w:highlight w:val="cyan"/>
        </w:rPr>
        <w:t>se</w:t>
      </w:r>
      <w:r w:rsidRPr="00CE3798">
        <w:rPr>
          <w:spacing w:val="-5"/>
          <w:sz w:val="26"/>
          <w:highlight w:val="cyan"/>
        </w:rPr>
        <w:t xml:space="preserve"> </w:t>
      </w:r>
      <w:r w:rsidRPr="00CE3798">
        <w:rPr>
          <w:sz w:val="26"/>
          <w:highlight w:val="cyan"/>
        </w:rPr>
        <w:t>utilizará</w:t>
      </w:r>
      <w:r w:rsidRPr="00CE3798">
        <w:rPr>
          <w:spacing w:val="-5"/>
          <w:sz w:val="26"/>
          <w:highlight w:val="cyan"/>
        </w:rPr>
        <w:t xml:space="preserve"> </w:t>
      </w:r>
      <w:r w:rsidRPr="00CE3798">
        <w:rPr>
          <w:sz w:val="26"/>
          <w:highlight w:val="cyan"/>
        </w:rPr>
        <w:t>la</w:t>
      </w:r>
      <w:r w:rsidRPr="00CE3798">
        <w:rPr>
          <w:spacing w:val="-5"/>
          <w:sz w:val="26"/>
          <w:highlight w:val="cyan"/>
        </w:rPr>
        <w:t xml:space="preserve"> </w:t>
      </w:r>
      <w:r w:rsidRPr="00CE3798">
        <w:rPr>
          <w:sz w:val="26"/>
          <w:highlight w:val="cyan"/>
        </w:rPr>
        <w:t>palabra</w:t>
      </w:r>
      <w:r w:rsidRPr="00CE3798">
        <w:rPr>
          <w:spacing w:val="-5"/>
          <w:sz w:val="26"/>
          <w:highlight w:val="cyan"/>
        </w:rPr>
        <w:t xml:space="preserve"> </w:t>
      </w:r>
      <w:r w:rsidRPr="00CE3798">
        <w:rPr>
          <w:sz w:val="26"/>
          <w:highlight w:val="cyan"/>
        </w:rPr>
        <w:t>clave</w:t>
      </w:r>
      <w:r w:rsidRPr="00CE3798">
        <w:rPr>
          <w:spacing w:val="-5"/>
          <w:sz w:val="26"/>
          <w:highlight w:val="cyan"/>
        </w:rPr>
        <w:t xml:space="preserve"> </w:t>
      </w:r>
      <w:r w:rsidRPr="00CE3798">
        <w:rPr>
          <w:sz w:val="26"/>
          <w:highlight w:val="cyan"/>
        </w:rPr>
        <w:t>DEFAULT</w:t>
      </w:r>
      <w:r w:rsidRPr="00CE3798">
        <w:rPr>
          <w:sz w:val="26"/>
          <w:highlight w:val="yellow"/>
        </w:rPr>
        <w:t>,</w:t>
      </w:r>
      <w:r w:rsidRPr="00CE3798">
        <w:rPr>
          <w:spacing w:val="-5"/>
          <w:sz w:val="26"/>
          <w:highlight w:val="yellow"/>
        </w:rPr>
        <w:t xml:space="preserve"> </w:t>
      </w:r>
      <w:r w:rsidRPr="00CE3798">
        <w:rPr>
          <w:sz w:val="26"/>
          <w:highlight w:val="yellow"/>
        </w:rPr>
        <w:t>o bien, el operador de asignación.</w:t>
      </w:r>
    </w:p>
    <w:p w14:paraId="38C606C7" w14:textId="77777777" w:rsidR="0020737B" w:rsidRDefault="0020737B">
      <w:pPr>
        <w:pStyle w:val="Textoindependiente"/>
        <w:spacing w:before="6"/>
      </w:pPr>
    </w:p>
    <w:p w14:paraId="1FFEE479" w14:textId="77777777" w:rsidR="0020737B" w:rsidRDefault="00000000">
      <w:pPr>
        <w:pStyle w:val="Textoindependiente"/>
        <w:ind w:left="848"/>
      </w:pPr>
      <w:r>
        <w:rPr>
          <w:spacing w:val="-2"/>
        </w:rPr>
        <w:t>Ejemplos:</w:t>
      </w:r>
    </w:p>
    <w:p w14:paraId="108FCA2E" w14:textId="77777777" w:rsidR="0020737B" w:rsidRDefault="0020737B">
      <w:pPr>
        <w:pStyle w:val="Textoindependiente"/>
        <w:spacing w:before="12"/>
      </w:pPr>
    </w:p>
    <w:p w14:paraId="774C007A" w14:textId="77777777" w:rsidR="0020737B" w:rsidRPr="00CE3798" w:rsidRDefault="00000000">
      <w:pPr>
        <w:pStyle w:val="Textoindependiente"/>
        <w:ind w:left="848"/>
        <w:jc w:val="both"/>
        <w:rPr>
          <w:highlight w:val="green"/>
        </w:rPr>
      </w:pPr>
      <w:proofErr w:type="gramStart"/>
      <w:r w:rsidRPr="00CE3798">
        <w:rPr>
          <w:highlight w:val="green"/>
        </w:rPr>
        <w:t>importe</w:t>
      </w:r>
      <w:r w:rsidRPr="00CE3798">
        <w:rPr>
          <w:spacing w:val="31"/>
          <w:highlight w:val="green"/>
        </w:rPr>
        <w:t xml:space="preserve">  </w:t>
      </w:r>
      <w:r w:rsidRPr="00CE3798">
        <w:rPr>
          <w:highlight w:val="green"/>
        </w:rPr>
        <w:t>NUMBER</w:t>
      </w:r>
      <w:proofErr w:type="gramEnd"/>
      <w:r w:rsidRPr="00CE3798">
        <w:rPr>
          <w:spacing w:val="-7"/>
          <w:highlight w:val="green"/>
        </w:rPr>
        <w:t xml:space="preserve"> </w:t>
      </w:r>
      <w:r w:rsidRPr="00CE3798">
        <w:rPr>
          <w:highlight w:val="green"/>
        </w:rPr>
        <w:t>(9)</w:t>
      </w:r>
      <w:r w:rsidRPr="00CE3798">
        <w:rPr>
          <w:spacing w:val="-6"/>
          <w:highlight w:val="green"/>
        </w:rPr>
        <w:t xml:space="preserve"> </w:t>
      </w:r>
      <w:r w:rsidRPr="00CE3798">
        <w:rPr>
          <w:highlight w:val="green"/>
        </w:rPr>
        <w:t>DEFAULT</w:t>
      </w:r>
      <w:r w:rsidRPr="00CE3798">
        <w:rPr>
          <w:spacing w:val="-6"/>
          <w:highlight w:val="green"/>
        </w:rPr>
        <w:t xml:space="preserve"> </w:t>
      </w:r>
      <w:r w:rsidRPr="00CE3798">
        <w:rPr>
          <w:spacing w:val="-2"/>
          <w:highlight w:val="green"/>
        </w:rPr>
        <w:t>3000;</w:t>
      </w:r>
    </w:p>
    <w:p w14:paraId="39BB4A3F" w14:textId="77777777" w:rsidR="0020737B" w:rsidRDefault="00000000">
      <w:pPr>
        <w:pStyle w:val="Textoindependiente"/>
        <w:tabs>
          <w:tab w:val="left" w:pos="1969"/>
        </w:tabs>
        <w:spacing w:before="7"/>
        <w:ind w:left="848"/>
      </w:pPr>
      <w:r w:rsidRPr="00CE3798">
        <w:rPr>
          <w:spacing w:val="-2"/>
          <w:highlight w:val="green"/>
        </w:rPr>
        <w:t>nombre</w:t>
      </w:r>
      <w:r w:rsidRPr="00CE3798">
        <w:rPr>
          <w:highlight w:val="green"/>
        </w:rPr>
        <w:tab/>
        <w:t>VARCHAR2(20</w:t>
      </w:r>
      <w:proofErr w:type="gramStart"/>
      <w:r w:rsidRPr="00CE3798">
        <w:rPr>
          <w:highlight w:val="green"/>
        </w:rPr>
        <w:t>)</w:t>
      </w:r>
      <w:r w:rsidRPr="00CE3798">
        <w:rPr>
          <w:spacing w:val="-3"/>
          <w:highlight w:val="green"/>
        </w:rPr>
        <w:t xml:space="preserve"> </w:t>
      </w:r>
      <w:r w:rsidRPr="00CE3798">
        <w:rPr>
          <w:highlight w:val="green"/>
        </w:rPr>
        <w:t>:</w:t>
      </w:r>
      <w:proofErr w:type="gramEnd"/>
      <w:r w:rsidRPr="00CE3798">
        <w:rPr>
          <w:highlight w:val="green"/>
        </w:rPr>
        <w:t>=</w:t>
      </w:r>
      <w:r w:rsidRPr="00CE3798">
        <w:rPr>
          <w:spacing w:val="-3"/>
          <w:highlight w:val="green"/>
        </w:rPr>
        <w:t xml:space="preserve"> </w:t>
      </w:r>
      <w:r w:rsidRPr="00CE3798">
        <w:rPr>
          <w:highlight w:val="green"/>
        </w:rPr>
        <w:t>‘Marta</w:t>
      </w:r>
      <w:r w:rsidRPr="00CE3798">
        <w:rPr>
          <w:spacing w:val="-2"/>
          <w:highlight w:val="green"/>
        </w:rPr>
        <w:t xml:space="preserve"> Parrado’;</w:t>
      </w:r>
    </w:p>
    <w:sectPr w:rsidR="0020737B">
      <w:type w:val="continuous"/>
      <w:pgSz w:w="11910" w:h="16840"/>
      <w:pgMar w:top="10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D0A6A"/>
    <w:multiLevelType w:val="hybridMultilevel"/>
    <w:tmpl w:val="6F78D776"/>
    <w:lvl w:ilvl="0" w:tplc="81B0AC9A">
      <w:numFmt w:val="bullet"/>
      <w:lvlText w:val=""/>
      <w:lvlJc w:val="left"/>
      <w:pPr>
        <w:ind w:left="508" w:hanging="3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5"/>
        <w:sz w:val="26"/>
        <w:szCs w:val="26"/>
        <w:lang w:val="es-ES" w:eastAsia="en-US" w:bidi="ar-SA"/>
      </w:rPr>
    </w:lvl>
    <w:lvl w:ilvl="1" w:tplc="00DE86BA">
      <w:numFmt w:val="bullet"/>
      <w:lvlText w:val=""/>
      <w:lvlJc w:val="left"/>
      <w:pPr>
        <w:ind w:left="868" w:hanging="3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5"/>
        <w:sz w:val="26"/>
        <w:szCs w:val="26"/>
        <w:lang w:val="es-ES" w:eastAsia="en-US" w:bidi="ar-SA"/>
      </w:rPr>
    </w:lvl>
    <w:lvl w:ilvl="2" w:tplc="0C86E216">
      <w:numFmt w:val="bullet"/>
      <w:lvlText w:val="•"/>
      <w:lvlJc w:val="left"/>
      <w:pPr>
        <w:ind w:left="1866" w:hanging="367"/>
      </w:pPr>
      <w:rPr>
        <w:rFonts w:hint="default"/>
        <w:lang w:val="es-ES" w:eastAsia="en-US" w:bidi="ar-SA"/>
      </w:rPr>
    </w:lvl>
    <w:lvl w:ilvl="3" w:tplc="25941732">
      <w:numFmt w:val="bullet"/>
      <w:lvlText w:val="•"/>
      <w:lvlJc w:val="left"/>
      <w:pPr>
        <w:ind w:left="2873" w:hanging="367"/>
      </w:pPr>
      <w:rPr>
        <w:rFonts w:hint="default"/>
        <w:lang w:val="es-ES" w:eastAsia="en-US" w:bidi="ar-SA"/>
      </w:rPr>
    </w:lvl>
    <w:lvl w:ilvl="4" w:tplc="39E0C5AA">
      <w:numFmt w:val="bullet"/>
      <w:lvlText w:val="•"/>
      <w:lvlJc w:val="left"/>
      <w:pPr>
        <w:ind w:left="3880" w:hanging="367"/>
      </w:pPr>
      <w:rPr>
        <w:rFonts w:hint="default"/>
        <w:lang w:val="es-ES" w:eastAsia="en-US" w:bidi="ar-SA"/>
      </w:rPr>
    </w:lvl>
    <w:lvl w:ilvl="5" w:tplc="8E90D2C4">
      <w:numFmt w:val="bullet"/>
      <w:lvlText w:val="•"/>
      <w:lvlJc w:val="left"/>
      <w:pPr>
        <w:ind w:left="4887" w:hanging="367"/>
      </w:pPr>
      <w:rPr>
        <w:rFonts w:hint="default"/>
        <w:lang w:val="es-ES" w:eastAsia="en-US" w:bidi="ar-SA"/>
      </w:rPr>
    </w:lvl>
    <w:lvl w:ilvl="6" w:tplc="5F1C2C0C">
      <w:numFmt w:val="bullet"/>
      <w:lvlText w:val="•"/>
      <w:lvlJc w:val="left"/>
      <w:pPr>
        <w:ind w:left="5894" w:hanging="367"/>
      </w:pPr>
      <w:rPr>
        <w:rFonts w:hint="default"/>
        <w:lang w:val="es-ES" w:eastAsia="en-US" w:bidi="ar-SA"/>
      </w:rPr>
    </w:lvl>
    <w:lvl w:ilvl="7" w:tplc="35F42574">
      <w:numFmt w:val="bullet"/>
      <w:lvlText w:val="•"/>
      <w:lvlJc w:val="left"/>
      <w:pPr>
        <w:ind w:left="6901" w:hanging="367"/>
      </w:pPr>
      <w:rPr>
        <w:rFonts w:hint="default"/>
        <w:lang w:val="es-ES" w:eastAsia="en-US" w:bidi="ar-SA"/>
      </w:rPr>
    </w:lvl>
    <w:lvl w:ilvl="8" w:tplc="5BB0E240">
      <w:numFmt w:val="bullet"/>
      <w:lvlText w:val="•"/>
      <w:lvlJc w:val="left"/>
      <w:pPr>
        <w:ind w:left="7907" w:hanging="367"/>
      </w:pPr>
      <w:rPr>
        <w:rFonts w:hint="default"/>
        <w:lang w:val="es-ES" w:eastAsia="en-US" w:bidi="ar-SA"/>
      </w:rPr>
    </w:lvl>
  </w:abstractNum>
  <w:num w:numId="1" w16cid:durableId="52463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37B"/>
    <w:rsid w:val="00102B91"/>
    <w:rsid w:val="0020737B"/>
    <w:rsid w:val="00AE5C49"/>
    <w:rsid w:val="00CE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85EA9"/>
  <w15:docId w15:val="{B54C09FF-27E7-4376-AB43-44FC7539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80"/>
      <w:ind w:left="147"/>
    </w:pPr>
    <w:rPr>
      <w:b/>
      <w:bCs/>
      <w:sz w:val="32"/>
      <w:szCs w:val="3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508" w:right="133" w:hanging="36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Zavala</cp:lastModifiedBy>
  <cp:revision>2</cp:revision>
  <dcterms:created xsi:type="dcterms:W3CDTF">2025-01-29T08:50:00Z</dcterms:created>
  <dcterms:modified xsi:type="dcterms:W3CDTF">2025-01-29T21:34:00Z</dcterms:modified>
</cp:coreProperties>
</file>