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99F1B" w14:textId="77777777" w:rsidR="00331FD1" w:rsidRDefault="00331FD1" w:rsidP="003B6F39">
      <w:pPr>
        <w:pStyle w:val="Title"/>
        <w:jc w:val="both"/>
      </w:pPr>
      <w:r>
        <w:t>The Battle of the Neighbourhoods — Opening a Bubble Tea franchise in Singapore</w:t>
      </w:r>
    </w:p>
    <w:p w14:paraId="1836C173" w14:textId="4A0FA30C" w:rsidR="004D002C" w:rsidRDefault="00331FD1" w:rsidP="003B6F39">
      <w:pPr>
        <w:pStyle w:val="Subtitle"/>
        <w:jc w:val="both"/>
      </w:pPr>
      <w:r>
        <w:t>A quest to find the best neighbourhood to start a Xing Fu Tang Bubble Tea franchise in Singapore.</w:t>
      </w:r>
    </w:p>
    <w:p w14:paraId="2B59FCDF" w14:textId="77777777" w:rsidR="00331FD1" w:rsidRPr="00331FD1" w:rsidRDefault="00331FD1" w:rsidP="003B6F39">
      <w:pPr>
        <w:shd w:val="clear" w:color="auto" w:fill="FFFFFF"/>
        <w:spacing w:before="153"/>
        <w:jc w:val="both"/>
        <w:outlineLvl w:val="1"/>
        <w:rPr>
          <w:rFonts w:ascii="inherit" w:eastAsia="Times New Roman" w:hAnsi="inherit" w:cs="Times New Roman"/>
          <w:b/>
          <w:bCs/>
          <w:color w:val="000000"/>
          <w:sz w:val="33"/>
          <w:szCs w:val="33"/>
        </w:rPr>
      </w:pPr>
      <w:r w:rsidRPr="00331FD1">
        <w:rPr>
          <w:rFonts w:ascii="inherit" w:eastAsia="Times New Roman" w:hAnsi="inherit" w:cs="Times New Roman"/>
          <w:b/>
          <w:bCs/>
          <w:color w:val="000000"/>
          <w:sz w:val="33"/>
          <w:szCs w:val="33"/>
        </w:rPr>
        <w:t>Introduction: Business Problem</w:t>
      </w:r>
    </w:p>
    <w:p w14:paraId="3646C0AB" w14:textId="77777777" w:rsidR="00331FD1" w:rsidRPr="00331FD1" w:rsidRDefault="00331FD1" w:rsidP="003B6F39">
      <w:pPr>
        <w:shd w:val="clear" w:color="auto" w:fill="FFFFFF"/>
        <w:spacing w:after="150"/>
        <w:jc w:val="both"/>
        <w:rPr>
          <w:rFonts w:ascii="Helvetica Neue" w:eastAsia="Times New Roman" w:hAnsi="Helvetica Neue" w:cs="Times New Roman"/>
          <w:color w:val="000000"/>
          <w:sz w:val="21"/>
          <w:szCs w:val="21"/>
        </w:rPr>
      </w:pPr>
      <w:r w:rsidRPr="00331FD1">
        <w:rPr>
          <w:rFonts w:ascii="Helvetica Neue" w:eastAsia="Times New Roman" w:hAnsi="Helvetica Neue" w:cs="Times New Roman"/>
          <w:color w:val="000000"/>
          <w:sz w:val="21"/>
          <w:szCs w:val="21"/>
        </w:rPr>
        <w:t>Originating from Taiwan in the early 1980s, </w:t>
      </w:r>
      <w:r w:rsidRPr="00331FD1">
        <w:rPr>
          <w:rFonts w:ascii="Helvetica Neue" w:eastAsia="Times New Roman" w:hAnsi="Helvetica Neue" w:cs="Times New Roman"/>
          <w:b/>
          <w:bCs/>
          <w:color w:val="000000"/>
          <w:sz w:val="21"/>
          <w:szCs w:val="21"/>
        </w:rPr>
        <w:t>bubble tea</w:t>
      </w:r>
      <w:r w:rsidRPr="00331FD1">
        <w:rPr>
          <w:rFonts w:ascii="Helvetica Neue" w:eastAsia="Times New Roman" w:hAnsi="Helvetica Neue" w:cs="Times New Roman"/>
          <w:color w:val="000000"/>
          <w:sz w:val="21"/>
          <w:szCs w:val="21"/>
        </w:rPr>
        <w:t> is a flavoured/milk tea beverage served with tapioca balls. In recent times, this tea drink has taken the world by storm. It's wildly popular among the youths of Asia, and more recently in the North America. This holds true for the Southeast-Asian city-state of </w:t>
      </w:r>
      <w:r w:rsidRPr="00331FD1">
        <w:rPr>
          <w:rFonts w:ascii="Helvetica Neue" w:eastAsia="Times New Roman" w:hAnsi="Helvetica Neue" w:cs="Times New Roman"/>
          <w:b/>
          <w:bCs/>
          <w:color w:val="000000"/>
          <w:sz w:val="21"/>
          <w:szCs w:val="21"/>
        </w:rPr>
        <w:t>Singapore</w:t>
      </w:r>
      <w:r w:rsidRPr="00331FD1">
        <w:rPr>
          <w:rFonts w:ascii="Helvetica Neue" w:eastAsia="Times New Roman" w:hAnsi="Helvetica Neue" w:cs="Times New Roman"/>
          <w:color w:val="000000"/>
          <w:sz w:val="21"/>
          <w:szCs w:val="21"/>
        </w:rPr>
        <w:t> as well.</w:t>
      </w:r>
    </w:p>
    <w:p w14:paraId="535A28CD" w14:textId="77777777" w:rsidR="00331FD1" w:rsidRPr="00331FD1" w:rsidRDefault="00331FD1" w:rsidP="003B6F39">
      <w:pPr>
        <w:shd w:val="clear" w:color="auto" w:fill="FFFFFF"/>
        <w:spacing w:before="240" w:after="150"/>
        <w:jc w:val="both"/>
        <w:rPr>
          <w:rFonts w:ascii="Helvetica Neue" w:eastAsia="Times New Roman" w:hAnsi="Helvetica Neue" w:cs="Times New Roman"/>
          <w:color w:val="000000"/>
          <w:sz w:val="21"/>
          <w:szCs w:val="21"/>
        </w:rPr>
      </w:pPr>
      <w:r w:rsidRPr="00331FD1">
        <w:rPr>
          <w:rFonts w:ascii="Helvetica Neue" w:eastAsia="Times New Roman" w:hAnsi="Helvetica Neue" w:cs="Times New Roman"/>
          <w:color w:val="000000"/>
          <w:sz w:val="21"/>
          <w:szCs w:val="21"/>
        </w:rPr>
        <w:t>When tightened circuit-breaker measures were announced in Singapore to curb the spread of COVID-19 on 21 April 2020, Singaporeans </w:t>
      </w:r>
      <w:hyperlink r:id="rId5" w:history="1">
        <w:r w:rsidRPr="00331FD1">
          <w:rPr>
            <w:rFonts w:ascii="Helvetica Neue" w:eastAsia="Times New Roman" w:hAnsi="Helvetica Neue" w:cs="Times New Roman"/>
            <w:color w:val="337AB7"/>
            <w:sz w:val="21"/>
            <w:szCs w:val="21"/>
            <w:u w:val="single"/>
          </w:rPr>
          <w:t>went out in droves</w:t>
        </w:r>
      </w:hyperlink>
      <w:r w:rsidRPr="00331FD1">
        <w:rPr>
          <w:rFonts w:ascii="Helvetica Neue" w:eastAsia="Times New Roman" w:hAnsi="Helvetica Neue" w:cs="Times New Roman"/>
          <w:color w:val="000000"/>
          <w:sz w:val="21"/>
          <w:szCs w:val="21"/>
        </w:rPr>
        <w:t> to get their fix of bubble tea. Searches for the drink on Google spiked, and for the few bubble tea shops that were still allowed to operate during the lockdown, they find themselves </w:t>
      </w:r>
      <w:hyperlink r:id="rId6" w:history="1">
        <w:r w:rsidRPr="00331FD1">
          <w:rPr>
            <w:rFonts w:ascii="Helvetica Neue" w:eastAsia="Times New Roman" w:hAnsi="Helvetica Neue" w:cs="Times New Roman"/>
            <w:color w:val="337AB7"/>
            <w:sz w:val="21"/>
            <w:szCs w:val="21"/>
            <w:u w:val="single"/>
          </w:rPr>
          <w:t>running out</w:t>
        </w:r>
      </w:hyperlink>
      <w:r w:rsidRPr="00331FD1">
        <w:rPr>
          <w:rFonts w:ascii="Helvetica Neue" w:eastAsia="Times New Roman" w:hAnsi="Helvetica Neue" w:cs="Times New Roman"/>
          <w:color w:val="000000"/>
          <w:sz w:val="21"/>
          <w:szCs w:val="21"/>
        </w:rPr>
        <w:t> of tapioca pearls within hours of opening.</w:t>
      </w:r>
    </w:p>
    <w:p w14:paraId="44DC21A8" w14:textId="77777777" w:rsidR="00331FD1" w:rsidRPr="00331FD1" w:rsidRDefault="00331FD1" w:rsidP="003B6F39">
      <w:pPr>
        <w:shd w:val="clear" w:color="auto" w:fill="FFFFFF"/>
        <w:spacing w:before="240" w:after="150"/>
        <w:jc w:val="both"/>
        <w:rPr>
          <w:rFonts w:ascii="Helvetica Neue" w:eastAsia="Times New Roman" w:hAnsi="Helvetica Neue" w:cs="Times New Roman"/>
          <w:color w:val="000000"/>
          <w:sz w:val="21"/>
          <w:szCs w:val="21"/>
        </w:rPr>
      </w:pPr>
      <w:r w:rsidRPr="00331FD1">
        <w:rPr>
          <w:rFonts w:ascii="Helvetica Neue" w:eastAsia="Times New Roman" w:hAnsi="Helvetica Neue" w:cs="Times New Roman"/>
          <w:color w:val="000000"/>
          <w:sz w:val="21"/>
          <w:szCs w:val="21"/>
        </w:rPr>
        <w:t>As the retail sector gradually recovers from the COVID-19 pandemic in 2021, the mainstays of the Singaporean bubble tea scene should anticipate a return to normalcy and use the opportunity to scale mindfully. This includes one of Singapore's well-known bubble tea brand, </w:t>
      </w:r>
      <w:r w:rsidRPr="00331FD1">
        <w:rPr>
          <w:rFonts w:ascii="Helvetica Neue" w:eastAsia="Times New Roman" w:hAnsi="Helvetica Neue" w:cs="Times New Roman"/>
          <w:b/>
          <w:bCs/>
          <w:color w:val="000000"/>
          <w:sz w:val="21"/>
          <w:szCs w:val="21"/>
        </w:rPr>
        <w:t>Xing Fu Tang</w:t>
      </w:r>
      <w:r w:rsidRPr="00331FD1">
        <w:rPr>
          <w:rFonts w:ascii="Helvetica Neue" w:eastAsia="Times New Roman" w:hAnsi="Helvetica Neue" w:cs="Times New Roman"/>
          <w:color w:val="000000"/>
          <w:sz w:val="21"/>
          <w:szCs w:val="21"/>
        </w:rPr>
        <w:t>. At the writing of this report, Xing Fu Tang operates 10 outlets in Singapore and is garnering </w:t>
      </w:r>
      <w:hyperlink r:id="rId7" w:history="1">
        <w:r w:rsidRPr="00331FD1">
          <w:rPr>
            <w:rFonts w:ascii="Helvetica Neue" w:eastAsia="Times New Roman" w:hAnsi="Helvetica Neue" w:cs="Times New Roman"/>
            <w:color w:val="337AB7"/>
            <w:sz w:val="21"/>
            <w:szCs w:val="21"/>
            <w:u w:val="single"/>
          </w:rPr>
          <w:t>positive reviews</w:t>
        </w:r>
      </w:hyperlink>
      <w:r w:rsidRPr="00331FD1">
        <w:rPr>
          <w:rFonts w:ascii="Helvetica Neue" w:eastAsia="Times New Roman" w:hAnsi="Helvetica Neue" w:cs="Times New Roman"/>
          <w:color w:val="000000"/>
          <w:sz w:val="21"/>
          <w:szCs w:val="21"/>
        </w:rPr>
        <w:t>.</w:t>
      </w:r>
    </w:p>
    <w:p w14:paraId="4C03F40F" w14:textId="77777777" w:rsidR="00331FD1" w:rsidRPr="00331FD1" w:rsidRDefault="00331FD1" w:rsidP="003B6F39">
      <w:pPr>
        <w:shd w:val="clear" w:color="auto" w:fill="FFFFFF"/>
        <w:spacing w:after="150"/>
        <w:jc w:val="both"/>
        <w:rPr>
          <w:rFonts w:ascii="Helvetica Neue" w:eastAsia="Times New Roman" w:hAnsi="Helvetica Neue" w:cs="Times New Roman"/>
          <w:color w:val="000000"/>
          <w:sz w:val="21"/>
          <w:szCs w:val="21"/>
        </w:rPr>
      </w:pPr>
      <w:r w:rsidRPr="00331FD1">
        <w:rPr>
          <w:rFonts w:ascii="Helvetica Neue" w:eastAsia="Times New Roman" w:hAnsi="Helvetica Neue" w:cs="Times New Roman"/>
          <w:color w:val="000000"/>
          <w:sz w:val="21"/>
          <w:szCs w:val="21"/>
        </w:rPr>
        <w:t>For this business problem, we'll use data science tools to fetch, visualise and analyse geolocation, demographic, and commercial data. </w:t>
      </w:r>
    </w:p>
    <w:p w14:paraId="4EB6CEF9" w14:textId="13DF403F" w:rsidR="00331FD1" w:rsidRPr="00331FD1" w:rsidRDefault="00331FD1" w:rsidP="003B6F39">
      <w:pPr>
        <w:shd w:val="clear" w:color="auto" w:fill="FFFFFF"/>
        <w:spacing w:before="240" w:after="150"/>
        <w:jc w:val="both"/>
        <w:rPr>
          <w:rFonts w:ascii="Helvetica Neue" w:eastAsia="Times New Roman" w:hAnsi="Helvetica Neue" w:cs="Times New Roman"/>
          <w:color w:val="000000"/>
          <w:sz w:val="21"/>
          <w:szCs w:val="21"/>
        </w:rPr>
      </w:pPr>
      <w:r w:rsidRPr="00331FD1">
        <w:rPr>
          <w:rFonts w:ascii="Helvetica Neue" w:eastAsia="Times New Roman" w:hAnsi="Helvetica Neue" w:cs="Times New Roman"/>
          <w:color w:val="000000"/>
          <w:sz w:val="21"/>
          <w:szCs w:val="21"/>
        </w:rPr>
        <w:t>We begin by locating bubble tea stores in Singapore</w:t>
      </w:r>
      <w:r w:rsidR="00B244A9">
        <w:rPr>
          <w:rFonts w:ascii="Helvetica Neue" w:eastAsia="Times New Roman" w:hAnsi="Helvetica Neue" w:cs="Times New Roman"/>
          <w:color w:val="000000"/>
          <w:sz w:val="21"/>
          <w:szCs w:val="21"/>
        </w:rPr>
        <w:t xml:space="preserve"> using the Foursquare API</w:t>
      </w:r>
      <w:r w:rsidRPr="00331FD1">
        <w:rPr>
          <w:rFonts w:ascii="Helvetica Neue" w:eastAsia="Times New Roman" w:hAnsi="Helvetica Neue" w:cs="Times New Roman"/>
          <w:color w:val="000000"/>
          <w:sz w:val="21"/>
          <w:szCs w:val="21"/>
        </w:rPr>
        <w:t>, and checking if they are often located near shopping malls and Mass Rapid Transit (MRT) stations. We'll then import and visualise population, income and household dwelling data of Singapore's Planning Areas/Subzones[1].</w:t>
      </w:r>
    </w:p>
    <w:p w14:paraId="562EF308" w14:textId="77777777" w:rsidR="00331FD1" w:rsidRPr="00331FD1" w:rsidRDefault="00331FD1" w:rsidP="003B6F39">
      <w:pPr>
        <w:shd w:val="clear" w:color="auto" w:fill="FFFFFF"/>
        <w:spacing w:before="240" w:after="150"/>
        <w:jc w:val="both"/>
        <w:rPr>
          <w:rFonts w:ascii="Helvetica Neue" w:eastAsia="Times New Roman" w:hAnsi="Helvetica Neue" w:cs="Times New Roman"/>
          <w:color w:val="000000"/>
          <w:sz w:val="21"/>
          <w:szCs w:val="21"/>
        </w:rPr>
      </w:pPr>
      <w:r w:rsidRPr="00331FD1">
        <w:rPr>
          <w:rFonts w:ascii="Helvetica Neue" w:eastAsia="Times New Roman" w:hAnsi="Helvetica Neue" w:cs="Times New Roman"/>
          <w:color w:val="000000"/>
          <w:sz w:val="21"/>
          <w:szCs w:val="21"/>
        </w:rPr>
        <w:t>With the above, we'll use a clustering model to find Subzones with similar characteristics, finding patterns in the data that'll show us where best to open a new Xing Fu Tang outlet. Promising areas should also be situated away from existing Xing Fu Tang outlets as well.</w:t>
      </w:r>
    </w:p>
    <w:p w14:paraId="622E6C2C" w14:textId="77777777" w:rsidR="00331FD1" w:rsidRPr="00331FD1" w:rsidRDefault="00C82EC3" w:rsidP="003B6F39">
      <w:pPr>
        <w:shd w:val="clear" w:color="auto" w:fill="FFFFFF"/>
        <w:spacing w:before="300" w:after="300"/>
        <w:jc w:val="both"/>
        <w:rPr>
          <w:rFonts w:ascii="Helvetica Neue" w:eastAsia="Times New Roman" w:hAnsi="Helvetica Neue" w:cs="Times New Roman"/>
          <w:color w:val="000000"/>
          <w:sz w:val="21"/>
          <w:szCs w:val="21"/>
        </w:rPr>
      </w:pPr>
      <w:r w:rsidRPr="00331FD1">
        <w:rPr>
          <w:rFonts w:ascii="Helvetica Neue" w:eastAsia="Times New Roman" w:hAnsi="Helvetica Neue" w:cs="Times New Roman"/>
          <w:noProof/>
          <w:color w:val="000000"/>
          <w:sz w:val="21"/>
          <w:szCs w:val="21"/>
        </w:rPr>
        <w:pict w14:anchorId="6090BAC5">
          <v:rect id="_x0000_i1026" alt="" style="width:451.3pt;height:.05pt;mso-width-percent:0;mso-height-percent:0;mso-width-percent:0;mso-height-percent:0" o:hralign="center" o:hrstd="t" o:hrnoshade="t" o:hr="t" fillcolor="black" stroked="f"/>
        </w:pict>
      </w:r>
    </w:p>
    <w:p w14:paraId="29F8ADE6" w14:textId="521D3863" w:rsidR="00331FD1" w:rsidRDefault="00331FD1" w:rsidP="003B6F39">
      <w:pPr>
        <w:shd w:val="clear" w:color="auto" w:fill="FFFFFF"/>
        <w:spacing w:before="240" w:after="150"/>
        <w:jc w:val="both"/>
        <w:rPr>
          <w:rFonts w:ascii="Helvetica Neue" w:eastAsia="Times New Roman" w:hAnsi="Helvetica Neue" w:cs="Times New Roman"/>
          <w:color w:val="000000"/>
          <w:sz w:val="21"/>
          <w:szCs w:val="21"/>
        </w:rPr>
      </w:pPr>
      <w:r w:rsidRPr="00331FD1">
        <w:rPr>
          <w:rFonts w:ascii="Helvetica Neue" w:eastAsia="Times New Roman" w:hAnsi="Helvetica Neue" w:cs="Times New Roman"/>
          <w:color w:val="000000"/>
          <w:sz w:val="21"/>
          <w:szCs w:val="21"/>
        </w:rPr>
        <w:t>[1] Singapore's first-level and second-level census divisions, respectively.</w:t>
      </w:r>
    </w:p>
    <w:p w14:paraId="287C667E" w14:textId="77777777" w:rsidR="00331FD1" w:rsidRDefault="00331FD1" w:rsidP="003B6F39">
      <w:pPr>
        <w:pStyle w:val="Heading2"/>
        <w:shd w:val="clear" w:color="auto" w:fill="FFFFFF"/>
        <w:spacing w:before="153" w:beforeAutospacing="0" w:after="0" w:afterAutospacing="0"/>
        <w:jc w:val="both"/>
        <w:rPr>
          <w:rFonts w:ascii="inherit" w:hAnsi="inherit"/>
          <w:color w:val="000000"/>
          <w:sz w:val="33"/>
          <w:szCs w:val="33"/>
        </w:rPr>
      </w:pPr>
      <w:r>
        <w:rPr>
          <w:rFonts w:ascii="inherit" w:hAnsi="inherit"/>
          <w:color w:val="000000"/>
          <w:sz w:val="33"/>
          <w:szCs w:val="33"/>
        </w:rPr>
        <w:t>Data</w:t>
      </w:r>
    </w:p>
    <w:p w14:paraId="4774BB3A" w14:textId="77777777" w:rsidR="00331FD1" w:rsidRDefault="00331FD1" w:rsidP="003B6F39">
      <w:pPr>
        <w:pStyle w:val="NormalWeb"/>
        <w:shd w:val="clear" w:color="auto" w:fill="FFFFFF"/>
        <w:spacing w:before="0" w:beforeAutospacing="0" w:after="150" w:afterAutospacing="0"/>
        <w:jc w:val="both"/>
        <w:rPr>
          <w:rFonts w:ascii="Helvetica Neue" w:hAnsi="Helvetica Neue"/>
          <w:color w:val="000000"/>
          <w:sz w:val="21"/>
          <w:szCs w:val="21"/>
        </w:rPr>
      </w:pPr>
      <w:r>
        <w:rPr>
          <w:rFonts w:ascii="Helvetica Neue" w:hAnsi="Helvetica Neue"/>
          <w:color w:val="000000"/>
          <w:sz w:val="21"/>
          <w:szCs w:val="21"/>
        </w:rPr>
        <w:t>Based on the problem defined, we look to group Subzones based on their following features:</w:t>
      </w:r>
    </w:p>
    <w:p w14:paraId="71B35722" w14:textId="61C2EABE"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8" w:history="1">
        <w:r>
          <w:rPr>
            <w:rStyle w:val="Hyperlink"/>
            <w:rFonts w:ascii="Helvetica Neue" w:hAnsi="Helvetica Neue"/>
            <w:color w:val="337AB7"/>
            <w:sz w:val="21"/>
            <w:szCs w:val="21"/>
          </w:rPr>
          <w:t>Planning Area Boundaries</w:t>
        </w:r>
      </w:hyperlink>
      <w:r>
        <w:rPr>
          <w:rFonts w:ascii="Helvetica Neue" w:hAnsi="Helvetica Neue"/>
          <w:color w:val="000000"/>
          <w:sz w:val="21"/>
          <w:szCs w:val="21"/>
        </w:rPr>
        <w:t xml:space="preserve"> – To define Planning Area</w:t>
      </w:r>
    </w:p>
    <w:p w14:paraId="0822ACBD" w14:textId="4F960665"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9" w:history="1">
        <w:r>
          <w:rPr>
            <w:rStyle w:val="Hyperlink"/>
            <w:rFonts w:ascii="Helvetica Neue" w:hAnsi="Helvetica Neue"/>
            <w:color w:val="337AB7"/>
            <w:sz w:val="21"/>
            <w:szCs w:val="21"/>
          </w:rPr>
          <w:t>Subzone Boundaries</w:t>
        </w:r>
      </w:hyperlink>
      <w:r>
        <w:rPr>
          <w:rFonts w:ascii="Helvetica Neue" w:hAnsi="Helvetica Neue"/>
          <w:color w:val="000000"/>
          <w:sz w:val="21"/>
          <w:szCs w:val="21"/>
        </w:rPr>
        <w:t xml:space="preserve"> – To define Subzones</w:t>
      </w:r>
    </w:p>
    <w:p w14:paraId="35498C07" w14:textId="1CD488D8"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10" w:anchor="stores" w:history="1">
        <w:r>
          <w:rPr>
            <w:rStyle w:val="Hyperlink"/>
            <w:rFonts w:ascii="Helvetica Neue" w:hAnsi="Helvetica Neue"/>
            <w:color w:val="337AB7"/>
            <w:sz w:val="21"/>
            <w:szCs w:val="21"/>
          </w:rPr>
          <w:t>Location of existing Xing Fu Tang outlets</w:t>
        </w:r>
      </w:hyperlink>
      <w:r>
        <w:rPr>
          <w:rFonts w:ascii="Helvetica Neue" w:hAnsi="Helvetica Neue"/>
          <w:color w:val="000000"/>
          <w:sz w:val="21"/>
          <w:szCs w:val="21"/>
        </w:rPr>
        <w:t xml:space="preserve"> – To see where Xing Fu Tang already has a presence</w:t>
      </w:r>
      <w:r>
        <w:rPr>
          <w:rFonts w:ascii="Helvetica Neue" w:hAnsi="Helvetica Neue"/>
          <w:color w:val="000000"/>
          <w:sz w:val="21"/>
          <w:szCs w:val="21"/>
        </w:rPr>
        <w:t> </w:t>
      </w:r>
      <w:r w:rsidRPr="00331FD1">
        <w:rPr>
          <w:rFonts w:ascii="Helvetica Neue" w:hAnsi="Helvetica Neue"/>
          <w:color w:val="000000"/>
          <w:sz w:val="21"/>
          <w:szCs w:val="21"/>
        </w:rPr>
        <w:t>[1]</w:t>
      </w:r>
    </w:p>
    <w:p w14:paraId="618DB950" w14:textId="22B826BE"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11" w:history="1">
        <w:r>
          <w:rPr>
            <w:rStyle w:val="Hyperlink"/>
            <w:rFonts w:ascii="Helvetica Neue" w:hAnsi="Helvetica Neue"/>
            <w:color w:val="337AB7"/>
            <w:sz w:val="21"/>
            <w:szCs w:val="21"/>
          </w:rPr>
          <w:t>Location of bubble tea shops from other franchises (Foursquare API)</w:t>
        </w:r>
      </w:hyperlink>
      <w:r>
        <w:rPr>
          <w:rFonts w:ascii="Helvetica Neue" w:hAnsi="Helvetica Neue"/>
          <w:color w:val="000000"/>
          <w:sz w:val="21"/>
          <w:szCs w:val="21"/>
        </w:rPr>
        <w:t xml:space="preserve"> – To understand bubble tea shop location trends and to score clusters negatively</w:t>
      </w:r>
    </w:p>
    <w:p w14:paraId="150B2AED" w14:textId="06C2EC3E"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12" w:history="1">
        <w:r>
          <w:rPr>
            <w:rStyle w:val="Hyperlink"/>
            <w:rFonts w:ascii="Helvetica Neue" w:hAnsi="Helvetica Neue"/>
            <w:color w:val="337AB7"/>
            <w:sz w:val="21"/>
            <w:szCs w:val="21"/>
          </w:rPr>
          <w:t>Location of Mass Rapid Transit (MRT) Stations</w:t>
        </w:r>
      </w:hyperlink>
      <w:r>
        <w:rPr>
          <w:rFonts w:ascii="Helvetica Neue" w:hAnsi="Helvetica Neue"/>
          <w:color w:val="000000"/>
          <w:sz w:val="21"/>
          <w:szCs w:val="21"/>
        </w:rPr>
        <w:t xml:space="preserve"> – To map MRT station locations and relate them to bubble tea shop location trends</w:t>
      </w:r>
    </w:p>
    <w:p w14:paraId="687A790C" w14:textId="60797EC7"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13" w:history="1">
        <w:r>
          <w:rPr>
            <w:rStyle w:val="Hyperlink"/>
            <w:rFonts w:ascii="Helvetica Neue" w:hAnsi="Helvetica Neue"/>
            <w:color w:val="337AB7"/>
            <w:sz w:val="21"/>
            <w:szCs w:val="21"/>
          </w:rPr>
          <w:t>Location of Shopping Malls (Foursquare API)</w:t>
        </w:r>
      </w:hyperlink>
      <w:r w:rsidRPr="00331FD1">
        <w:rPr>
          <w:rFonts w:ascii="Helvetica Neue" w:hAnsi="Helvetica Neue"/>
          <w:color w:val="000000"/>
          <w:sz w:val="21"/>
          <w:szCs w:val="21"/>
        </w:rPr>
        <w:t xml:space="preserve"> </w:t>
      </w:r>
      <w:r>
        <w:rPr>
          <w:rFonts w:ascii="Helvetica Neue" w:hAnsi="Helvetica Neue"/>
          <w:color w:val="000000"/>
          <w:sz w:val="21"/>
          <w:szCs w:val="21"/>
        </w:rPr>
        <w:t xml:space="preserve">– To map </w:t>
      </w:r>
      <w:r>
        <w:rPr>
          <w:rFonts w:ascii="Helvetica Neue" w:hAnsi="Helvetica Neue"/>
          <w:color w:val="000000"/>
          <w:sz w:val="21"/>
          <w:szCs w:val="21"/>
        </w:rPr>
        <w:t>shopping mall</w:t>
      </w:r>
      <w:r>
        <w:rPr>
          <w:rFonts w:ascii="Helvetica Neue" w:hAnsi="Helvetica Neue"/>
          <w:color w:val="000000"/>
          <w:sz w:val="21"/>
          <w:szCs w:val="21"/>
        </w:rPr>
        <w:t xml:space="preserve"> locations and relate them to bubble tea location trends</w:t>
      </w:r>
    </w:p>
    <w:p w14:paraId="3D82AEFB" w14:textId="3EA1893E"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14" w:history="1">
        <w:r>
          <w:rPr>
            <w:rStyle w:val="Hyperlink"/>
            <w:rFonts w:ascii="Helvetica Neue" w:hAnsi="Helvetica Neue"/>
            <w:color w:val="337AB7"/>
            <w:sz w:val="21"/>
            <w:szCs w:val="21"/>
          </w:rPr>
          <w:t>Population of Target Demographic (20 - 44 years o</w:t>
        </w:r>
        <w:r>
          <w:rPr>
            <w:rStyle w:val="Hyperlink"/>
            <w:rFonts w:ascii="Helvetica Neue" w:hAnsi="Helvetica Neue"/>
            <w:color w:val="337AB7"/>
            <w:sz w:val="21"/>
            <w:szCs w:val="21"/>
          </w:rPr>
          <w:t>l</w:t>
        </w:r>
        <w:r>
          <w:rPr>
            <w:rStyle w:val="Hyperlink"/>
            <w:rFonts w:ascii="Helvetica Neue" w:hAnsi="Helvetica Neue"/>
            <w:color w:val="337AB7"/>
            <w:sz w:val="21"/>
            <w:szCs w:val="21"/>
          </w:rPr>
          <w:t>d)</w:t>
        </w:r>
      </w:hyperlink>
      <w:r>
        <w:rPr>
          <w:rFonts w:ascii="Helvetica Neue" w:hAnsi="Helvetica Neue"/>
          <w:color w:val="000000"/>
          <w:sz w:val="21"/>
          <w:szCs w:val="21"/>
        </w:rPr>
        <w:t xml:space="preserve"> – To relate target demographic population in Subzones to bubble tea shop locations </w:t>
      </w:r>
      <w:r w:rsidRPr="00331FD1">
        <w:rPr>
          <w:rFonts w:ascii="Helvetica Neue" w:hAnsi="Helvetica Neue"/>
          <w:color w:val="000000"/>
          <w:sz w:val="21"/>
          <w:szCs w:val="21"/>
        </w:rPr>
        <w:t>[2]</w:t>
      </w:r>
      <w:r>
        <w:rPr>
          <w:rFonts w:ascii="Helvetica Neue" w:hAnsi="Helvetica Neue"/>
          <w:color w:val="000000"/>
          <w:sz w:val="21"/>
          <w:szCs w:val="21"/>
        </w:rPr>
        <w:t> </w:t>
      </w:r>
      <w:hyperlink r:id="rId15" w:history="1">
        <w:r>
          <w:rPr>
            <w:rStyle w:val="Hyperlink"/>
            <w:rFonts w:ascii="Helvetica Neue" w:hAnsi="Helvetica Neue"/>
            <w:color w:val="337AB7"/>
            <w:sz w:val="21"/>
            <w:szCs w:val="21"/>
          </w:rPr>
          <w:t>Reference</w:t>
        </w:r>
      </w:hyperlink>
      <w:r>
        <w:rPr>
          <w:rFonts w:ascii="Helvetica Neue" w:hAnsi="Helvetica Neue"/>
          <w:color w:val="000000"/>
          <w:sz w:val="21"/>
          <w:szCs w:val="21"/>
        </w:rPr>
        <w:t> </w:t>
      </w:r>
      <w:r w:rsidRPr="00331FD1">
        <w:rPr>
          <w:rFonts w:ascii="Helvetica Neue" w:hAnsi="Helvetica Neue"/>
          <w:color w:val="000000"/>
          <w:sz w:val="21"/>
          <w:szCs w:val="21"/>
        </w:rPr>
        <w:t>[3]</w:t>
      </w:r>
    </w:p>
    <w:p w14:paraId="597FA30E" w14:textId="44F10D84"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16" w:history="1">
        <w:r>
          <w:rPr>
            <w:rStyle w:val="Hyperlink"/>
            <w:rFonts w:ascii="Helvetica Neue" w:hAnsi="Helvetica Neue"/>
            <w:color w:val="337AB7"/>
            <w:sz w:val="21"/>
            <w:szCs w:val="21"/>
          </w:rPr>
          <w:t>Median Income of Residents</w:t>
        </w:r>
      </w:hyperlink>
      <w:r>
        <w:rPr>
          <w:rFonts w:ascii="Helvetica Neue" w:hAnsi="Helvetica Neue"/>
          <w:color w:val="000000"/>
          <w:sz w:val="21"/>
          <w:szCs w:val="21"/>
        </w:rPr>
        <w:t xml:space="preserve"> – To </w:t>
      </w:r>
      <w:r>
        <w:rPr>
          <w:rFonts w:ascii="Helvetica Neue" w:hAnsi="Helvetica Neue"/>
          <w:color w:val="000000"/>
          <w:sz w:val="21"/>
          <w:szCs w:val="21"/>
        </w:rPr>
        <w:t xml:space="preserve">relate </w:t>
      </w:r>
      <w:r>
        <w:rPr>
          <w:rFonts w:ascii="Helvetica Neue" w:hAnsi="Helvetica Neue"/>
          <w:color w:val="000000"/>
          <w:sz w:val="21"/>
          <w:szCs w:val="21"/>
        </w:rPr>
        <w:t>median income and bubble tea shop locations</w:t>
      </w:r>
      <w:r>
        <w:rPr>
          <w:rFonts w:ascii="Helvetica Neue" w:hAnsi="Helvetica Neue"/>
          <w:color w:val="000000"/>
          <w:sz w:val="21"/>
          <w:szCs w:val="21"/>
        </w:rPr>
        <w:t> </w:t>
      </w:r>
      <w:r w:rsidRPr="00331FD1">
        <w:rPr>
          <w:rFonts w:ascii="Helvetica Neue" w:hAnsi="Helvetica Neue"/>
          <w:color w:val="000000"/>
          <w:sz w:val="21"/>
          <w:szCs w:val="21"/>
        </w:rPr>
        <w:t>[4]</w:t>
      </w:r>
    </w:p>
    <w:p w14:paraId="109F420E" w14:textId="41F26987" w:rsidR="00331FD1" w:rsidRDefault="00331FD1" w:rsidP="003B6F39">
      <w:pPr>
        <w:numPr>
          <w:ilvl w:val="0"/>
          <w:numId w:val="1"/>
        </w:numPr>
        <w:shd w:val="clear" w:color="auto" w:fill="FFFFFF"/>
        <w:spacing w:before="100" w:beforeAutospacing="1" w:after="100" w:afterAutospacing="1"/>
        <w:jc w:val="both"/>
        <w:rPr>
          <w:rFonts w:ascii="Helvetica Neue" w:hAnsi="Helvetica Neue"/>
          <w:color w:val="000000"/>
          <w:sz w:val="21"/>
          <w:szCs w:val="21"/>
        </w:rPr>
      </w:pPr>
      <w:hyperlink r:id="rId17" w:history="1">
        <w:r>
          <w:rPr>
            <w:rStyle w:val="Hyperlink"/>
            <w:rFonts w:ascii="Helvetica Neue" w:hAnsi="Helvetica Neue"/>
            <w:color w:val="337AB7"/>
            <w:sz w:val="21"/>
            <w:szCs w:val="21"/>
          </w:rPr>
          <w:t>Aggregation of Dwelling Types</w:t>
        </w:r>
      </w:hyperlink>
      <w:r>
        <w:rPr>
          <w:rFonts w:ascii="Helvetica Neue" w:hAnsi="Helvetica Neue"/>
          <w:color w:val="000000"/>
          <w:sz w:val="21"/>
          <w:szCs w:val="21"/>
        </w:rPr>
        <w:t> </w:t>
      </w:r>
      <w:r>
        <w:rPr>
          <w:rFonts w:ascii="Helvetica Neue" w:hAnsi="Helvetica Neue"/>
          <w:color w:val="000000"/>
          <w:sz w:val="21"/>
          <w:szCs w:val="21"/>
        </w:rPr>
        <w:t xml:space="preserve">– </w:t>
      </w:r>
      <w:r>
        <w:rPr>
          <w:rFonts w:ascii="Helvetica Neue" w:hAnsi="Helvetica Neue"/>
          <w:color w:val="000000"/>
          <w:sz w:val="21"/>
          <w:szCs w:val="21"/>
        </w:rPr>
        <w:t>To</w:t>
      </w:r>
      <w:r>
        <w:rPr>
          <w:rFonts w:ascii="Helvetica Neue" w:hAnsi="Helvetica Neue"/>
          <w:color w:val="000000"/>
          <w:sz w:val="21"/>
          <w:szCs w:val="21"/>
        </w:rPr>
        <w:t xml:space="preserve"> </w:t>
      </w:r>
      <w:r>
        <w:rPr>
          <w:rFonts w:ascii="Helvetica Neue" w:hAnsi="Helvetica Neue"/>
          <w:color w:val="000000"/>
          <w:sz w:val="21"/>
          <w:szCs w:val="21"/>
        </w:rPr>
        <w:t xml:space="preserve">relate </w:t>
      </w:r>
      <w:r>
        <w:rPr>
          <w:rFonts w:ascii="Helvetica Neue" w:hAnsi="Helvetica Neue"/>
          <w:color w:val="000000"/>
          <w:sz w:val="21"/>
          <w:szCs w:val="21"/>
        </w:rPr>
        <w:t>household dwelling types</w:t>
      </w:r>
      <w:r>
        <w:rPr>
          <w:rFonts w:ascii="Helvetica Neue" w:hAnsi="Helvetica Neue"/>
          <w:color w:val="000000"/>
          <w:sz w:val="21"/>
          <w:szCs w:val="21"/>
        </w:rPr>
        <w:t xml:space="preserve"> and bubble tea shop locations </w:t>
      </w:r>
      <w:r w:rsidRPr="00331FD1">
        <w:rPr>
          <w:rFonts w:ascii="Helvetica Neue" w:hAnsi="Helvetica Neue"/>
          <w:color w:val="000000"/>
          <w:sz w:val="21"/>
          <w:szCs w:val="21"/>
        </w:rPr>
        <w:t xml:space="preserve"> </w:t>
      </w:r>
      <w:r w:rsidRPr="00331FD1">
        <w:rPr>
          <w:rFonts w:ascii="Helvetica Neue" w:hAnsi="Helvetica Neue"/>
          <w:color w:val="000000"/>
          <w:sz w:val="21"/>
          <w:szCs w:val="21"/>
        </w:rPr>
        <w:t>[2][5]</w:t>
      </w:r>
    </w:p>
    <w:p w14:paraId="48B5D120" w14:textId="77777777" w:rsidR="00331FD1" w:rsidRDefault="00C82EC3" w:rsidP="003B6F39">
      <w:pPr>
        <w:shd w:val="clear" w:color="auto" w:fill="FFFFFF"/>
        <w:spacing w:before="300" w:after="300"/>
        <w:jc w:val="both"/>
        <w:rPr>
          <w:rFonts w:ascii="Helvetica Neue" w:hAnsi="Helvetica Neue"/>
          <w:color w:val="000000"/>
          <w:sz w:val="21"/>
          <w:szCs w:val="21"/>
        </w:rPr>
      </w:pPr>
      <w:r>
        <w:rPr>
          <w:rFonts w:ascii="Helvetica Neue" w:hAnsi="Helvetica Neue"/>
          <w:noProof/>
          <w:color w:val="000000"/>
          <w:sz w:val="21"/>
          <w:szCs w:val="21"/>
        </w:rPr>
        <w:pict w14:anchorId="055BA959">
          <v:rect id="_x0000_i1025" alt="" style="width:451.3pt;height:.05pt;mso-width-percent:0;mso-height-percent:0;mso-width-percent:0;mso-height-percent:0" o:hralign="center" o:hrstd="t" o:hrnoshade="t" o:hr="t" fillcolor="black" stroked="f"/>
        </w:pict>
      </w:r>
    </w:p>
    <w:p w14:paraId="0224A1C1" w14:textId="77777777" w:rsidR="00331FD1" w:rsidRDefault="00331FD1" w:rsidP="003B6F39">
      <w:pPr>
        <w:shd w:val="clear" w:color="auto" w:fill="FFFFFF"/>
        <w:ind w:left="357"/>
        <w:jc w:val="both"/>
        <w:rPr>
          <w:rFonts w:ascii="Helvetica Neue" w:hAnsi="Helvetica Neue"/>
          <w:color w:val="000000"/>
          <w:sz w:val="21"/>
          <w:szCs w:val="21"/>
        </w:rPr>
      </w:pPr>
      <w:r w:rsidRPr="00331FD1">
        <w:rPr>
          <w:rFonts w:ascii="Helvetica Neue" w:hAnsi="Helvetica Neue"/>
          <w:color w:val="000000"/>
          <w:sz w:val="21"/>
          <w:szCs w:val="21"/>
        </w:rPr>
        <w:t>[1]</w:t>
      </w:r>
      <w:r>
        <w:rPr>
          <w:rFonts w:ascii="Helvetica Neue" w:hAnsi="Helvetica Neue"/>
          <w:color w:val="000000"/>
          <w:sz w:val="21"/>
          <w:szCs w:val="21"/>
        </w:rPr>
        <w:t> Locations scraped from official website</w:t>
      </w:r>
    </w:p>
    <w:p w14:paraId="525E1685" w14:textId="221917EB" w:rsidR="00331FD1" w:rsidRDefault="00331FD1" w:rsidP="003B6F39">
      <w:pPr>
        <w:shd w:val="clear" w:color="auto" w:fill="FFFFFF"/>
        <w:ind w:left="357"/>
        <w:jc w:val="both"/>
        <w:rPr>
          <w:rFonts w:ascii="Helvetica Neue" w:hAnsi="Helvetica Neue"/>
          <w:color w:val="000000"/>
          <w:sz w:val="21"/>
          <w:szCs w:val="21"/>
        </w:rPr>
      </w:pPr>
      <w:r w:rsidRPr="00331FD1">
        <w:rPr>
          <w:rFonts w:ascii="Helvetica Neue" w:hAnsi="Helvetica Neue"/>
          <w:color w:val="000000"/>
          <w:sz w:val="21"/>
          <w:szCs w:val="21"/>
        </w:rPr>
        <w:t>[2]</w:t>
      </w:r>
      <w:r>
        <w:rPr>
          <w:rFonts w:ascii="Helvetica Neue" w:hAnsi="Helvetica Neue"/>
          <w:color w:val="000000"/>
          <w:sz w:val="21"/>
          <w:szCs w:val="21"/>
        </w:rPr>
        <w:t> Population Trends &gt; Singapore Residents by Planning Area</w:t>
      </w:r>
      <w:r>
        <w:rPr>
          <w:rFonts w:ascii="Helvetica Neue" w:hAnsi="Helvetica Neue"/>
          <w:color w:val="000000"/>
          <w:sz w:val="21"/>
          <w:szCs w:val="21"/>
        </w:rPr>
        <w:t xml:space="preserve">, </w:t>
      </w:r>
      <w:r>
        <w:rPr>
          <w:rFonts w:ascii="Helvetica Neue" w:hAnsi="Helvetica Neue"/>
          <w:color w:val="000000"/>
          <w:sz w:val="21"/>
          <w:szCs w:val="21"/>
        </w:rPr>
        <w:t>Subzone, Age Group, Sex and Type of Dwelling, June 2011-2020</w:t>
      </w:r>
    </w:p>
    <w:p w14:paraId="7E92C900" w14:textId="77777777" w:rsidR="00331FD1" w:rsidRDefault="00331FD1" w:rsidP="003B6F39">
      <w:pPr>
        <w:shd w:val="clear" w:color="auto" w:fill="FFFFFF"/>
        <w:ind w:left="357"/>
        <w:jc w:val="both"/>
        <w:rPr>
          <w:rFonts w:ascii="Helvetica Neue" w:hAnsi="Helvetica Neue"/>
          <w:color w:val="000000"/>
          <w:sz w:val="21"/>
          <w:szCs w:val="21"/>
        </w:rPr>
      </w:pPr>
      <w:r w:rsidRPr="00331FD1">
        <w:rPr>
          <w:rFonts w:ascii="Helvetica Neue" w:hAnsi="Helvetica Neue"/>
          <w:color w:val="000000"/>
          <w:sz w:val="21"/>
          <w:szCs w:val="21"/>
        </w:rPr>
        <w:t>[3]</w:t>
      </w:r>
      <w:r>
        <w:rPr>
          <w:rFonts w:ascii="Helvetica Neue" w:hAnsi="Helvetica Neue"/>
          <w:color w:val="000000"/>
          <w:sz w:val="21"/>
          <w:szCs w:val="21"/>
        </w:rPr>
        <w:t> Assumption: Share of bubble tea consumers in Singapore in 2021 is similar to that of China in 2019</w:t>
      </w:r>
    </w:p>
    <w:p w14:paraId="6036104A" w14:textId="77777777" w:rsidR="00331FD1" w:rsidRDefault="00331FD1" w:rsidP="003B6F39">
      <w:pPr>
        <w:shd w:val="clear" w:color="auto" w:fill="FFFFFF"/>
        <w:ind w:left="357"/>
        <w:jc w:val="both"/>
        <w:rPr>
          <w:rFonts w:ascii="Helvetica Neue" w:hAnsi="Helvetica Neue"/>
          <w:color w:val="000000"/>
          <w:sz w:val="21"/>
          <w:szCs w:val="21"/>
        </w:rPr>
      </w:pPr>
      <w:r w:rsidRPr="00331FD1">
        <w:rPr>
          <w:rFonts w:ascii="Helvetica Neue" w:hAnsi="Helvetica Neue"/>
          <w:color w:val="000000"/>
          <w:sz w:val="21"/>
          <w:szCs w:val="21"/>
        </w:rPr>
        <w:t>[4]</w:t>
      </w:r>
      <w:r>
        <w:rPr>
          <w:rFonts w:ascii="Helvetica Neue" w:hAnsi="Helvetica Neue"/>
          <w:color w:val="000000"/>
          <w:sz w:val="21"/>
          <w:szCs w:val="21"/>
        </w:rPr>
        <w:t> General Household Survey 2015 &gt; Resident Working Persons Aged 15 Years and Over</w:t>
      </w:r>
    </w:p>
    <w:p w14:paraId="151BDA80" w14:textId="7D321CA9" w:rsidR="00331FD1" w:rsidRDefault="00331FD1" w:rsidP="003B6F39">
      <w:pPr>
        <w:shd w:val="clear" w:color="auto" w:fill="FFFFFF"/>
        <w:ind w:left="357"/>
        <w:jc w:val="both"/>
        <w:rPr>
          <w:rFonts w:ascii="Helvetica Neue" w:hAnsi="Helvetica Neue"/>
          <w:color w:val="000000"/>
          <w:sz w:val="21"/>
          <w:szCs w:val="21"/>
        </w:rPr>
      </w:pPr>
      <w:r w:rsidRPr="00331FD1">
        <w:rPr>
          <w:rFonts w:ascii="Helvetica Neue" w:hAnsi="Helvetica Neue"/>
          <w:color w:val="000000"/>
          <w:sz w:val="21"/>
          <w:szCs w:val="21"/>
        </w:rPr>
        <w:t>[5]</w:t>
      </w:r>
      <w:r>
        <w:rPr>
          <w:rFonts w:ascii="Helvetica Neue" w:hAnsi="Helvetica Neue"/>
          <w:color w:val="000000"/>
          <w:sz w:val="21"/>
          <w:szCs w:val="21"/>
        </w:rPr>
        <w:t> e.g. HDB Flats, Landed Property etc.</w:t>
      </w:r>
    </w:p>
    <w:p w14:paraId="0682703E" w14:textId="77777777" w:rsidR="00331FD1" w:rsidRDefault="00331FD1" w:rsidP="003B6F39">
      <w:pPr>
        <w:pStyle w:val="NormalWeb"/>
        <w:shd w:val="clear" w:color="auto" w:fill="FFFFFF"/>
        <w:spacing w:before="240" w:beforeAutospacing="0" w:after="150" w:afterAutospacing="0"/>
        <w:jc w:val="both"/>
        <w:rPr>
          <w:rFonts w:ascii="Helvetica Neue" w:hAnsi="Helvetica Neue"/>
          <w:color w:val="000000"/>
          <w:sz w:val="21"/>
          <w:szCs w:val="21"/>
        </w:rPr>
      </w:pPr>
    </w:p>
    <w:p w14:paraId="4608FD2A" w14:textId="0D11C152" w:rsidR="00331FD1" w:rsidRPr="00331FD1" w:rsidRDefault="00331FD1" w:rsidP="003B6F39">
      <w:pPr>
        <w:pStyle w:val="Heading2"/>
        <w:shd w:val="clear" w:color="auto" w:fill="FFFFFF"/>
        <w:spacing w:before="153" w:beforeAutospacing="0" w:after="0" w:afterAutospacing="0"/>
        <w:jc w:val="both"/>
        <w:rPr>
          <w:rFonts w:ascii="inherit" w:hAnsi="inherit"/>
          <w:color w:val="000000"/>
          <w:sz w:val="33"/>
          <w:szCs w:val="33"/>
        </w:rPr>
      </w:pPr>
      <w:r w:rsidRPr="00331FD1">
        <w:rPr>
          <w:rFonts w:ascii="inherit" w:hAnsi="inherit"/>
          <w:color w:val="000000"/>
          <w:sz w:val="33"/>
          <w:szCs w:val="33"/>
        </w:rPr>
        <w:t>Python Modules</w:t>
      </w:r>
    </w:p>
    <w:p w14:paraId="581A5344" w14:textId="242AF902"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r w:rsidRPr="00331FD1">
        <w:rPr>
          <w:rFonts w:ascii="Helvetica Neue" w:hAnsi="Helvetica Neue" w:cs="Helvetica Neue"/>
          <w:color w:val="1F1F1F"/>
          <w:sz w:val="21"/>
          <w:szCs w:val="21"/>
          <w:lang w:val="en-GB"/>
        </w:rPr>
        <w:fldChar w:fldCharType="begin"/>
      </w:r>
      <w:r w:rsidRPr="00331FD1">
        <w:rPr>
          <w:rFonts w:ascii="Helvetica Neue" w:hAnsi="Helvetica Neue" w:cs="Helvetica Neue"/>
          <w:color w:val="1F1F1F"/>
          <w:sz w:val="21"/>
          <w:szCs w:val="21"/>
          <w:lang w:val="en-GB"/>
        </w:rPr>
        <w:instrText>HYPERLINK "https://pypi.org/project/pandas/"</w:instrText>
      </w:r>
      <w:r w:rsidRPr="00331FD1">
        <w:rPr>
          <w:sz w:val="21"/>
          <w:szCs w:val="21"/>
          <w:lang w:val="en-GB"/>
        </w:rPr>
      </w:r>
      <w:r w:rsidRPr="00331FD1">
        <w:rPr>
          <w:rFonts w:ascii="Helvetica Neue" w:hAnsi="Helvetica Neue" w:cs="Helvetica Neue"/>
          <w:color w:val="1F1F1F"/>
          <w:sz w:val="21"/>
          <w:szCs w:val="21"/>
          <w:lang w:val="en-GB"/>
        </w:rPr>
        <w:fldChar w:fldCharType="separate"/>
      </w:r>
      <w:r w:rsidRPr="00331FD1">
        <w:rPr>
          <w:rFonts w:ascii="Helvetica Neue" w:hAnsi="Helvetica Neue" w:cs="Helvetica Neue"/>
          <w:color w:val="1F1F1F"/>
          <w:sz w:val="21"/>
          <w:szCs w:val="21"/>
          <w:u w:val="single"/>
          <w:lang w:val="en-GB"/>
        </w:rPr>
        <w:t>Pandas</w:t>
      </w:r>
      <w:r w:rsidRPr="00331FD1">
        <w:rPr>
          <w:rFonts w:ascii="Helvetica Neue" w:hAnsi="Helvetica Neue" w:cs="Helvetica Neue"/>
          <w:color w:val="1F1F1F"/>
          <w:sz w:val="21"/>
          <w:szCs w:val="21"/>
          <w:lang w:val="en-GB"/>
        </w:rPr>
        <w:fldChar w:fldCharType="end"/>
      </w:r>
      <w:r w:rsidRPr="00331FD1">
        <w:rPr>
          <w:rFonts w:ascii="Helvetica Neue" w:hAnsi="Helvetica Neue" w:cs="Helvetica Neue"/>
          <w:color w:val="1F1F1F"/>
          <w:sz w:val="21"/>
          <w:szCs w:val="21"/>
          <w:lang w:val="en-GB"/>
        </w:rPr>
        <w:t> — Data manipulation and analysis library</w:t>
      </w:r>
    </w:p>
    <w:p w14:paraId="04F92C9A" w14:textId="462EBD3B"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18" w:history="1">
        <w:r w:rsidRPr="00331FD1">
          <w:rPr>
            <w:rFonts w:ascii="Helvetica Neue" w:hAnsi="Helvetica Neue" w:cs="Helvetica Neue"/>
            <w:color w:val="1F1F1F"/>
            <w:sz w:val="21"/>
            <w:szCs w:val="21"/>
            <w:u w:val="single"/>
            <w:lang w:val="en-GB"/>
          </w:rPr>
          <w:t>Folium</w:t>
        </w:r>
      </w:hyperlink>
      <w:r w:rsidRPr="00331FD1">
        <w:rPr>
          <w:rFonts w:ascii="Helvetica Neue" w:hAnsi="Helvetica Neue" w:cs="Helvetica Neue"/>
          <w:color w:val="1F1F1F"/>
          <w:sz w:val="21"/>
          <w:szCs w:val="21"/>
          <w:lang w:val="en-GB"/>
        </w:rPr>
        <w:t> — Mapping module that visualises data on Leaflet.js maps</w:t>
      </w:r>
    </w:p>
    <w:p w14:paraId="6630BBB4" w14:textId="4A3D784F"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19" w:history="1">
        <w:r w:rsidRPr="00331FD1">
          <w:rPr>
            <w:rFonts w:ascii="Helvetica Neue" w:hAnsi="Helvetica Neue" w:cs="Helvetica Neue"/>
            <w:color w:val="1F1F1F"/>
            <w:sz w:val="21"/>
            <w:szCs w:val="21"/>
            <w:u w:val="single"/>
            <w:lang w:val="en-GB"/>
          </w:rPr>
          <w:t>Beautiful Soup</w:t>
        </w:r>
      </w:hyperlink>
      <w:r w:rsidRPr="00331FD1">
        <w:rPr>
          <w:rFonts w:ascii="Helvetica Neue" w:hAnsi="Helvetica Neue" w:cs="Helvetica Neue"/>
          <w:color w:val="1F1F1F"/>
          <w:sz w:val="21"/>
          <w:szCs w:val="21"/>
          <w:lang w:val="en-GB"/>
        </w:rPr>
        <w:t> — Used for web scraping</w:t>
      </w:r>
    </w:p>
    <w:p w14:paraId="769DC539" w14:textId="4F42FCC1"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20" w:history="1">
        <w:proofErr w:type="spellStart"/>
        <w:r w:rsidRPr="00331FD1">
          <w:rPr>
            <w:rFonts w:ascii="Helvetica Neue" w:hAnsi="Helvetica Neue" w:cs="Helvetica Neue"/>
            <w:color w:val="1F1F1F"/>
            <w:sz w:val="21"/>
            <w:szCs w:val="21"/>
            <w:u w:val="single"/>
            <w:lang w:val="en-GB"/>
          </w:rPr>
          <w:t>Geopandas</w:t>
        </w:r>
        <w:proofErr w:type="spellEnd"/>
      </w:hyperlink>
      <w:r w:rsidRPr="00331FD1">
        <w:rPr>
          <w:rFonts w:ascii="Helvetica Neue" w:hAnsi="Helvetica Neue" w:cs="Helvetica Neue"/>
          <w:color w:val="1F1F1F"/>
          <w:sz w:val="21"/>
          <w:szCs w:val="21"/>
          <w:lang w:val="en-GB"/>
        </w:rPr>
        <w:t> — Adds support for geographic data to pandas objects</w:t>
      </w:r>
    </w:p>
    <w:p w14:paraId="1DA41DEF" w14:textId="566E492F"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21" w:history="1">
        <w:proofErr w:type="spellStart"/>
        <w:r w:rsidRPr="00331FD1">
          <w:rPr>
            <w:rFonts w:ascii="Helvetica Neue" w:hAnsi="Helvetica Neue" w:cs="Helvetica Neue"/>
            <w:color w:val="1F1F1F"/>
            <w:sz w:val="21"/>
            <w:szCs w:val="21"/>
            <w:u w:val="single"/>
            <w:lang w:val="en-GB"/>
          </w:rPr>
          <w:t>geopy.geocoders.Nominatim</w:t>
        </w:r>
        <w:proofErr w:type="spellEnd"/>
      </w:hyperlink>
      <w:r w:rsidRPr="00331FD1">
        <w:rPr>
          <w:rFonts w:ascii="Helvetica Neue" w:hAnsi="Helvetica Neue" w:cs="Helvetica Neue"/>
          <w:color w:val="1F1F1F"/>
          <w:sz w:val="21"/>
          <w:szCs w:val="21"/>
          <w:lang w:val="en-GB"/>
        </w:rPr>
        <w:t xml:space="preserve"> — Function that returns OpenStreetMap </w:t>
      </w:r>
      <w:r w:rsidRPr="00331FD1">
        <w:rPr>
          <w:rFonts w:ascii="Helvetica Neue" w:hAnsi="Helvetica Neue" w:cs="Helvetica Neue"/>
          <w:color w:val="1F1F1F"/>
          <w:sz w:val="21"/>
          <w:szCs w:val="21"/>
          <w:lang w:val="en-GB"/>
        </w:rPr>
        <w:t>d</w:t>
      </w:r>
      <w:r w:rsidRPr="00331FD1">
        <w:rPr>
          <w:rFonts w:ascii="Helvetica Neue" w:hAnsi="Helvetica Neue" w:cs="Helvetica Neue"/>
          <w:color w:val="1F1F1F"/>
          <w:sz w:val="21"/>
          <w:szCs w:val="21"/>
          <w:lang w:val="en-GB"/>
        </w:rPr>
        <w:t>ata when given an address</w:t>
      </w:r>
    </w:p>
    <w:p w14:paraId="3C1D27FA" w14:textId="24734B0B"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22" w:history="1">
        <w:r w:rsidRPr="00331FD1">
          <w:rPr>
            <w:rFonts w:ascii="Helvetica Neue" w:hAnsi="Helvetica Neue" w:cs="Helvetica Neue"/>
            <w:color w:val="1F1F1F"/>
            <w:sz w:val="21"/>
            <w:szCs w:val="21"/>
            <w:u w:val="single"/>
            <w:lang w:val="en-GB"/>
          </w:rPr>
          <w:t>Shapely</w:t>
        </w:r>
      </w:hyperlink>
      <w:r w:rsidRPr="00331FD1">
        <w:rPr>
          <w:rFonts w:ascii="Helvetica Neue" w:hAnsi="Helvetica Neue" w:cs="Helvetica Neue"/>
          <w:color w:val="1F1F1F"/>
          <w:sz w:val="21"/>
          <w:szCs w:val="21"/>
          <w:lang w:val="en-GB"/>
        </w:rPr>
        <w:t> — Geometric object manipulation</w:t>
      </w:r>
    </w:p>
    <w:p w14:paraId="4593669B" w14:textId="46EDF7E6"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23" w:history="1">
        <w:proofErr w:type="spellStart"/>
        <w:r w:rsidRPr="00331FD1">
          <w:rPr>
            <w:rFonts w:ascii="Helvetica Neue" w:hAnsi="Helvetica Neue" w:cs="Helvetica Neue"/>
            <w:color w:val="1F1F1F"/>
            <w:sz w:val="21"/>
            <w:szCs w:val="21"/>
            <w:u w:val="single"/>
            <w:lang w:val="en-GB"/>
          </w:rPr>
          <w:t>sklearn</w:t>
        </w:r>
        <w:proofErr w:type="spellEnd"/>
      </w:hyperlink>
      <w:r w:rsidRPr="00331FD1">
        <w:rPr>
          <w:rFonts w:ascii="Helvetica Neue" w:hAnsi="Helvetica Neue" w:cs="Helvetica Neue"/>
          <w:color w:val="1F1F1F"/>
          <w:sz w:val="21"/>
          <w:szCs w:val="21"/>
          <w:lang w:val="en-GB"/>
        </w:rPr>
        <w:t> — Machine learning library</w:t>
      </w:r>
    </w:p>
    <w:p w14:paraId="42D41868" w14:textId="2AA6CED0"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24" w:history="1">
        <w:r w:rsidRPr="00331FD1">
          <w:rPr>
            <w:rFonts w:ascii="Helvetica Neue" w:hAnsi="Helvetica Neue" w:cs="Helvetica Neue"/>
            <w:color w:val="1F1F1F"/>
            <w:sz w:val="21"/>
            <w:szCs w:val="21"/>
            <w:u w:val="single"/>
            <w:lang w:val="en-GB"/>
          </w:rPr>
          <w:t>Matplotlib</w:t>
        </w:r>
      </w:hyperlink>
      <w:r w:rsidRPr="00331FD1">
        <w:rPr>
          <w:rFonts w:ascii="Helvetica Neue" w:hAnsi="Helvetica Neue" w:cs="Helvetica Neue"/>
          <w:color w:val="1F1F1F"/>
          <w:sz w:val="21"/>
          <w:szCs w:val="21"/>
          <w:lang w:val="en-GB"/>
        </w:rPr>
        <w:t> — Data visualisation library</w:t>
      </w:r>
    </w:p>
    <w:p w14:paraId="5DB92E4A" w14:textId="562B2401"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25" w:history="1">
        <w:proofErr w:type="spellStart"/>
        <w:r w:rsidRPr="00331FD1">
          <w:rPr>
            <w:rFonts w:ascii="Helvetica Neue" w:hAnsi="Helvetica Neue" w:cs="Helvetica Neue"/>
            <w:color w:val="1F1F1F"/>
            <w:sz w:val="21"/>
            <w:szCs w:val="21"/>
            <w:u w:val="single"/>
            <w:lang w:val="en-GB"/>
          </w:rPr>
          <w:t>Branca</w:t>
        </w:r>
        <w:proofErr w:type="spellEnd"/>
      </w:hyperlink>
      <w:r w:rsidRPr="00331FD1">
        <w:rPr>
          <w:rFonts w:ascii="Helvetica Neue" w:hAnsi="Helvetica Neue" w:cs="Helvetica Neue"/>
          <w:color w:val="1F1F1F"/>
          <w:sz w:val="21"/>
          <w:szCs w:val="21"/>
          <w:lang w:val="en-GB"/>
        </w:rPr>
        <w:t> — Folium element/colour manipulation</w:t>
      </w:r>
    </w:p>
    <w:p w14:paraId="1B2E9D1D" w14:textId="77777777"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hyperlink r:id="rId26" w:history="1">
        <w:r w:rsidRPr="00331FD1">
          <w:rPr>
            <w:rFonts w:ascii="Helvetica Neue" w:hAnsi="Helvetica Neue" w:cs="Helvetica Neue"/>
            <w:color w:val="1F1F1F"/>
            <w:sz w:val="21"/>
            <w:szCs w:val="21"/>
            <w:u w:val="single"/>
            <w:lang w:val="en-GB"/>
          </w:rPr>
          <w:t>requests</w:t>
        </w:r>
      </w:hyperlink>
      <w:r w:rsidRPr="00331FD1">
        <w:rPr>
          <w:rFonts w:ascii="Helvetica Neue" w:hAnsi="Helvetica Neue" w:cs="Helvetica Neue"/>
          <w:color w:val="1F1F1F"/>
          <w:sz w:val="21"/>
          <w:szCs w:val="21"/>
          <w:lang w:val="en-GB"/>
        </w:rPr>
        <w:t> — To send HTTP requests</w:t>
      </w:r>
    </w:p>
    <w:p w14:paraId="1F90DBFC" w14:textId="1E1B5F95" w:rsidR="00331FD1" w:rsidRPr="00331FD1" w:rsidRDefault="00331FD1" w:rsidP="003B6F39">
      <w:pPr>
        <w:pStyle w:val="ListParagraph"/>
        <w:numPr>
          <w:ilvl w:val="0"/>
          <w:numId w:val="3"/>
        </w:numPr>
        <w:tabs>
          <w:tab w:val="left" w:pos="220"/>
          <w:tab w:val="left" w:pos="720"/>
        </w:tabs>
        <w:autoSpaceDE w:val="0"/>
        <w:autoSpaceDN w:val="0"/>
        <w:adjustRightInd w:val="0"/>
        <w:spacing w:line="360" w:lineRule="auto"/>
        <w:jc w:val="both"/>
        <w:rPr>
          <w:rFonts w:ascii="Helvetica Neue" w:hAnsi="Helvetica Neue" w:cs="Helvetica Neue"/>
          <w:color w:val="1F1F1F"/>
          <w:sz w:val="21"/>
          <w:szCs w:val="21"/>
          <w:lang w:val="en-GB"/>
        </w:rPr>
      </w:pPr>
      <w:r w:rsidRPr="00331FD1">
        <w:rPr>
          <w:rFonts w:ascii="Helvetica Neue" w:hAnsi="Helvetica Neue" w:cs="Helvetica Neue"/>
          <w:color w:val="1F1F1F"/>
          <w:sz w:val="21"/>
          <w:szCs w:val="21"/>
          <w:lang w:val="en-GB"/>
        </w:rPr>
        <w:t xml:space="preserve">Miscellaneous: math, </w:t>
      </w:r>
      <w:proofErr w:type="spellStart"/>
      <w:r w:rsidRPr="00331FD1">
        <w:rPr>
          <w:rFonts w:ascii="Helvetica Neue" w:hAnsi="Helvetica Neue" w:cs="Helvetica Neue"/>
          <w:color w:val="1F1F1F"/>
          <w:sz w:val="21"/>
          <w:szCs w:val="21"/>
          <w:lang w:val="en-GB"/>
        </w:rPr>
        <w:t>os</w:t>
      </w:r>
      <w:proofErr w:type="spellEnd"/>
    </w:p>
    <w:p w14:paraId="54EED0FC" w14:textId="77777777" w:rsidR="00331FD1" w:rsidRPr="00331FD1" w:rsidRDefault="00331FD1" w:rsidP="003B6F39">
      <w:pPr>
        <w:jc w:val="both"/>
        <w:rPr>
          <w:sz w:val="25"/>
          <w:szCs w:val="25"/>
        </w:rPr>
      </w:pPr>
    </w:p>
    <w:sectPr w:rsidR="00331FD1" w:rsidRPr="0033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531CB9"/>
    <w:multiLevelType w:val="hybridMultilevel"/>
    <w:tmpl w:val="26FAA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974E94"/>
    <w:multiLevelType w:val="multilevel"/>
    <w:tmpl w:val="706A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2C"/>
    <w:rsid w:val="001F4F3D"/>
    <w:rsid w:val="00331FD1"/>
    <w:rsid w:val="003B6F39"/>
    <w:rsid w:val="004D002C"/>
    <w:rsid w:val="00B244A9"/>
    <w:rsid w:val="00C82EC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D062"/>
  <w15:chartTrackingRefBased/>
  <w15:docId w15:val="{1850D183-72D6-D941-A8C9-3EE155DB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FD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F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FD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31FD1"/>
    <w:rPr>
      <w:color w:val="5A5A5A" w:themeColor="text1" w:themeTint="A5"/>
      <w:spacing w:val="15"/>
      <w:sz w:val="22"/>
      <w:szCs w:val="22"/>
    </w:rPr>
  </w:style>
  <w:style w:type="character" w:customStyle="1" w:styleId="Heading2Char">
    <w:name w:val="Heading 2 Char"/>
    <w:basedOn w:val="DefaultParagraphFont"/>
    <w:link w:val="Heading2"/>
    <w:uiPriority w:val="9"/>
    <w:rsid w:val="00331FD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31FD1"/>
    <w:rPr>
      <w:color w:val="0000FF"/>
      <w:u w:val="single"/>
    </w:rPr>
  </w:style>
  <w:style w:type="paragraph" w:styleId="NormalWeb">
    <w:name w:val="Normal (Web)"/>
    <w:basedOn w:val="Normal"/>
    <w:uiPriority w:val="99"/>
    <w:semiHidden/>
    <w:unhideWhenUsed/>
    <w:rsid w:val="00331FD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1FD1"/>
    <w:rPr>
      <w:b/>
      <w:bCs/>
    </w:rPr>
  </w:style>
  <w:style w:type="character" w:styleId="FollowedHyperlink">
    <w:name w:val="FollowedHyperlink"/>
    <w:basedOn w:val="DefaultParagraphFont"/>
    <w:uiPriority w:val="99"/>
    <w:semiHidden/>
    <w:unhideWhenUsed/>
    <w:rsid w:val="00331FD1"/>
    <w:rPr>
      <w:color w:val="954F72" w:themeColor="followedHyperlink"/>
      <w:u w:val="single"/>
    </w:rPr>
  </w:style>
  <w:style w:type="paragraph" w:styleId="ListParagraph">
    <w:name w:val="List Paragraph"/>
    <w:basedOn w:val="Normal"/>
    <w:uiPriority w:val="34"/>
    <w:qFormat/>
    <w:rsid w:val="00331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09487">
      <w:bodyDiv w:val="1"/>
      <w:marLeft w:val="0"/>
      <w:marRight w:val="0"/>
      <w:marTop w:val="0"/>
      <w:marBottom w:val="0"/>
      <w:divBdr>
        <w:top w:val="none" w:sz="0" w:space="0" w:color="auto"/>
        <w:left w:val="none" w:sz="0" w:space="0" w:color="auto"/>
        <w:bottom w:val="none" w:sz="0" w:space="0" w:color="auto"/>
        <w:right w:val="none" w:sz="0" w:space="0" w:color="auto"/>
      </w:divBdr>
      <w:divsChild>
        <w:div w:id="280383450">
          <w:marLeft w:val="0"/>
          <w:marRight w:val="0"/>
          <w:marTop w:val="0"/>
          <w:marBottom w:val="0"/>
          <w:divBdr>
            <w:top w:val="single" w:sz="6" w:space="4" w:color="auto"/>
            <w:left w:val="single" w:sz="6" w:space="4" w:color="auto"/>
            <w:bottom w:val="single" w:sz="6" w:space="4" w:color="auto"/>
            <w:right w:val="single" w:sz="6" w:space="4" w:color="auto"/>
          </w:divBdr>
          <w:divsChild>
            <w:div w:id="295567687">
              <w:marLeft w:val="0"/>
              <w:marRight w:val="0"/>
              <w:marTop w:val="0"/>
              <w:marBottom w:val="0"/>
              <w:divBdr>
                <w:top w:val="none" w:sz="0" w:space="0" w:color="auto"/>
                <w:left w:val="none" w:sz="0" w:space="0" w:color="auto"/>
                <w:bottom w:val="none" w:sz="0" w:space="0" w:color="auto"/>
                <w:right w:val="none" w:sz="0" w:space="0" w:color="auto"/>
              </w:divBdr>
              <w:divsChild>
                <w:div w:id="5231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7699">
          <w:marLeft w:val="0"/>
          <w:marRight w:val="0"/>
          <w:marTop w:val="0"/>
          <w:marBottom w:val="0"/>
          <w:divBdr>
            <w:top w:val="single" w:sz="6" w:space="4" w:color="auto"/>
            <w:left w:val="single" w:sz="6" w:space="4" w:color="auto"/>
            <w:bottom w:val="single" w:sz="6" w:space="4" w:color="auto"/>
            <w:right w:val="single" w:sz="6" w:space="4" w:color="auto"/>
          </w:divBdr>
          <w:divsChild>
            <w:div w:id="501286581">
              <w:marLeft w:val="0"/>
              <w:marRight w:val="0"/>
              <w:marTop w:val="0"/>
              <w:marBottom w:val="0"/>
              <w:divBdr>
                <w:top w:val="none" w:sz="0" w:space="0" w:color="auto"/>
                <w:left w:val="none" w:sz="0" w:space="0" w:color="auto"/>
                <w:bottom w:val="none" w:sz="0" w:space="0" w:color="auto"/>
                <w:right w:val="none" w:sz="0" w:space="0" w:color="auto"/>
              </w:divBdr>
              <w:divsChild>
                <w:div w:id="19980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0477">
          <w:marLeft w:val="0"/>
          <w:marRight w:val="0"/>
          <w:marTop w:val="0"/>
          <w:marBottom w:val="0"/>
          <w:divBdr>
            <w:top w:val="single" w:sz="6" w:space="4" w:color="auto"/>
            <w:left w:val="single" w:sz="6" w:space="4" w:color="auto"/>
            <w:bottom w:val="single" w:sz="6" w:space="4" w:color="auto"/>
            <w:right w:val="single" w:sz="6" w:space="4" w:color="auto"/>
          </w:divBdr>
          <w:divsChild>
            <w:div w:id="550073788">
              <w:marLeft w:val="0"/>
              <w:marRight w:val="0"/>
              <w:marTop w:val="0"/>
              <w:marBottom w:val="0"/>
              <w:divBdr>
                <w:top w:val="none" w:sz="0" w:space="0" w:color="auto"/>
                <w:left w:val="none" w:sz="0" w:space="0" w:color="auto"/>
                <w:bottom w:val="none" w:sz="0" w:space="0" w:color="auto"/>
                <w:right w:val="none" w:sz="0" w:space="0" w:color="auto"/>
              </w:divBdr>
              <w:divsChild>
                <w:div w:id="20533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431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3">
          <w:marLeft w:val="0"/>
          <w:marRight w:val="0"/>
          <w:marTop w:val="0"/>
          <w:marBottom w:val="0"/>
          <w:divBdr>
            <w:top w:val="single" w:sz="6" w:space="4" w:color="auto"/>
            <w:left w:val="single" w:sz="6" w:space="4" w:color="auto"/>
            <w:bottom w:val="single" w:sz="6" w:space="4" w:color="auto"/>
            <w:right w:val="single" w:sz="6" w:space="4" w:color="auto"/>
          </w:divBdr>
          <w:divsChild>
            <w:div w:id="1220364688">
              <w:marLeft w:val="0"/>
              <w:marRight w:val="0"/>
              <w:marTop w:val="0"/>
              <w:marBottom w:val="0"/>
              <w:divBdr>
                <w:top w:val="none" w:sz="0" w:space="0" w:color="auto"/>
                <w:left w:val="none" w:sz="0" w:space="0" w:color="auto"/>
                <w:bottom w:val="none" w:sz="0" w:space="0" w:color="auto"/>
                <w:right w:val="none" w:sz="0" w:space="0" w:color="auto"/>
              </w:divBdr>
              <w:divsChild>
                <w:div w:id="823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62">
          <w:marLeft w:val="0"/>
          <w:marRight w:val="0"/>
          <w:marTop w:val="0"/>
          <w:marBottom w:val="0"/>
          <w:divBdr>
            <w:top w:val="single" w:sz="6" w:space="4" w:color="auto"/>
            <w:left w:val="single" w:sz="6" w:space="4" w:color="auto"/>
            <w:bottom w:val="single" w:sz="6" w:space="4" w:color="auto"/>
            <w:right w:val="single" w:sz="6" w:space="4" w:color="auto"/>
          </w:divBdr>
          <w:divsChild>
            <w:div w:id="77602383">
              <w:marLeft w:val="0"/>
              <w:marRight w:val="0"/>
              <w:marTop w:val="0"/>
              <w:marBottom w:val="0"/>
              <w:divBdr>
                <w:top w:val="none" w:sz="0" w:space="0" w:color="auto"/>
                <w:left w:val="none" w:sz="0" w:space="0" w:color="auto"/>
                <w:bottom w:val="none" w:sz="0" w:space="0" w:color="auto"/>
                <w:right w:val="none" w:sz="0" w:space="0" w:color="auto"/>
              </w:divBdr>
              <w:divsChild>
                <w:div w:id="2886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0755">
      <w:bodyDiv w:val="1"/>
      <w:marLeft w:val="0"/>
      <w:marRight w:val="0"/>
      <w:marTop w:val="0"/>
      <w:marBottom w:val="0"/>
      <w:divBdr>
        <w:top w:val="none" w:sz="0" w:space="0" w:color="auto"/>
        <w:left w:val="none" w:sz="0" w:space="0" w:color="auto"/>
        <w:bottom w:val="none" w:sz="0" w:space="0" w:color="auto"/>
        <w:right w:val="none" w:sz="0" w:space="0" w:color="auto"/>
      </w:divBdr>
    </w:div>
    <w:div w:id="1468864346">
      <w:bodyDiv w:val="1"/>
      <w:marLeft w:val="0"/>
      <w:marRight w:val="0"/>
      <w:marTop w:val="0"/>
      <w:marBottom w:val="0"/>
      <w:divBdr>
        <w:top w:val="none" w:sz="0" w:space="0" w:color="auto"/>
        <w:left w:val="none" w:sz="0" w:space="0" w:color="auto"/>
        <w:bottom w:val="none" w:sz="0" w:space="0" w:color="auto"/>
        <w:right w:val="none" w:sz="0" w:space="0" w:color="auto"/>
      </w:divBdr>
    </w:div>
    <w:div w:id="1485976387">
      <w:bodyDiv w:val="1"/>
      <w:marLeft w:val="0"/>
      <w:marRight w:val="0"/>
      <w:marTop w:val="0"/>
      <w:marBottom w:val="0"/>
      <w:divBdr>
        <w:top w:val="none" w:sz="0" w:space="0" w:color="auto"/>
        <w:left w:val="none" w:sz="0" w:space="0" w:color="auto"/>
        <w:bottom w:val="none" w:sz="0" w:space="0" w:color="auto"/>
        <w:right w:val="none" w:sz="0" w:space="0" w:color="auto"/>
      </w:divBdr>
      <w:divsChild>
        <w:div w:id="1915118600">
          <w:marLeft w:val="0"/>
          <w:marRight w:val="0"/>
          <w:marTop w:val="0"/>
          <w:marBottom w:val="0"/>
          <w:divBdr>
            <w:top w:val="none" w:sz="0" w:space="0" w:color="auto"/>
            <w:left w:val="none" w:sz="0" w:space="0" w:color="auto"/>
            <w:bottom w:val="none" w:sz="0" w:space="0" w:color="auto"/>
            <w:right w:val="none" w:sz="0" w:space="0" w:color="auto"/>
          </w:divBdr>
        </w:div>
        <w:div w:id="924146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sg/dataset/master-plan-2014-planning-area-boundary-no-sea" TargetMode="External"/><Relationship Id="rId13" Type="http://schemas.openxmlformats.org/officeDocument/2006/relationships/hyperlink" Target="https://developer.foursquare.com/docs/places-api/" TargetMode="External"/><Relationship Id="rId18" Type="http://schemas.openxmlformats.org/officeDocument/2006/relationships/hyperlink" Target="https://pypi.org/project/folium/" TargetMode="External"/><Relationship Id="rId26" Type="http://schemas.openxmlformats.org/officeDocument/2006/relationships/hyperlink" Target="https://pypi.org/project/requests/" TargetMode="External"/><Relationship Id="rId3" Type="http://schemas.openxmlformats.org/officeDocument/2006/relationships/settings" Target="settings.xml"/><Relationship Id="rId21" Type="http://schemas.openxmlformats.org/officeDocument/2006/relationships/hyperlink" Target="https://geopy.readthedocs.io/en/stable/#nominatim" TargetMode="External"/><Relationship Id="rId7" Type="http://schemas.openxmlformats.org/officeDocument/2006/relationships/hyperlink" Target="http://topten.sg/food/7916" TargetMode="External"/><Relationship Id="rId12" Type="http://schemas.openxmlformats.org/officeDocument/2006/relationships/hyperlink" Target="https://www.kaggle.com/yxlee245/singapore-train-station-coordinates" TargetMode="External"/><Relationship Id="rId17" Type="http://schemas.openxmlformats.org/officeDocument/2006/relationships/hyperlink" Target="https://www.singstat.gov.sg/find-data/search-by-theme/population/geographic-distribution/latest-data" TargetMode="External"/><Relationship Id="rId25" Type="http://schemas.openxmlformats.org/officeDocument/2006/relationships/hyperlink" Target="https://pypi.org/project/branca/" TargetMode="External"/><Relationship Id="rId2" Type="http://schemas.openxmlformats.org/officeDocument/2006/relationships/styles" Target="styles.xml"/><Relationship Id="rId16" Type="http://schemas.openxmlformats.org/officeDocument/2006/relationships/hyperlink" Target="https://www.singstat.gov.sg/find-data/search-by-theme/population/geographic-distribution/latest-data" TargetMode="External"/><Relationship Id="rId20" Type="http://schemas.openxmlformats.org/officeDocument/2006/relationships/hyperlink" Target="https://pypi.org/project/geopandas/" TargetMode="External"/><Relationship Id="rId1" Type="http://schemas.openxmlformats.org/officeDocument/2006/relationships/numbering" Target="numbering.xml"/><Relationship Id="rId6" Type="http://schemas.openxmlformats.org/officeDocument/2006/relationships/hyperlink" Target="https://www.todayonline.com/singapore/desperate-bubble-tea-some-shops-remain-open-run-out-pearls-within-hours-opening" TargetMode="External"/><Relationship Id="rId11" Type="http://schemas.openxmlformats.org/officeDocument/2006/relationships/hyperlink" Target="https://developer.foursquare.com/docs/places-api/" TargetMode="External"/><Relationship Id="rId24" Type="http://schemas.openxmlformats.org/officeDocument/2006/relationships/hyperlink" Target="https://pypi.org/project/matplotlib/" TargetMode="External"/><Relationship Id="rId5" Type="http://schemas.openxmlformats.org/officeDocument/2006/relationships/hyperlink" Target="https://www.scmp.com/news/asia/southeast-asia/article/3080933/coronavirus-singapores-bubble-tea-fans-rush-beat-circuit" TargetMode="External"/><Relationship Id="rId15" Type="http://schemas.openxmlformats.org/officeDocument/2006/relationships/hyperlink" Target="https://www.statista.com/statistics/1126754/china-age-distribution-of-fresh-tea-beverage-consumers/" TargetMode="External"/><Relationship Id="rId23" Type="http://schemas.openxmlformats.org/officeDocument/2006/relationships/hyperlink" Target="https://scikit-learn.org/" TargetMode="External"/><Relationship Id="rId28" Type="http://schemas.openxmlformats.org/officeDocument/2006/relationships/theme" Target="theme/theme1.xml"/><Relationship Id="rId10" Type="http://schemas.openxmlformats.org/officeDocument/2006/relationships/hyperlink" Target="https://xingfutangsg.com/" TargetMode="External"/><Relationship Id="rId19" Type="http://schemas.openxmlformats.org/officeDocument/2006/relationships/hyperlink" Target="https://pypi.org/project/beautifulsoup4/" TargetMode="External"/><Relationship Id="rId4" Type="http://schemas.openxmlformats.org/officeDocument/2006/relationships/webSettings" Target="webSettings.xml"/><Relationship Id="rId9" Type="http://schemas.openxmlformats.org/officeDocument/2006/relationships/hyperlink" Target="https://data.gov.sg/dataset/master-plan-2019-subzone-boundary-no-sea" TargetMode="External"/><Relationship Id="rId14" Type="http://schemas.openxmlformats.org/officeDocument/2006/relationships/hyperlink" Target="https://www.singstat.gov.sg/find-data/search-by-theme/population/geographic-distribution/latest-data" TargetMode="External"/><Relationship Id="rId22" Type="http://schemas.openxmlformats.org/officeDocument/2006/relationships/hyperlink" Target="https://pypi.org/project/Shapel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Choi</dc:creator>
  <cp:keywords/>
  <dc:description/>
  <cp:lastModifiedBy>Bryan Choi</cp:lastModifiedBy>
  <cp:revision>5</cp:revision>
  <dcterms:created xsi:type="dcterms:W3CDTF">2021-04-28T19:36:00Z</dcterms:created>
  <dcterms:modified xsi:type="dcterms:W3CDTF">2021-04-28T19:47:00Z</dcterms:modified>
</cp:coreProperties>
</file>