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C2" w:rsidRDefault="00C972A6">
      <w:pPr>
        <w:rPr>
          <w:rFonts w:ascii="Verdana" w:hAnsi="Verdana"/>
        </w:rPr>
      </w:pPr>
      <w:r>
        <w:rPr>
          <w:rFonts w:ascii="Verdana" w:hAnsi="Verdana"/>
        </w:rPr>
        <w:t>CIT 270 Hands-on Projects</w:t>
      </w:r>
    </w:p>
    <w:p w:rsidR="00C972A6" w:rsidRDefault="00C972A6">
      <w:pPr>
        <w:rPr>
          <w:rFonts w:ascii="Verdana" w:hAnsi="Verdana"/>
        </w:rPr>
      </w:pPr>
      <w:r>
        <w:rPr>
          <w:rFonts w:ascii="Verdana" w:hAnsi="Verdana"/>
        </w:rPr>
        <w:t>Choose one hands-on project at the end of the chapter, complete it, and fill out the following template. Upload this document to I-Learn Canvas to complete your hands-on project submission.</w:t>
      </w:r>
    </w:p>
    <w:tbl>
      <w:tblPr>
        <w:tblStyle w:val="TableGrid"/>
        <w:tblW w:w="0" w:type="auto"/>
        <w:tblLook w:val="04A0" w:firstRow="1" w:lastRow="0" w:firstColumn="1" w:lastColumn="0" w:noHBand="0" w:noVBand="1"/>
      </w:tblPr>
      <w:tblGrid>
        <w:gridCol w:w="1238"/>
        <w:gridCol w:w="8112"/>
      </w:tblGrid>
      <w:tr w:rsidR="00C972A6" w:rsidTr="00C972A6">
        <w:tc>
          <w:tcPr>
            <w:tcW w:w="3055" w:type="dxa"/>
          </w:tcPr>
          <w:p w:rsidR="00C972A6" w:rsidRDefault="00C972A6">
            <w:pPr>
              <w:rPr>
                <w:rFonts w:ascii="Verdana" w:hAnsi="Verdana"/>
              </w:rPr>
            </w:pPr>
            <w:r>
              <w:rPr>
                <w:rFonts w:ascii="Verdana" w:hAnsi="Verdana"/>
              </w:rPr>
              <w:t>Project chapter and number (5 pts)</w:t>
            </w:r>
          </w:p>
        </w:tc>
        <w:tc>
          <w:tcPr>
            <w:tcW w:w="6295" w:type="dxa"/>
          </w:tcPr>
          <w:p w:rsidR="00C972A6" w:rsidRDefault="008F7A34">
            <w:pPr>
              <w:rPr>
                <w:rFonts w:ascii="Verdana" w:hAnsi="Verdana"/>
              </w:rPr>
            </w:pPr>
            <w:r>
              <w:rPr>
                <w:rFonts w:ascii="Verdana" w:hAnsi="Verdana"/>
              </w:rPr>
              <w:t xml:space="preserve">Chapter </w:t>
            </w:r>
            <w:r w:rsidR="004C6F46">
              <w:rPr>
                <w:rFonts w:ascii="Verdana" w:hAnsi="Verdana"/>
              </w:rPr>
              <w:t xml:space="preserve">4 </w:t>
            </w:r>
            <w:r>
              <w:rPr>
                <w:rFonts w:ascii="Verdana" w:hAnsi="Verdana"/>
              </w:rPr>
              <w:t>Project 1</w:t>
            </w:r>
          </w:p>
        </w:tc>
      </w:tr>
      <w:tr w:rsidR="00C972A6" w:rsidTr="00C972A6">
        <w:tc>
          <w:tcPr>
            <w:tcW w:w="3055" w:type="dxa"/>
          </w:tcPr>
          <w:p w:rsidR="00C972A6" w:rsidRDefault="000E25A4">
            <w:pPr>
              <w:rPr>
                <w:rFonts w:ascii="Verdana" w:hAnsi="Verdana"/>
              </w:rPr>
            </w:pPr>
            <w:r>
              <w:rPr>
                <w:rFonts w:ascii="Verdana" w:hAnsi="Verdana"/>
              </w:rPr>
              <w:t>Three</w:t>
            </w:r>
            <w:r w:rsidR="00C972A6">
              <w:rPr>
                <w:rFonts w:ascii="Verdana" w:hAnsi="Verdana"/>
              </w:rPr>
              <w:t xml:space="preserve"> keywords and their definitions (10 pts)</w:t>
            </w:r>
          </w:p>
        </w:tc>
        <w:tc>
          <w:tcPr>
            <w:tcW w:w="6295" w:type="dxa"/>
          </w:tcPr>
          <w:p w:rsidR="00C972A6" w:rsidRDefault="004C6F46" w:rsidP="00C972A6">
            <w:pPr>
              <w:pStyle w:val="ListParagraph"/>
              <w:numPr>
                <w:ilvl w:val="0"/>
                <w:numId w:val="3"/>
              </w:numPr>
              <w:rPr>
                <w:rFonts w:ascii="Verdana" w:hAnsi="Verdana"/>
              </w:rPr>
            </w:pPr>
            <w:r>
              <w:rPr>
                <w:rFonts w:ascii="Verdana" w:hAnsi="Verdana"/>
              </w:rPr>
              <w:t>SSL</w:t>
            </w:r>
          </w:p>
          <w:p w:rsidR="004C6F46" w:rsidRPr="004C6F46" w:rsidRDefault="004C6F46" w:rsidP="004C6F46">
            <w:r>
              <w:rPr>
                <w:rFonts w:ascii="Arial" w:hAnsi="Arial" w:cs="Arial"/>
                <w:color w:val="222222"/>
                <w:shd w:val="clear" w:color="auto" w:fill="FFFFFF"/>
              </w:rPr>
              <w:t> (Secure Sockets Layer) is a standard security protocol for establishing encrypted links between a web server and a browser in an online communication.</w:t>
            </w:r>
          </w:p>
          <w:p w:rsidR="00C972A6" w:rsidRDefault="00C972A6" w:rsidP="00C972A6">
            <w:pPr>
              <w:pStyle w:val="ListParagraph"/>
              <w:numPr>
                <w:ilvl w:val="0"/>
                <w:numId w:val="3"/>
              </w:numPr>
              <w:rPr>
                <w:rFonts w:ascii="Verdana" w:hAnsi="Verdana"/>
              </w:rPr>
            </w:pPr>
            <w:r>
              <w:rPr>
                <w:rFonts w:ascii="Verdana" w:hAnsi="Verdana"/>
              </w:rPr>
              <w:t>–</w:t>
            </w:r>
            <w:r w:rsidR="003265DF">
              <w:rPr>
                <w:rFonts w:ascii="Verdana" w:hAnsi="Verdana"/>
              </w:rPr>
              <w:t>Authentication</w:t>
            </w:r>
          </w:p>
          <w:p w:rsidR="003265DF" w:rsidRPr="003265DF" w:rsidRDefault="003265DF" w:rsidP="003265DF">
            <w:r>
              <w:rPr>
                <w:rFonts w:ascii="Arial" w:hAnsi="Arial" w:cs="Arial"/>
                <w:color w:val="222222"/>
                <w:shd w:val="clear" w:color="auto" w:fill="FFFFFF"/>
              </w:rPr>
              <w:t xml:space="preserve">The process of identifying an individual, usually based on a username and password. In security </w:t>
            </w:r>
            <w:r w:rsidRPr="003265DF">
              <w:rPr>
                <w:rFonts w:ascii="Arial" w:hAnsi="Arial" w:cs="Arial"/>
                <w:color w:val="222222"/>
                <w:shd w:val="clear" w:color="auto" w:fill="FFFFFF"/>
              </w:rPr>
              <w:t>systems,</w:t>
            </w:r>
            <w:r w:rsidRPr="003265DF">
              <w:rPr>
                <w:rFonts w:ascii="Arial" w:hAnsi="Arial" w:cs="Arial"/>
                <w:color w:val="222222"/>
                <w:shd w:val="clear" w:color="auto" w:fill="FFFFFF"/>
              </w:rPr>
              <w:t xml:space="preserve"> </w:t>
            </w:r>
            <w:r w:rsidRPr="003265DF">
              <w:rPr>
                <w:rFonts w:ascii="Arial" w:hAnsi="Arial" w:cs="Arial"/>
                <w:bCs/>
                <w:color w:val="222222"/>
                <w:shd w:val="clear" w:color="auto" w:fill="FFFFFF"/>
              </w:rPr>
              <w:t>authentication</w:t>
            </w:r>
            <w:r w:rsidRPr="003265DF">
              <w:rPr>
                <w:rFonts w:ascii="Arial" w:hAnsi="Arial" w:cs="Arial"/>
                <w:color w:val="222222"/>
                <w:shd w:val="clear" w:color="auto" w:fill="FFFFFF"/>
              </w:rPr>
              <w:t> is distinct</w:t>
            </w:r>
            <w:r>
              <w:rPr>
                <w:rFonts w:ascii="Arial" w:hAnsi="Arial" w:cs="Arial"/>
                <w:color w:val="222222"/>
                <w:shd w:val="clear" w:color="auto" w:fill="FFFFFF"/>
              </w:rPr>
              <w:t xml:space="preserve"> from </w:t>
            </w:r>
            <w:r>
              <w:rPr>
                <w:rFonts w:ascii="Arial" w:hAnsi="Arial" w:cs="Arial"/>
                <w:color w:val="222222"/>
                <w:shd w:val="clear" w:color="auto" w:fill="FFFFFF"/>
              </w:rPr>
              <w:t>authorization,</w:t>
            </w:r>
            <w:r>
              <w:rPr>
                <w:rFonts w:ascii="Arial" w:hAnsi="Arial" w:cs="Arial"/>
                <w:color w:val="222222"/>
                <w:shd w:val="clear" w:color="auto" w:fill="FFFFFF"/>
              </w:rPr>
              <w:t xml:space="preserve"> which is the process of giving individuals access to system objects based on their </w:t>
            </w:r>
            <w:r>
              <w:rPr>
                <w:rFonts w:ascii="Arial" w:hAnsi="Arial" w:cs="Arial"/>
                <w:color w:val="222222"/>
                <w:shd w:val="clear" w:color="auto" w:fill="FFFFFF"/>
              </w:rPr>
              <w:t>identity</w:t>
            </w:r>
          </w:p>
          <w:p w:rsidR="00C972A6" w:rsidRDefault="00C972A6" w:rsidP="00C972A6">
            <w:pPr>
              <w:pStyle w:val="ListParagraph"/>
              <w:numPr>
                <w:ilvl w:val="0"/>
                <w:numId w:val="3"/>
              </w:numPr>
              <w:rPr>
                <w:rFonts w:ascii="Verdana" w:hAnsi="Verdana"/>
              </w:rPr>
            </w:pPr>
            <w:r>
              <w:rPr>
                <w:rFonts w:ascii="Verdana" w:hAnsi="Verdana"/>
              </w:rPr>
              <w:t>–</w:t>
            </w:r>
            <w:r w:rsidRPr="00C972A6">
              <w:rPr>
                <w:rFonts w:ascii="Verdana" w:hAnsi="Verdana"/>
              </w:rPr>
              <w:t xml:space="preserve"> </w:t>
            </w:r>
            <w:r w:rsidR="003265DF">
              <w:rPr>
                <w:rFonts w:ascii="Verdana" w:hAnsi="Verdana"/>
              </w:rPr>
              <w:t>configuration</w:t>
            </w:r>
          </w:p>
          <w:p w:rsidR="003265DF" w:rsidRPr="003265DF" w:rsidRDefault="003265DF" w:rsidP="003265DF">
            <w:r>
              <w:rPr>
                <w:rFonts w:ascii="Arial" w:hAnsi="Arial" w:cs="Arial"/>
                <w:color w:val="222222"/>
                <w:shd w:val="clear" w:color="auto" w:fill="FFFFFF"/>
              </w:rPr>
              <w:t>an arrangement of elements in a particular form, figure, or combination.</w:t>
            </w:r>
          </w:p>
        </w:tc>
      </w:tr>
      <w:tr w:rsidR="00C972A6" w:rsidTr="00C972A6">
        <w:tc>
          <w:tcPr>
            <w:tcW w:w="3055" w:type="dxa"/>
          </w:tcPr>
          <w:p w:rsidR="00C972A6" w:rsidRDefault="00C972A6">
            <w:pPr>
              <w:rPr>
                <w:rFonts w:ascii="Verdana" w:hAnsi="Verdana"/>
              </w:rPr>
            </w:pPr>
            <w:r>
              <w:rPr>
                <w:rFonts w:ascii="Verdana" w:hAnsi="Verdana"/>
              </w:rPr>
              <w:t>Key takeaways or “what you learned” (10 pts)</w:t>
            </w:r>
          </w:p>
        </w:tc>
        <w:tc>
          <w:tcPr>
            <w:tcW w:w="6295" w:type="dxa"/>
          </w:tcPr>
          <w:p w:rsidR="00C972A6" w:rsidRDefault="003265DF">
            <w:pPr>
              <w:rPr>
                <w:rFonts w:ascii="Verdana" w:hAnsi="Verdana"/>
              </w:rPr>
            </w:pPr>
            <w:r>
              <w:rPr>
                <w:rFonts w:ascii="Verdana" w:hAnsi="Verdana"/>
              </w:rPr>
              <w:t>I think the biggest thing that I learned is it is important that we make sure everything we do on the web is secure. I was actually reading an article about SSL’s and it was saying they are secure but it’s</w:t>
            </w:r>
            <w:bookmarkStart w:id="0" w:name="_GoBack"/>
            <w:bookmarkEnd w:id="0"/>
            <w:r>
              <w:rPr>
                <w:rFonts w:ascii="Verdana" w:hAnsi="Verdana"/>
              </w:rPr>
              <w:t xml:space="preserve"> not their job to keep things fully secure. They do their best but if you really want things to be super secure then make sure that you are doing extra things to make sure that they are protected. This is a good start but you can’t always be to0 sure.</w:t>
            </w:r>
          </w:p>
        </w:tc>
      </w:tr>
      <w:tr w:rsidR="00C972A6" w:rsidTr="00C972A6">
        <w:trPr>
          <w:trHeight w:val="566"/>
        </w:trPr>
        <w:tc>
          <w:tcPr>
            <w:tcW w:w="3055" w:type="dxa"/>
          </w:tcPr>
          <w:p w:rsidR="00C972A6" w:rsidRDefault="00C972A6">
            <w:pPr>
              <w:rPr>
                <w:rFonts w:ascii="Verdana" w:hAnsi="Verdana"/>
              </w:rPr>
            </w:pPr>
            <w:r>
              <w:rPr>
                <w:rFonts w:ascii="Verdana" w:hAnsi="Verdana"/>
              </w:rPr>
              <w:t>Evidence of completion (probably a screen capture) (5 pts)</w:t>
            </w:r>
          </w:p>
        </w:tc>
        <w:tc>
          <w:tcPr>
            <w:tcW w:w="6295" w:type="dxa"/>
          </w:tcPr>
          <w:p w:rsidR="00C972A6" w:rsidRDefault="004C6F46">
            <w:pPr>
              <w:rPr>
                <w:rFonts w:ascii="Verdana" w:hAnsi="Verdana"/>
              </w:rPr>
            </w:pPr>
            <w:r>
              <w:rPr>
                <w:rFonts w:ascii="Verdana" w:hAnsi="Verdana"/>
                <w:noProof/>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2 at 5.39.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rsidR="00C972A6" w:rsidRPr="00C972A6" w:rsidRDefault="00C972A6">
      <w:pPr>
        <w:rPr>
          <w:rFonts w:ascii="Verdana" w:hAnsi="Verdana"/>
        </w:rPr>
      </w:pPr>
    </w:p>
    <w:sectPr w:rsidR="00C972A6" w:rsidRPr="00C9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01DF0"/>
    <w:multiLevelType w:val="hybridMultilevel"/>
    <w:tmpl w:val="755C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72DE1"/>
    <w:multiLevelType w:val="hybridMultilevel"/>
    <w:tmpl w:val="9612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03713"/>
    <w:multiLevelType w:val="hybridMultilevel"/>
    <w:tmpl w:val="2B3A9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34"/>
    <w:rsid w:val="000E25A4"/>
    <w:rsid w:val="001E4FC2"/>
    <w:rsid w:val="003265DF"/>
    <w:rsid w:val="0047381E"/>
    <w:rsid w:val="004C6F46"/>
    <w:rsid w:val="008F7A34"/>
    <w:rsid w:val="00C9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72A8"/>
  <w15:chartTrackingRefBased/>
  <w15:docId w15:val="{2D37EC23-5C00-E043-9FC4-CED1499F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11973">
      <w:bodyDiv w:val="1"/>
      <w:marLeft w:val="0"/>
      <w:marRight w:val="0"/>
      <w:marTop w:val="0"/>
      <w:marBottom w:val="0"/>
      <w:divBdr>
        <w:top w:val="none" w:sz="0" w:space="0" w:color="auto"/>
        <w:left w:val="none" w:sz="0" w:space="0" w:color="auto"/>
        <w:bottom w:val="none" w:sz="0" w:space="0" w:color="auto"/>
        <w:right w:val="none" w:sz="0" w:space="0" w:color="auto"/>
      </w:divBdr>
    </w:div>
    <w:div w:id="1403717845">
      <w:bodyDiv w:val="1"/>
      <w:marLeft w:val="0"/>
      <w:marRight w:val="0"/>
      <w:marTop w:val="0"/>
      <w:marBottom w:val="0"/>
      <w:divBdr>
        <w:top w:val="none" w:sz="0" w:space="0" w:color="auto"/>
        <w:left w:val="none" w:sz="0" w:space="0" w:color="auto"/>
        <w:bottom w:val="none" w:sz="0" w:space="0" w:color="auto"/>
        <w:right w:val="none" w:sz="0" w:space="0" w:color="auto"/>
      </w:divBdr>
    </w:div>
    <w:div w:id="17373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yanLee/Downloads/CIT270-Hands-on-projec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CIT270-Hands-on-project (3).dotx</Template>
  <TotalTime>9</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Crowder, Bryan</cp:lastModifiedBy>
  <cp:revision>2</cp:revision>
  <dcterms:created xsi:type="dcterms:W3CDTF">2019-02-03T00:33:00Z</dcterms:created>
  <dcterms:modified xsi:type="dcterms:W3CDTF">2019-02-03T00:48:00Z</dcterms:modified>
</cp:coreProperties>
</file>