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BFDD90" w14:textId="77777777" w:rsidR="005934CA" w:rsidRDefault="00000000">
      <w:pPr>
        <w:pStyle w:val="Ttulo"/>
      </w:pPr>
      <w:r>
        <w:t>Tarefa 3 — O processo que ninguém executa igual</w:t>
      </w:r>
    </w:p>
    <w:p w14:paraId="1EA39057" w14:textId="77777777" w:rsidR="005934CA" w:rsidRDefault="00000000">
      <w:pPr>
        <w:pStyle w:val="Subttulo"/>
      </w:pPr>
      <w:r>
        <w:t>Case Universidade Vale do Sol — descoberta e validação do processo AS-IS</w:t>
      </w:r>
    </w:p>
    <w:p w14:paraId="03E527D6" w14:textId="77777777" w:rsidR="005934CA" w:rsidRDefault="00000000">
      <w:r>
        <w:t>Flávio Luiz Seixas</w:t>
      </w:r>
    </w:p>
    <w:p w14:paraId="0935E223" w14:textId="77777777" w:rsidR="005934CA" w:rsidRDefault="00000000">
      <w:r>
        <w:t>04/09/2026</w:t>
      </w:r>
    </w:p>
    <w:p w14:paraId="3F7F811D" w14:textId="77777777" w:rsidR="005934CA" w:rsidRDefault="00000000">
      <w:pPr>
        <w:pStyle w:val="Ttulo2"/>
      </w:pPr>
      <w:bookmarkStart w:id="0" w:name="case-fictício-universidade-vale-do-sol"/>
      <w:r>
        <w:t>Case fictício — Universidade Vale do Sol</w:t>
      </w:r>
    </w:p>
    <w:p w14:paraId="198910BA" w14:textId="77777777" w:rsidR="005934CA" w:rsidRDefault="00000000">
      <w:pPr>
        <w:pStyle w:val="Ttulo3"/>
      </w:pPr>
      <w:bookmarkStart w:id="1" w:name="contexto-e-demanda-do-patrocinador"/>
      <w:r>
        <w:t>Contexto e demanda do patrocinador</w:t>
      </w:r>
    </w:p>
    <w:p w14:paraId="3A536538" w14:textId="77777777" w:rsidR="005934CA" w:rsidRDefault="00000000">
      <w:r>
        <w:t xml:space="preserve">A Universidade Vale do Sol (UVS) possui cerca de 7.500 estudantes em cursos presenciais e híbridos. A Pró-Reitoria Acadêmica recebeu reclamações sobre demora, pedidos duplicados e falta de informação no processo de </w:t>
      </w:r>
      <w:r>
        <w:rPr>
          <w:b/>
          <w:bCs/>
        </w:rPr>
        <w:t>aproveitamento de estudos</w:t>
      </w:r>
      <w:r>
        <w:t>, pelo qual um estudante solicita o reconhecimento de uma disciplina cursada anteriormente.</w:t>
      </w:r>
    </w:p>
    <w:p w14:paraId="2C5EF148" w14:textId="77777777" w:rsidR="005934CA" w:rsidRDefault="00000000">
      <w:pPr>
        <w:pStyle w:val="Corpodetexto"/>
      </w:pPr>
      <w:r>
        <w:t>A pró-reitora patrocinou uma descoberta do processo atual antes de decidir qualquer mudança. Sua demanda foi:</w:t>
      </w:r>
    </w:p>
    <w:p w14:paraId="515B2C20" w14:textId="77777777" w:rsidR="005934CA" w:rsidRDefault="00000000">
      <w:r>
        <w:t>“Precisamos compreender como uma solicitação realmente percorre a universidade, desde a necessidade do estudante até a decisão registrada e comunicada. Quero enxergar canais, responsabilidades, retornos, variantes e pontos sem rastreabilidade. Ainda não é o momento de escolher uma solução.”</w:t>
      </w:r>
    </w:p>
    <w:p w14:paraId="31B8A0B7" w14:textId="77777777" w:rsidR="005934CA" w:rsidRDefault="00000000">
      <w:r>
        <w:t>O trabalho deverá considerar solicitações de estudantes ativos da graduação, recebidas no semestre corrente. Transferências em massa, recursos contra uma decisão já emitida e aproveitamentos realizados automaticamente por acordos institucionais ficam fora do recorte inicial.</w:t>
      </w:r>
    </w:p>
    <w:p w14:paraId="12FA6533" w14:textId="77777777" w:rsidR="005934CA" w:rsidRDefault="00000000">
      <w:pPr>
        <w:pStyle w:val="Ttulo3"/>
      </w:pPr>
      <w:bookmarkStart w:id="2" w:name="fonte-e1-procedimento-acadêmico-vigente"/>
      <w:bookmarkEnd w:id="1"/>
      <w:r>
        <w:t>Fonte E1 — Procedimento acadêmico vigente</w:t>
      </w:r>
    </w:p>
    <w:p w14:paraId="2B090B67" w14:textId="77777777" w:rsidR="005934CA" w:rsidRDefault="00000000">
      <w:r>
        <w:t>O procedimento publicado na intranet informa:</w:t>
      </w:r>
    </w:p>
    <w:p w14:paraId="150738E6" w14:textId="77777777" w:rsidR="005934CA" w:rsidRDefault="00000000">
      <w:pPr>
        <w:numPr>
          <w:ilvl w:val="0"/>
          <w:numId w:val="14"/>
        </w:numPr>
      </w:pPr>
      <w:r>
        <w:t>O estudante deve abrir uma solicitação no Portal do Aluno, selecionar a disciplina da UVS para a qual pede equivalência e anexar histórico escolar e ementa autenticada da disciplina cursada.</w:t>
      </w:r>
    </w:p>
    <w:p w14:paraId="511E9829" w14:textId="77777777" w:rsidR="005934CA" w:rsidRDefault="00000000">
      <w:pPr>
        <w:numPr>
          <w:ilvl w:val="0"/>
          <w:numId w:val="14"/>
        </w:numPr>
      </w:pPr>
      <w:r>
        <w:t>O Portal gera um número de protocolo.</w:t>
      </w:r>
    </w:p>
    <w:p w14:paraId="1DC0371C" w14:textId="77777777" w:rsidR="005934CA" w:rsidRDefault="00000000">
      <w:pPr>
        <w:numPr>
          <w:ilvl w:val="0"/>
          <w:numId w:val="14"/>
        </w:numPr>
      </w:pPr>
      <w:r>
        <w:t>A Central de Atendimento confere os documentos em até dois dias úteis.</w:t>
      </w:r>
    </w:p>
    <w:p w14:paraId="720EFB52" w14:textId="77777777" w:rsidR="005934CA" w:rsidRDefault="00000000">
      <w:pPr>
        <w:numPr>
          <w:ilvl w:val="0"/>
          <w:numId w:val="14"/>
        </w:numPr>
      </w:pPr>
      <w:r>
        <w:t>Se a documentação estiver incompleta, a solicitação retorna ao estudante pelo Portal. Se estiver completa, segue para a coordenação do curso.</w:t>
      </w:r>
    </w:p>
    <w:p w14:paraId="43CC63F0" w14:textId="77777777" w:rsidR="005934CA" w:rsidRDefault="00000000">
      <w:pPr>
        <w:numPr>
          <w:ilvl w:val="0"/>
          <w:numId w:val="14"/>
        </w:numPr>
      </w:pPr>
      <w:r>
        <w:t>A coordenação compara conteúdo programático e carga horária e decide pelo aproveitamento integral, parcial ou pelo indeferimento. Quando necessário, pode solicitar parecer de um professor da área.</w:t>
      </w:r>
    </w:p>
    <w:p w14:paraId="1322BE4A" w14:textId="77777777" w:rsidR="005934CA" w:rsidRDefault="00000000">
      <w:pPr>
        <w:numPr>
          <w:ilvl w:val="0"/>
          <w:numId w:val="14"/>
        </w:numPr>
      </w:pPr>
      <w:r>
        <w:t>A Secretaria Acadêmica registra o resultado no sistema acadêmico e comunica a decisão ao estudante pelo Portal.</w:t>
      </w:r>
    </w:p>
    <w:p w14:paraId="36EAD707" w14:textId="77777777" w:rsidR="005934CA" w:rsidRDefault="00000000">
      <w:pPr>
        <w:numPr>
          <w:ilvl w:val="0"/>
          <w:numId w:val="14"/>
        </w:numPr>
      </w:pPr>
      <w:r>
        <w:t>O prazo institucional é de até dez dias corridos após o recebimento da documentação completa.</w:t>
      </w:r>
    </w:p>
    <w:p w14:paraId="6A47FF95" w14:textId="77777777" w:rsidR="005934CA" w:rsidRDefault="00000000">
      <w:r>
        <w:t>O procedimento também determina que somente solicitações protocoladas devem ser analisadas e que nenhuma dispensa pode ser registrada sem decisão da coordenação.</w:t>
      </w:r>
    </w:p>
    <w:p w14:paraId="6724E160" w14:textId="77777777" w:rsidR="005934CA" w:rsidRDefault="00000000">
      <w:pPr>
        <w:pStyle w:val="Ttulo3"/>
      </w:pPr>
      <w:bookmarkStart w:id="3" w:name="Xe5a762ce16fe8cedf5f39df3ecc0421dcb483dc"/>
      <w:bookmarkEnd w:id="2"/>
      <w:r>
        <w:t>Fonte E2 — Relato de Marina, atendente da Central</w:t>
      </w:r>
    </w:p>
    <w:p w14:paraId="0CE70F72" w14:textId="77777777" w:rsidR="005934CA" w:rsidRDefault="00000000">
      <w:r>
        <w:t xml:space="preserve">“O Portal deveria ser a única entrada, mas o formulário fica escondido e muitos alunos chegam pelo balcão, e-mail ou WhatsApp. Explicamos como abrir o pedido. Em casos urgentes ou quando o Portal está indisponível, recebemos os arquivos e criamos o protocolo depois. A equipe olha a caixa de e-mail e a lista do Portal no começo e no fim do turno. Também usamos uma planilha para lembrar o que precisa ser </w:t>
      </w:r>
      <w:r>
        <w:lastRenderedPageBreak/>
        <w:t>cadastrado ou cobrado. O maior retorno é por ementa sem autenticação ou porque o aluno escolheu a disciplina errada. O Portal manda uma mensagem genérica de ‘documentação pendente’; por isso, às vezes complementamos a explicação por e-mail. Quando o aluno abre outro pedido em vez de corrigir o primeiro, precisamos descobrir que é duplicado.”</w:t>
      </w:r>
    </w:p>
    <w:p w14:paraId="17484DA7" w14:textId="77777777" w:rsidR="005934CA" w:rsidRDefault="00000000">
      <w:r>
        <w:t>Marina estima que a triagem de um pedido simples consuma de 6 a 10 minutos, sem contar espera e contato para correção. Ela não sabe se todas as pessoas da equipe registram o motivo da pendência da mesma forma.</w:t>
      </w:r>
    </w:p>
    <w:p w14:paraId="4BD7ACD9" w14:textId="77777777" w:rsidR="005934CA" w:rsidRDefault="00000000">
      <w:pPr>
        <w:pStyle w:val="Ttulo3"/>
      </w:pPr>
      <w:bookmarkStart w:id="4" w:name="Xf5c71cdb900758da1169b43a916e535adab4026"/>
      <w:bookmarkEnd w:id="3"/>
      <w:r>
        <w:t>Fonte E3 — Relato de Paulo, coordenador de curso</w:t>
      </w:r>
    </w:p>
    <w:p w14:paraId="2C0EEEFA" w14:textId="77777777" w:rsidR="005934CA" w:rsidRDefault="00000000">
      <w:r>
        <w:t>“Eu baixo a lista de solicitações às terças e sextas. Casos de instituições e disciplinas que já conhecemos costumam ser decididos rapidamente. Nos demais, envio a ementa por e-mail a um professor da área. Não há uma fila única para esses pareceres; controlo numa planilha e mando lembrete quando lembro ou quando o aluno reclama. A resposta pode chegar no mesmo dia ou levar quase duas semanas. O professor recomenda, mas a decisão é minha. Quando aprovo parcialmente, preciso indicar qual conteúdo ou atividade o estudante ainda deverá cumprir. Às vezes registro ‘deferido parcial’ e a Secretaria devolve porque falta o código da equivalência ou a orientação complementar.”</w:t>
      </w:r>
    </w:p>
    <w:p w14:paraId="59DB8C6D" w14:textId="0BADCE12" w:rsidR="005934CA" w:rsidRDefault="00000000">
      <w:r>
        <w:t>Paulo afirma que pedidos completos não deveriam permanecer com a coordenação por mais de cinco dias, mas reconhece que a carga de trabalho varia muito entre cursos.</w:t>
      </w:r>
      <w:bookmarkStart w:id="5" w:name="restrições-para-a-atividade"/>
      <w:bookmarkEnd w:id="4"/>
      <w:r>
        <w:br w:type="page"/>
      </w:r>
    </w:p>
    <w:p w14:paraId="56A70B70" w14:textId="3D3E387B" w:rsidR="005934CA" w:rsidRDefault="00000000">
      <w:pPr>
        <w:pStyle w:val="Ttulo2"/>
      </w:pPr>
      <w:bookmarkStart w:id="6" w:name="X9d735d86af0e8462c42ddc86f52b537e5109a8c"/>
      <w:bookmarkEnd w:id="0"/>
      <w:bookmarkEnd w:id="5"/>
      <w:r>
        <w:lastRenderedPageBreak/>
        <w:t>Entregável 1 — Termo de abertura da descoberta</w:t>
      </w:r>
    </w:p>
    <w:p w14:paraId="616E995C" w14:textId="17099DFA" w:rsidR="005934CA" w:rsidRDefault="00000000">
      <w:r>
        <w:t>Preencha o enquadramento antes de desenhar o fluxo.</w:t>
      </w:r>
    </w:p>
    <w:tbl>
      <w:tblPr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2F2F2" w:themeFill="background1" w:themeFillShade="F2"/>
        <w:tblLook w:val="0020" w:firstRow="1" w:lastRow="0" w:firstColumn="0" w:lastColumn="0" w:noHBand="0" w:noVBand="0"/>
      </w:tblPr>
      <w:tblGrid>
        <w:gridCol w:w="3858"/>
        <w:gridCol w:w="6173"/>
      </w:tblGrid>
      <w:tr w:rsidR="00946BF8" w14:paraId="7887CBB0" w14:textId="77777777" w:rsidTr="00946BF8">
        <w:trPr>
          <w:tblHeader/>
        </w:trPr>
        <w:tc>
          <w:tcPr>
            <w:tcW w:w="0" w:type="auto"/>
            <w:shd w:val="clear" w:color="auto" w:fill="F2F2F2" w:themeFill="background1" w:themeFillShade="F2"/>
          </w:tcPr>
          <w:p w14:paraId="6AFE37CF" w14:textId="77777777" w:rsidR="00946BF8" w:rsidRDefault="00946BF8">
            <w:r>
              <w:t>Elemento</w:t>
            </w:r>
          </w:p>
        </w:tc>
        <w:tc>
          <w:tcPr>
            <w:tcW w:w="6173" w:type="dxa"/>
            <w:shd w:val="clear" w:color="auto" w:fill="F2F2F2" w:themeFill="background1" w:themeFillShade="F2"/>
          </w:tcPr>
          <w:p w14:paraId="3A4EB523" w14:textId="77777777" w:rsidR="00946BF8" w:rsidRDefault="00946BF8">
            <w:r>
              <w:t>Justificativa e fonte</w:t>
            </w:r>
          </w:p>
        </w:tc>
      </w:tr>
      <w:tr w:rsidR="00946BF8" w14:paraId="1C8FD442" w14:textId="77777777" w:rsidTr="00946BF8">
        <w:tc>
          <w:tcPr>
            <w:tcW w:w="0" w:type="auto"/>
            <w:shd w:val="clear" w:color="auto" w:fill="F2F2F2" w:themeFill="background1" w:themeFillShade="F2"/>
          </w:tcPr>
          <w:p w14:paraId="0C9E2630" w14:textId="77777777" w:rsidR="00946BF8" w:rsidRDefault="00946BF8">
            <w:r>
              <w:t>Propósito do modelo AS-IS</w:t>
            </w:r>
          </w:p>
        </w:tc>
        <w:tc>
          <w:tcPr>
            <w:tcW w:w="6173" w:type="dxa"/>
            <w:shd w:val="clear" w:color="auto" w:fill="F2F2F2" w:themeFill="background1" w:themeFillShade="F2"/>
          </w:tcPr>
          <w:p w14:paraId="68B255BB" w14:textId="77777777" w:rsidR="00946BF8" w:rsidRDefault="00946BF8"/>
        </w:tc>
      </w:tr>
      <w:tr w:rsidR="00946BF8" w14:paraId="0F5B164A" w14:textId="77777777" w:rsidTr="00946BF8">
        <w:tc>
          <w:tcPr>
            <w:tcW w:w="0" w:type="auto"/>
            <w:shd w:val="clear" w:color="auto" w:fill="F2F2F2" w:themeFill="background1" w:themeFillShade="F2"/>
          </w:tcPr>
          <w:p w14:paraId="54CE9BFA" w14:textId="77777777" w:rsidR="00946BF8" w:rsidRDefault="00946BF8">
            <w:r>
              <w:t>Evento inicial</w:t>
            </w:r>
          </w:p>
        </w:tc>
        <w:tc>
          <w:tcPr>
            <w:tcW w:w="6173" w:type="dxa"/>
            <w:shd w:val="clear" w:color="auto" w:fill="F2F2F2" w:themeFill="background1" w:themeFillShade="F2"/>
          </w:tcPr>
          <w:p w14:paraId="384A2430" w14:textId="77777777" w:rsidR="00946BF8" w:rsidRDefault="00946BF8"/>
        </w:tc>
      </w:tr>
      <w:tr w:rsidR="00946BF8" w14:paraId="6C497461" w14:textId="77777777" w:rsidTr="00946BF8">
        <w:tc>
          <w:tcPr>
            <w:tcW w:w="0" w:type="auto"/>
            <w:shd w:val="clear" w:color="auto" w:fill="F2F2F2" w:themeFill="background1" w:themeFillShade="F2"/>
          </w:tcPr>
          <w:p w14:paraId="3472C7FC" w14:textId="77777777" w:rsidR="00946BF8" w:rsidRDefault="00946BF8">
            <w:r>
              <w:t>Evento final e saída esperada</w:t>
            </w:r>
          </w:p>
        </w:tc>
        <w:tc>
          <w:tcPr>
            <w:tcW w:w="6173" w:type="dxa"/>
            <w:shd w:val="clear" w:color="auto" w:fill="F2F2F2" w:themeFill="background1" w:themeFillShade="F2"/>
          </w:tcPr>
          <w:p w14:paraId="6323B7A7" w14:textId="77777777" w:rsidR="00946BF8" w:rsidRDefault="00946BF8"/>
        </w:tc>
      </w:tr>
      <w:tr w:rsidR="00946BF8" w14:paraId="05E0A057" w14:textId="77777777" w:rsidTr="00946BF8">
        <w:tc>
          <w:tcPr>
            <w:tcW w:w="0" w:type="auto"/>
            <w:shd w:val="clear" w:color="auto" w:fill="F2F2F2" w:themeFill="background1" w:themeFillShade="F2"/>
          </w:tcPr>
          <w:p w14:paraId="5902B0F6" w14:textId="77777777" w:rsidR="00946BF8" w:rsidRDefault="00946BF8">
            <w:r>
              <w:t>Cliente/receptor da saída</w:t>
            </w:r>
          </w:p>
        </w:tc>
        <w:tc>
          <w:tcPr>
            <w:tcW w:w="6173" w:type="dxa"/>
            <w:shd w:val="clear" w:color="auto" w:fill="F2F2F2" w:themeFill="background1" w:themeFillShade="F2"/>
          </w:tcPr>
          <w:p w14:paraId="0E379876" w14:textId="77777777" w:rsidR="00946BF8" w:rsidRDefault="00946BF8"/>
        </w:tc>
      </w:tr>
      <w:tr w:rsidR="00946BF8" w14:paraId="140F0610" w14:textId="77777777" w:rsidTr="00946BF8">
        <w:tc>
          <w:tcPr>
            <w:tcW w:w="0" w:type="auto"/>
            <w:shd w:val="clear" w:color="auto" w:fill="F2F2F2" w:themeFill="background1" w:themeFillShade="F2"/>
          </w:tcPr>
          <w:p w14:paraId="1573E94C" w14:textId="77777777" w:rsidR="00946BF8" w:rsidRDefault="00946BF8">
            <w:r>
              <w:t>Dentro do escopo</w:t>
            </w:r>
          </w:p>
        </w:tc>
        <w:tc>
          <w:tcPr>
            <w:tcW w:w="6173" w:type="dxa"/>
            <w:shd w:val="clear" w:color="auto" w:fill="F2F2F2" w:themeFill="background1" w:themeFillShade="F2"/>
          </w:tcPr>
          <w:p w14:paraId="4A860F8A" w14:textId="77777777" w:rsidR="00946BF8" w:rsidRDefault="00946BF8"/>
        </w:tc>
      </w:tr>
      <w:tr w:rsidR="00946BF8" w14:paraId="1025E59A" w14:textId="77777777" w:rsidTr="00946BF8">
        <w:tc>
          <w:tcPr>
            <w:tcW w:w="0" w:type="auto"/>
            <w:shd w:val="clear" w:color="auto" w:fill="F2F2F2" w:themeFill="background1" w:themeFillShade="F2"/>
          </w:tcPr>
          <w:p w14:paraId="1F6860FE" w14:textId="77777777" w:rsidR="00946BF8" w:rsidRDefault="00946BF8">
            <w:r>
              <w:t>Fora do escopo</w:t>
            </w:r>
          </w:p>
        </w:tc>
        <w:tc>
          <w:tcPr>
            <w:tcW w:w="6173" w:type="dxa"/>
            <w:shd w:val="clear" w:color="auto" w:fill="F2F2F2" w:themeFill="background1" w:themeFillShade="F2"/>
          </w:tcPr>
          <w:p w14:paraId="5DE40879" w14:textId="77777777" w:rsidR="00946BF8" w:rsidRDefault="00946BF8"/>
        </w:tc>
      </w:tr>
      <w:tr w:rsidR="00946BF8" w14:paraId="2102BB5A" w14:textId="77777777" w:rsidTr="00946BF8">
        <w:tc>
          <w:tcPr>
            <w:tcW w:w="0" w:type="auto"/>
            <w:shd w:val="clear" w:color="auto" w:fill="F2F2F2" w:themeFill="background1" w:themeFillShade="F2"/>
          </w:tcPr>
          <w:p w14:paraId="18E5EEAF" w14:textId="77777777" w:rsidR="00946BF8" w:rsidRDefault="00946BF8">
            <w:r>
              <w:t>Nível: descritivo, analítico ou executável</w:t>
            </w:r>
          </w:p>
        </w:tc>
        <w:tc>
          <w:tcPr>
            <w:tcW w:w="6173" w:type="dxa"/>
            <w:shd w:val="clear" w:color="auto" w:fill="F2F2F2" w:themeFill="background1" w:themeFillShade="F2"/>
          </w:tcPr>
          <w:p w14:paraId="1F9E8FE3" w14:textId="77777777" w:rsidR="00946BF8" w:rsidRDefault="00946BF8"/>
        </w:tc>
      </w:tr>
      <w:tr w:rsidR="00946BF8" w14:paraId="40811DBA" w14:textId="77777777" w:rsidTr="00946BF8">
        <w:tc>
          <w:tcPr>
            <w:tcW w:w="0" w:type="auto"/>
            <w:shd w:val="clear" w:color="auto" w:fill="F2F2F2" w:themeFill="background1" w:themeFillShade="F2"/>
          </w:tcPr>
          <w:p w14:paraId="00DA34E8" w14:textId="77777777" w:rsidR="00946BF8" w:rsidRDefault="00946BF8">
            <w:r>
              <w:t>Notação/forma de representação</w:t>
            </w:r>
          </w:p>
        </w:tc>
        <w:tc>
          <w:tcPr>
            <w:tcW w:w="6173" w:type="dxa"/>
            <w:shd w:val="clear" w:color="auto" w:fill="F2F2F2" w:themeFill="background1" w:themeFillShade="F2"/>
          </w:tcPr>
          <w:p w14:paraId="13B276B8" w14:textId="77777777" w:rsidR="00946BF8" w:rsidRDefault="00946BF8"/>
        </w:tc>
      </w:tr>
      <w:tr w:rsidR="00946BF8" w14:paraId="5B55EB2C" w14:textId="77777777" w:rsidTr="00946BF8">
        <w:tc>
          <w:tcPr>
            <w:tcW w:w="0" w:type="auto"/>
            <w:shd w:val="clear" w:color="auto" w:fill="F2F2F2" w:themeFill="background1" w:themeFillShade="F2"/>
          </w:tcPr>
          <w:p w14:paraId="345E3AD8" w14:textId="77777777" w:rsidR="00946BF8" w:rsidRDefault="00946BF8">
            <w:r>
              <w:t>Três critérios de aceite do modelo</w:t>
            </w:r>
          </w:p>
        </w:tc>
        <w:tc>
          <w:tcPr>
            <w:tcW w:w="6173" w:type="dxa"/>
            <w:shd w:val="clear" w:color="auto" w:fill="F2F2F2" w:themeFill="background1" w:themeFillShade="F2"/>
          </w:tcPr>
          <w:p w14:paraId="226D6F5C" w14:textId="77777777" w:rsidR="00946BF8" w:rsidRDefault="00946BF8"/>
        </w:tc>
      </w:tr>
    </w:tbl>
    <w:p w14:paraId="0A2BCD28" w14:textId="77777777" w:rsidR="005934CA" w:rsidRDefault="00000000">
      <w:pPr>
        <w:pStyle w:val="Corpodetexto"/>
      </w:pPr>
      <w:r>
        <w:t>Expliquem, em até cinco linhas, por que o propósito escolhido exige esse nível de detalhamento.</w:t>
      </w:r>
    </w:p>
    <w:p w14:paraId="4D6A26A9" w14:textId="66FE4ABF" w:rsidR="005934CA" w:rsidRDefault="00000000">
      <w:pPr>
        <w:pStyle w:val="Ttulo2"/>
      </w:pPr>
      <w:bookmarkStart w:id="7" w:name="X39d0895e4c88f88227cb4eec4b6d7588b858162"/>
      <w:bookmarkEnd w:id="6"/>
      <w:r>
        <w:t>Entregável 2 — Plano de descoberta</w:t>
      </w:r>
    </w:p>
    <w:p w14:paraId="7C5A04E5" w14:textId="77777777" w:rsidR="005934CA" w:rsidRDefault="00000000">
      <w:r>
        <w:t>O dossiê é um ponto de partida, não uma descoberta completa. Proponham como continuariam o levantamento.</w:t>
      </w:r>
    </w:p>
    <w:tbl>
      <w:tblPr>
        <w:tblW w:w="5000" w:type="pct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2F2F2" w:themeFill="background1" w:themeFillShade="F2"/>
        <w:tblLayout w:type="fixed"/>
        <w:tblLook w:val="0020" w:firstRow="1" w:lastRow="0" w:firstColumn="0" w:lastColumn="0" w:noHBand="0" w:noVBand="0"/>
      </w:tblPr>
      <w:tblGrid>
        <w:gridCol w:w="2017"/>
        <w:gridCol w:w="2017"/>
        <w:gridCol w:w="2016"/>
        <w:gridCol w:w="2016"/>
        <w:gridCol w:w="2016"/>
      </w:tblGrid>
      <w:tr w:rsidR="005934CA" w14:paraId="4EFEFC66" w14:textId="77777777" w:rsidTr="002F68A4">
        <w:trPr>
          <w:tblHeader/>
        </w:trPr>
        <w:tc>
          <w:tcPr>
            <w:tcW w:w="1584" w:type="dxa"/>
            <w:shd w:val="clear" w:color="auto" w:fill="F2F2F2" w:themeFill="background1" w:themeFillShade="F2"/>
          </w:tcPr>
          <w:p w14:paraId="247ACDCA" w14:textId="77777777" w:rsidR="005934CA" w:rsidRDefault="00000000">
            <w:r>
              <w:t>Quem ou o que consultar</w:t>
            </w:r>
          </w:p>
        </w:tc>
        <w:tc>
          <w:tcPr>
            <w:tcW w:w="1584" w:type="dxa"/>
            <w:shd w:val="clear" w:color="auto" w:fill="F2F2F2" w:themeFill="background1" w:themeFillShade="F2"/>
          </w:tcPr>
          <w:p w14:paraId="163576F5" w14:textId="77777777" w:rsidR="005934CA" w:rsidRDefault="00000000">
            <w:r>
              <w:t>Informação que pode oferecer</w:t>
            </w:r>
          </w:p>
        </w:tc>
        <w:tc>
          <w:tcPr>
            <w:tcW w:w="1584" w:type="dxa"/>
            <w:shd w:val="clear" w:color="auto" w:fill="F2F2F2" w:themeFill="background1" w:themeFillShade="F2"/>
          </w:tcPr>
          <w:p w14:paraId="1C214DCD" w14:textId="77777777" w:rsidR="005934CA" w:rsidRDefault="00000000">
            <w:r>
              <w:t>Método</w:t>
            </w:r>
          </w:p>
        </w:tc>
        <w:tc>
          <w:tcPr>
            <w:tcW w:w="1584" w:type="dxa"/>
            <w:shd w:val="clear" w:color="auto" w:fill="F2F2F2" w:themeFill="background1" w:themeFillShade="F2"/>
          </w:tcPr>
          <w:p w14:paraId="44B27F2C" w14:textId="77777777" w:rsidR="005934CA" w:rsidRDefault="00000000">
            <w:r>
              <w:t>Por que essa fonte é necessária</w:t>
            </w:r>
          </w:p>
        </w:tc>
        <w:tc>
          <w:tcPr>
            <w:tcW w:w="1584" w:type="dxa"/>
            <w:shd w:val="clear" w:color="auto" w:fill="F2F2F2" w:themeFill="background1" w:themeFillShade="F2"/>
          </w:tcPr>
          <w:p w14:paraId="0EC5A2B0" w14:textId="77777777" w:rsidR="005934CA" w:rsidRDefault="00000000">
            <w:r>
              <w:t>Prioridade</w:t>
            </w:r>
          </w:p>
        </w:tc>
      </w:tr>
      <w:tr w:rsidR="005934CA" w14:paraId="7BE6767C" w14:textId="77777777" w:rsidTr="002F68A4">
        <w:tc>
          <w:tcPr>
            <w:tcW w:w="1584" w:type="dxa"/>
            <w:shd w:val="clear" w:color="auto" w:fill="F2F2F2" w:themeFill="background1" w:themeFillShade="F2"/>
          </w:tcPr>
          <w:p w14:paraId="2725B351" w14:textId="77777777" w:rsidR="005934CA" w:rsidRDefault="005934CA"/>
        </w:tc>
        <w:tc>
          <w:tcPr>
            <w:tcW w:w="1584" w:type="dxa"/>
            <w:shd w:val="clear" w:color="auto" w:fill="F2F2F2" w:themeFill="background1" w:themeFillShade="F2"/>
          </w:tcPr>
          <w:p w14:paraId="6C5CF13B" w14:textId="77777777" w:rsidR="005934CA" w:rsidRDefault="005934CA"/>
        </w:tc>
        <w:tc>
          <w:tcPr>
            <w:tcW w:w="1584" w:type="dxa"/>
            <w:shd w:val="clear" w:color="auto" w:fill="F2F2F2" w:themeFill="background1" w:themeFillShade="F2"/>
          </w:tcPr>
          <w:p w14:paraId="449F5739" w14:textId="77777777" w:rsidR="005934CA" w:rsidRDefault="005934CA"/>
        </w:tc>
        <w:tc>
          <w:tcPr>
            <w:tcW w:w="1584" w:type="dxa"/>
            <w:shd w:val="clear" w:color="auto" w:fill="F2F2F2" w:themeFill="background1" w:themeFillShade="F2"/>
          </w:tcPr>
          <w:p w14:paraId="2FE20A0A" w14:textId="77777777" w:rsidR="005934CA" w:rsidRDefault="005934CA"/>
        </w:tc>
        <w:tc>
          <w:tcPr>
            <w:tcW w:w="1584" w:type="dxa"/>
            <w:shd w:val="clear" w:color="auto" w:fill="F2F2F2" w:themeFill="background1" w:themeFillShade="F2"/>
          </w:tcPr>
          <w:p w14:paraId="0DA7DD6E" w14:textId="77777777" w:rsidR="005934CA" w:rsidRDefault="005934CA"/>
        </w:tc>
      </w:tr>
      <w:tr w:rsidR="005934CA" w14:paraId="59472709" w14:textId="77777777" w:rsidTr="002F68A4">
        <w:tc>
          <w:tcPr>
            <w:tcW w:w="1584" w:type="dxa"/>
            <w:shd w:val="clear" w:color="auto" w:fill="F2F2F2" w:themeFill="background1" w:themeFillShade="F2"/>
          </w:tcPr>
          <w:p w14:paraId="535C75B9" w14:textId="77777777" w:rsidR="005934CA" w:rsidRDefault="005934CA"/>
        </w:tc>
        <w:tc>
          <w:tcPr>
            <w:tcW w:w="1584" w:type="dxa"/>
            <w:shd w:val="clear" w:color="auto" w:fill="F2F2F2" w:themeFill="background1" w:themeFillShade="F2"/>
          </w:tcPr>
          <w:p w14:paraId="1D1D0BA8" w14:textId="77777777" w:rsidR="005934CA" w:rsidRDefault="005934CA"/>
        </w:tc>
        <w:tc>
          <w:tcPr>
            <w:tcW w:w="1584" w:type="dxa"/>
            <w:shd w:val="clear" w:color="auto" w:fill="F2F2F2" w:themeFill="background1" w:themeFillShade="F2"/>
          </w:tcPr>
          <w:p w14:paraId="7E54F083" w14:textId="77777777" w:rsidR="005934CA" w:rsidRDefault="005934CA"/>
        </w:tc>
        <w:tc>
          <w:tcPr>
            <w:tcW w:w="1584" w:type="dxa"/>
            <w:shd w:val="clear" w:color="auto" w:fill="F2F2F2" w:themeFill="background1" w:themeFillShade="F2"/>
          </w:tcPr>
          <w:p w14:paraId="1B9BD28B" w14:textId="77777777" w:rsidR="005934CA" w:rsidRDefault="005934CA"/>
        </w:tc>
        <w:tc>
          <w:tcPr>
            <w:tcW w:w="1584" w:type="dxa"/>
            <w:shd w:val="clear" w:color="auto" w:fill="F2F2F2" w:themeFill="background1" w:themeFillShade="F2"/>
          </w:tcPr>
          <w:p w14:paraId="43E8E933" w14:textId="77777777" w:rsidR="005934CA" w:rsidRDefault="005934CA"/>
        </w:tc>
      </w:tr>
      <w:tr w:rsidR="005934CA" w14:paraId="0750A3FF" w14:textId="77777777" w:rsidTr="002F68A4">
        <w:tc>
          <w:tcPr>
            <w:tcW w:w="1584" w:type="dxa"/>
            <w:shd w:val="clear" w:color="auto" w:fill="F2F2F2" w:themeFill="background1" w:themeFillShade="F2"/>
          </w:tcPr>
          <w:p w14:paraId="19B1787C" w14:textId="77777777" w:rsidR="005934CA" w:rsidRDefault="005934CA"/>
        </w:tc>
        <w:tc>
          <w:tcPr>
            <w:tcW w:w="1584" w:type="dxa"/>
            <w:shd w:val="clear" w:color="auto" w:fill="F2F2F2" w:themeFill="background1" w:themeFillShade="F2"/>
          </w:tcPr>
          <w:p w14:paraId="4867FC52" w14:textId="77777777" w:rsidR="005934CA" w:rsidRDefault="005934CA"/>
        </w:tc>
        <w:tc>
          <w:tcPr>
            <w:tcW w:w="1584" w:type="dxa"/>
            <w:shd w:val="clear" w:color="auto" w:fill="F2F2F2" w:themeFill="background1" w:themeFillShade="F2"/>
          </w:tcPr>
          <w:p w14:paraId="5847B65F" w14:textId="77777777" w:rsidR="005934CA" w:rsidRDefault="005934CA"/>
        </w:tc>
        <w:tc>
          <w:tcPr>
            <w:tcW w:w="1584" w:type="dxa"/>
            <w:shd w:val="clear" w:color="auto" w:fill="F2F2F2" w:themeFill="background1" w:themeFillShade="F2"/>
          </w:tcPr>
          <w:p w14:paraId="522C3985" w14:textId="77777777" w:rsidR="005934CA" w:rsidRDefault="005934CA"/>
        </w:tc>
        <w:tc>
          <w:tcPr>
            <w:tcW w:w="1584" w:type="dxa"/>
            <w:shd w:val="clear" w:color="auto" w:fill="F2F2F2" w:themeFill="background1" w:themeFillShade="F2"/>
          </w:tcPr>
          <w:p w14:paraId="05A78973" w14:textId="77777777" w:rsidR="005934CA" w:rsidRDefault="005934CA"/>
        </w:tc>
      </w:tr>
      <w:tr w:rsidR="005934CA" w14:paraId="009DFAF9" w14:textId="77777777" w:rsidTr="002F68A4">
        <w:tc>
          <w:tcPr>
            <w:tcW w:w="1584" w:type="dxa"/>
            <w:shd w:val="clear" w:color="auto" w:fill="F2F2F2" w:themeFill="background1" w:themeFillShade="F2"/>
          </w:tcPr>
          <w:p w14:paraId="3BB02F59" w14:textId="77777777" w:rsidR="005934CA" w:rsidRDefault="005934CA"/>
        </w:tc>
        <w:tc>
          <w:tcPr>
            <w:tcW w:w="1584" w:type="dxa"/>
            <w:shd w:val="clear" w:color="auto" w:fill="F2F2F2" w:themeFill="background1" w:themeFillShade="F2"/>
          </w:tcPr>
          <w:p w14:paraId="71154EA2" w14:textId="77777777" w:rsidR="005934CA" w:rsidRDefault="005934CA"/>
        </w:tc>
        <w:tc>
          <w:tcPr>
            <w:tcW w:w="1584" w:type="dxa"/>
            <w:shd w:val="clear" w:color="auto" w:fill="F2F2F2" w:themeFill="background1" w:themeFillShade="F2"/>
          </w:tcPr>
          <w:p w14:paraId="59768CDE" w14:textId="77777777" w:rsidR="005934CA" w:rsidRDefault="005934CA"/>
        </w:tc>
        <w:tc>
          <w:tcPr>
            <w:tcW w:w="1584" w:type="dxa"/>
            <w:shd w:val="clear" w:color="auto" w:fill="F2F2F2" w:themeFill="background1" w:themeFillShade="F2"/>
          </w:tcPr>
          <w:p w14:paraId="34070FC5" w14:textId="77777777" w:rsidR="005934CA" w:rsidRDefault="005934CA"/>
        </w:tc>
        <w:tc>
          <w:tcPr>
            <w:tcW w:w="1584" w:type="dxa"/>
            <w:shd w:val="clear" w:color="auto" w:fill="F2F2F2" w:themeFill="background1" w:themeFillShade="F2"/>
          </w:tcPr>
          <w:p w14:paraId="0DF4BA5B" w14:textId="77777777" w:rsidR="005934CA" w:rsidRDefault="005934CA"/>
        </w:tc>
      </w:tr>
      <w:tr w:rsidR="005934CA" w14:paraId="41E7A2A5" w14:textId="77777777" w:rsidTr="002F68A4">
        <w:tc>
          <w:tcPr>
            <w:tcW w:w="1584" w:type="dxa"/>
            <w:shd w:val="clear" w:color="auto" w:fill="F2F2F2" w:themeFill="background1" w:themeFillShade="F2"/>
          </w:tcPr>
          <w:p w14:paraId="47B1C1A1" w14:textId="77777777" w:rsidR="005934CA" w:rsidRDefault="005934CA"/>
        </w:tc>
        <w:tc>
          <w:tcPr>
            <w:tcW w:w="1584" w:type="dxa"/>
            <w:shd w:val="clear" w:color="auto" w:fill="F2F2F2" w:themeFill="background1" w:themeFillShade="F2"/>
          </w:tcPr>
          <w:p w14:paraId="095E068C" w14:textId="77777777" w:rsidR="005934CA" w:rsidRDefault="005934CA"/>
        </w:tc>
        <w:tc>
          <w:tcPr>
            <w:tcW w:w="1584" w:type="dxa"/>
            <w:shd w:val="clear" w:color="auto" w:fill="F2F2F2" w:themeFill="background1" w:themeFillShade="F2"/>
          </w:tcPr>
          <w:p w14:paraId="772DEB9E" w14:textId="77777777" w:rsidR="005934CA" w:rsidRDefault="005934CA"/>
        </w:tc>
        <w:tc>
          <w:tcPr>
            <w:tcW w:w="1584" w:type="dxa"/>
            <w:shd w:val="clear" w:color="auto" w:fill="F2F2F2" w:themeFill="background1" w:themeFillShade="F2"/>
          </w:tcPr>
          <w:p w14:paraId="37B50688" w14:textId="77777777" w:rsidR="005934CA" w:rsidRDefault="005934CA"/>
        </w:tc>
        <w:tc>
          <w:tcPr>
            <w:tcW w:w="1584" w:type="dxa"/>
            <w:shd w:val="clear" w:color="auto" w:fill="F2F2F2" w:themeFill="background1" w:themeFillShade="F2"/>
          </w:tcPr>
          <w:p w14:paraId="36C86C18" w14:textId="77777777" w:rsidR="005934CA" w:rsidRDefault="005934CA"/>
        </w:tc>
      </w:tr>
      <w:tr w:rsidR="005934CA" w14:paraId="0BAEEBA8" w14:textId="77777777" w:rsidTr="002F68A4">
        <w:tc>
          <w:tcPr>
            <w:tcW w:w="1584" w:type="dxa"/>
            <w:shd w:val="clear" w:color="auto" w:fill="F2F2F2" w:themeFill="background1" w:themeFillShade="F2"/>
          </w:tcPr>
          <w:p w14:paraId="6E576A2E" w14:textId="77777777" w:rsidR="005934CA" w:rsidRDefault="005934CA"/>
        </w:tc>
        <w:tc>
          <w:tcPr>
            <w:tcW w:w="1584" w:type="dxa"/>
            <w:shd w:val="clear" w:color="auto" w:fill="F2F2F2" w:themeFill="background1" w:themeFillShade="F2"/>
          </w:tcPr>
          <w:p w14:paraId="2A91698A" w14:textId="77777777" w:rsidR="005934CA" w:rsidRDefault="005934CA"/>
        </w:tc>
        <w:tc>
          <w:tcPr>
            <w:tcW w:w="1584" w:type="dxa"/>
            <w:shd w:val="clear" w:color="auto" w:fill="F2F2F2" w:themeFill="background1" w:themeFillShade="F2"/>
          </w:tcPr>
          <w:p w14:paraId="278A8C28" w14:textId="77777777" w:rsidR="005934CA" w:rsidRDefault="005934CA"/>
        </w:tc>
        <w:tc>
          <w:tcPr>
            <w:tcW w:w="1584" w:type="dxa"/>
            <w:shd w:val="clear" w:color="auto" w:fill="F2F2F2" w:themeFill="background1" w:themeFillShade="F2"/>
          </w:tcPr>
          <w:p w14:paraId="092F96C7" w14:textId="77777777" w:rsidR="005934CA" w:rsidRDefault="005934CA"/>
        </w:tc>
        <w:tc>
          <w:tcPr>
            <w:tcW w:w="1584" w:type="dxa"/>
            <w:shd w:val="clear" w:color="auto" w:fill="F2F2F2" w:themeFill="background1" w:themeFillShade="F2"/>
          </w:tcPr>
          <w:p w14:paraId="01B80545" w14:textId="77777777" w:rsidR="005934CA" w:rsidRDefault="005934CA"/>
        </w:tc>
      </w:tr>
    </w:tbl>
    <w:p w14:paraId="5093395D" w14:textId="77777777" w:rsidR="005934CA" w:rsidRDefault="00000000">
      <w:pPr>
        <w:pStyle w:val="Corpodetexto"/>
      </w:pPr>
      <w:r>
        <w:t>O plano deve:</w:t>
      </w:r>
    </w:p>
    <w:p w14:paraId="3B0C917F" w14:textId="77777777" w:rsidR="005934CA" w:rsidRDefault="00000000">
      <w:pPr>
        <w:numPr>
          <w:ilvl w:val="0"/>
          <w:numId w:val="16"/>
        </w:numPr>
      </w:pPr>
      <w:r>
        <w:t>incluir patrocinador, executores da linha de frente, coordenação, Secretaria, TI e estudantes;</w:t>
      </w:r>
    </w:p>
    <w:p w14:paraId="6C369531" w14:textId="77777777" w:rsidR="005934CA" w:rsidRDefault="00000000">
      <w:pPr>
        <w:numPr>
          <w:ilvl w:val="0"/>
          <w:numId w:val="16"/>
        </w:numPr>
      </w:pPr>
      <w:r>
        <w:t>combinar pelo menos quatro tipos de evidência entre entrevista, observação, documento, log/dado e workshop;</w:t>
      </w:r>
    </w:p>
    <w:p w14:paraId="050673C3" w14:textId="77777777" w:rsidR="005934CA" w:rsidRDefault="00000000">
      <w:pPr>
        <w:numPr>
          <w:ilvl w:val="0"/>
          <w:numId w:val="16"/>
        </w:numPr>
      </w:pPr>
      <w:r>
        <w:t>combinar escolhas centralizada/distribuída, top-down/bottom-up e livre/estruturada;</w:t>
      </w:r>
    </w:p>
    <w:p w14:paraId="6393B629" w14:textId="77777777" w:rsidR="005934CA" w:rsidRDefault="00000000">
      <w:pPr>
        <w:numPr>
          <w:ilvl w:val="0"/>
          <w:numId w:val="16"/>
        </w:numPr>
      </w:pPr>
      <w:r>
        <w:t>indicar como reduzir o risco de hierarquia, memória seletiva ou medo de expor problemas.</w:t>
      </w:r>
    </w:p>
    <w:p w14:paraId="34C0372F" w14:textId="77777777" w:rsidR="005934CA" w:rsidRDefault="00000000">
      <w:r>
        <w:t xml:space="preserve">Resumam a estratégia em três frases: </w:t>
      </w:r>
      <w:r>
        <w:rPr>
          <w:b/>
          <w:bCs/>
        </w:rPr>
        <w:t>como enquadrar</w:t>
      </w:r>
      <w:r>
        <w:t xml:space="preserve">, </w:t>
      </w:r>
      <w:r>
        <w:rPr>
          <w:b/>
          <w:bCs/>
        </w:rPr>
        <w:t>como revelar a prática</w:t>
      </w:r>
      <w:r>
        <w:t xml:space="preserve"> e </w:t>
      </w:r>
      <w:r>
        <w:rPr>
          <w:b/>
          <w:bCs/>
        </w:rPr>
        <w:t>como consolidar</w:t>
      </w:r>
      <w:r>
        <w:t>.</w:t>
      </w:r>
    </w:p>
    <w:p w14:paraId="4D11DC51" w14:textId="5129AB8D" w:rsidR="005934CA" w:rsidRDefault="00000000">
      <w:pPr>
        <w:pStyle w:val="Ttulo2"/>
      </w:pPr>
      <w:bookmarkStart w:id="8" w:name="Xcab4cf837bbcb8a7ace03d0cd2841079793e527"/>
      <w:bookmarkEnd w:id="7"/>
      <w:r>
        <w:t>Entregável 3 — Matriz de evidências, divergências e lacunas</w:t>
      </w:r>
    </w:p>
    <w:p w14:paraId="413DEBE3" w14:textId="77777777" w:rsidR="005934CA" w:rsidRDefault="00000000">
      <w:r>
        <w:t xml:space="preserve">Registrem no mínimo </w:t>
      </w:r>
      <w:r>
        <w:rPr>
          <w:b/>
          <w:bCs/>
        </w:rPr>
        <w:t>seis achados</w:t>
      </w:r>
      <w:r>
        <w:t>, contendo:</w:t>
      </w:r>
    </w:p>
    <w:p w14:paraId="7F8F42D8" w14:textId="77777777" w:rsidR="005934CA" w:rsidRDefault="00000000">
      <w:pPr>
        <w:numPr>
          <w:ilvl w:val="0"/>
          <w:numId w:val="17"/>
        </w:numPr>
      </w:pPr>
      <w:r>
        <w:t>dois pontos em que fontes se confirmam;</w:t>
      </w:r>
    </w:p>
    <w:p w14:paraId="36046170" w14:textId="77777777" w:rsidR="005934CA" w:rsidRDefault="00000000">
      <w:pPr>
        <w:numPr>
          <w:ilvl w:val="0"/>
          <w:numId w:val="17"/>
        </w:numPr>
      </w:pPr>
      <w:r>
        <w:t>dois pontos em que fontes divergem ou mostram prescrito versus praticado;</w:t>
      </w:r>
    </w:p>
    <w:p w14:paraId="611AE106" w14:textId="77777777" w:rsidR="005934CA" w:rsidRDefault="00000000">
      <w:pPr>
        <w:numPr>
          <w:ilvl w:val="0"/>
          <w:numId w:val="17"/>
        </w:numPr>
      </w:pPr>
      <w:r>
        <w:t>duas lacunas que impedem afirmar como o processo funciona.</w:t>
      </w:r>
    </w:p>
    <w:tbl>
      <w:tblPr>
        <w:tblW w:w="5000" w:type="pct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2F2F2" w:themeFill="background1" w:themeFillShade="F2"/>
        <w:tblLayout w:type="fixed"/>
        <w:tblLook w:val="0020" w:firstRow="1" w:lastRow="0" w:firstColumn="0" w:lastColumn="0" w:noHBand="0" w:noVBand="0"/>
      </w:tblPr>
      <w:tblGrid>
        <w:gridCol w:w="1441"/>
        <w:gridCol w:w="1441"/>
        <w:gridCol w:w="1440"/>
        <w:gridCol w:w="1440"/>
        <w:gridCol w:w="1440"/>
        <w:gridCol w:w="1440"/>
        <w:gridCol w:w="1440"/>
      </w:tblGrid>
      <w:tr w:rsidR="005934CA" w14:paraId="22BC3449" w14:textId="77777777" w:rsidTr="002F68A4">
        <w:trPr>
          <w:tblHeader/>
        </w:trPr>
        <w:tc>
          <w:tcPr>
            <w:tcW w:w="1441" w:type="dxa"/>
            <w:shd w:val="clear" w:color="auto" w:fill="F2F2F2" w:themeFill="background1" w:themeFillShade="F2"/>
          </w:tcPr>
          <w:p w14:paraId="5F378D20" w14:textId="77777777" w:rsidR="005934CA" w:rsidRDefault="00000000">
            <w:r>
              <w:lastRenderedPageBreak/>
              <w:t>ID</w:t>
            </w:r>
          </w:p>
        </w:tc>
        <w:tc>
          <w:tcPr>
            <w:tcW w:w="1441" w:type="dxa"/>
            <w:shd w:val="clear" w:color="auto" w:fill="F2F2F2" w:themeFill="background1" w:themeFillShade="F2"/>
          </w:tcPr>
          <w:p w14:paraId="712DFEAE" w14:textId="77777777" w:rsidR="005934CA" w:rsidRDefault="00000000">
            <w:r>
              <w:t>Afirmação sobre o processo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14:paraId="0C90554C" w14:textId="77777777" w:rsidR="005934CA" w:rsidRDefault="00000000">
            <w:r>
              <w:t>Tipo: fato, relato, interpretação ou hipótese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14:paraId="1824F04C" w14:textId="77777777" w:rsidR="005934CA" w:rsidRDefault="00000000">
            <w:r>
              <w:t>Fonte(s)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14:paraId="5C23431D" w14:textId="77777777" w:rsidR="005934CA" w:rsidRDefault="00000000">
            <w:r>
              <w:t>Confiança: alta, média ou baixa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14:paraId="4FD28F85" w14:textId="77777777" w:rsidR="005934CA" w:rsidRDefault="00000000">
            <w:r>
              <w:t>Divergência/lacuna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14:paraId="5BD8AEF1" w14:textId="77777777" w:rsidR="005934CA" w:rsidRDefault="00000000">
            <w:r>
              <w:t>Como confirmar ou refutar</w:t>
            </w:r>
          </w:p>
        </w:tc>
      </w:tr>
      <w:tr w:rsidR="005934CA" w14:paraId="31D925A9" w14:textId="77777777" w:rsidTr="002F68A4">
        <w:tc>
          <w:tcPr>
            <w:tcW w:w="1441" w:type="dxa"/>
            <w:shd w:val="clear" w:color="auto" w:fill="F2F2F2" w:themeFill="background1" w:themeFillShade="F2"/>
          </w:tcPr>
          <w:p w14:paraId="292E9B1B" w14:textId="77777777" w:rsidR="005934CA" w:rsidRDefault="00000000">
            <w:r>
              <w:t>A1</w:t>
            </w:r>
          </w:p>
        </w:tc>
        <w:tc>
          <w:tcPr>
            <w:tcW w:w="1441" w:type="dxa"/>
            <w:shd w:val="clear" w:color="auto" w:fill="F2F2F2" w:themeFill="background1" w:themeFillShade="F2"/>
          </w:tcPr>
          <w:p w14:paraId="7C011254" w14:textId="77777777" w:rsidR="005934CA" w:rsidRDefault="005934CA"/>
        </w:tc>
        <w:tc>
          <w:tcPr>
            <w:tcW w:w="1440" w:type="dxa"/>
            <w:shd w:val="clear" w:color="auto" w:fill="F2F2F2" w:themeFill="background1" w:themeFillShade="F2"/>
          </w:tcPr>
          <w:p w14:paraId="50291135" w14:textId="77777777" w:rsidR="005934CA" w:rsidRDefault="005934CA"/>
        </w:tc>
        <w:tc>
          <w:tcPr>
            <w:tcW w:w="1440" w:type="dxa"/>
            <w:shd w:val="clear" w:color="auto" w:fill="F2F2F2" w:themeFill="background1" w:themeFillShade="F2"/>
          </w:tcPr>
          <w:p w14:paraId="5285FF49" w14:textId="77777777" w:rsidR="005934CA" w:rsidRDefault="005934CA"/>
        </w:tc>
        <w:tc>
          <w:tcPr>
            <w:tcW w:w="1440" w:type="dxa"/>
            <w:shd w:val="clear" w:color="auto" w:fill="F2F2F2" w:themeFill="background1" w:themeFillShade="F2"/>
          </w:tcPr>
          <w:p w14:paraId="799F75F9" w14:textId="77777777" w:rsidR="005934CA" w:rsidRDefault="005934CA"/>
        </w:tc>
        <w:tc>
          <w:tcPr>
            <w:tcW w:w="1440" w:type="dxa"/>
            <w:shd w:val="clear" w:color="auto" w:fill="F2F2F2" w:themeFill="background1" w:themeFillShade="F2"/>
          </w:tcPr>
          <w:p w14:paraId="757DC538" w14:textId="77777777" w:rsidR="005934CA" w:rsidRDefault="005934CA"/>
        </w:tc>
        <w:tc>
          <w:tcPr>
            <w:tcW w:w="1440" w:type="dxa"/>
            <w:shd w:val="clear" w:color="auto" w:fill="F2F2F2" w:themeFill="background1" w:themeFillShade="F2"/>
          </w:tcPr>
          <w:p w14:paraId="7503E79B" w14:textId="77777777" w:rsidR="005934CA" w:rsidRDefault="005934CA"/>
        </w:tc>
      </w:tr>
      <w:tr w:rsidR="005934CA" w14:paraId="50DCC638" w14:textId="77777777" w:rsidTr="002F68A4">
        <w:tc>
          <w:tcPr>
            <w:tcW w:w="1441" w:type="dxa"/>
            <w:shd w:val="clear" w:color="auto" w:fill="F2F2F2" w:themeFill="background1" w:themeFillShade="F2"/>
          </w:tcPr>
          <w:p w14:paraId="7286A413" w14:textId="77777777" w:rsidR="005934CA" w:rsidRDefault="00000000">
            <w:r>
              <w:t>A2</w:t>
            </w:r>
          </w:p>
        </w:tc>
        <w:tc>
          <w:tcPr>
            <w:tcW w:w="1441" w:type="dxa"/>
            <w:shd w:val="clear" w:color="auto" w:fill="F2F2F2" w:themeFill="background1" w:themeFillShade="F2"/>
          </w:tcPr>
          <w:p w14:paraId="32516B62" w14:textId="77777777" w:rsidR="005934CA" w:rsidRDefault="005934CA"/>
        </w:tc>
        <w:tc>
          <w:tcPr>
            <w:tcW w:w="1440" w:type="dxa"/>
            <w:shd w:val="clear" w:color="auto" w:fill="F2F2F2" w:themeFill="background1" w:themeFillShade="F2"/>
          </w:tcPr>
          <w:p w14:paraId="78915974" w14:textId="77777777" w:rsidR="005934CA" w:rsidRDefault="005934CA"/>
        </w:tc>
        <w:tc>
          <w:tcPr>
            <w:tcW w:w="1440" w:type="dxa"/>
            <w:shd w:val="clear" w:color="auto" w:fill="F2F2F2" w:themeFill="background1" w:themeFillShade="F2"/>
          </w:tcPr>
          <w:p w14:paraId="7B21A296" w14:textId="77777777" w:rsidR="005934CA" w:rsidRDefault="005934CA"/>
        </w:tc>
        <w:tc>
          <w:tcPr>
            <w:tcW w:w="1440" w:type="dxa"/>
            <w:shd w:val="clear" w:color="auto" w:fill="F2F2F2" w:themeFill="background1" w:themeFillShade="F2"/>
          </w:tcPr>
          <w:p w14:paraId="54674077" w14:textId="77777777" w:rsidR="005934CA" w:rsidRDefault="005934CA"/>
        </w:tc>
        <w:tc>
          <w:tcPr>
            <w:tcW w:w="1440" w:type="dxa"/>
            <w:shd w:val="clear" w:color="auto" w:fill="F2F2F2" w:themeFill="background1" w:themeFillShade="F2"/>
          </w:tcPr>
          <w:p w14:paraId="1820E555" w14:textId="77777777" w:rsidR="005934CA" w:rsidRDefault="005934CA"/>
        </w:tc>
        <w:tc>
          <w:tcPr>
            <w:tcW w:w="1440" w:type="dxa"/>
            <w:shd w:val="clear" w:color="auto" w:fill="F2F2F2" w:themeFill="background1" w:themeFillShade="F2"/>
          </w:tcPr>
          <w:p w14:paraId="410AA806" w14:textId="77777777" w:rsidR="005934CA" w:rsidRDefault="005934CA"/>
        </w:tc>
      </w:tr>
      <w:tr w:rsidR="005934CA" w14:paraId="6DB03C6B" w14:textId="77777777" w:rsidTr="002F68A4">
        <w:tc>
          <w:tcPr>
            <w:tcW w:w="1441" w:type="dxa"/>
            <w:shd w:val="clear" w:color="auto" w:fill="F2F2F2" w:themeFill="background1" w:themeFillShade="F2"/>
          </w:tcPr>
          <w:p w14:paraId="40AD3C98" w14:textId="77777777" w:rsidR="005934CA" w:rsidRDefault="00000000">
            <w:r>
              <w:t>A3</w:t>
            </w:r>
          </w:p>
        </w:tc>
        <w:tc>
          <w:tcPr>
            <w:tcW w:w="1441" w:type="dxa"/>
            <w:shd w:val="clear" w:color="auto" w:fill="F2F2F2" w:themeFill="background1" w:themeFillShade="F2"/>
          </w:tcPr>
          <w:p w14:paraId="50FA5C6C" w14:textId="77777777" w:rsidR="005934CA" w:rsidRDefault="005934CA"/>
        </w:tc>
        <w:tc>
          <w:tcPr>
            <w:tcW w:w="1440" w:type="dxa"/>
            <w:shd w:val="clear" w:color="auto" w:fill="F2F2F2" w:themeFill="background1" w:themeFillShade="F2"/>
          </w:tcPr>
          <w:p w14:paraId="2FB886D5" w14:textId="77777777" w:rsidR="005934CA" w:rsidRDefault="005934CA"/>
        </w:tc>
        <w:tc>
          <w:tcPr>
            <w:tcW w:w="1440" w:type="dxa"/>
            <w:shd w:val="clear" w:color="auto" w:fill="F2F2F2" w:themeFill="background1" w:themeFillShade="F2"/>
          </w:tcPr>
          <w:p w14:paraId="55196CEC" w14:textId="77777777" w:rsidR="005934CA" w:rsidRDefault="005934CA"/>
        </w:tc>
        <w:tc>
          <w:tcPr>
            <w:tcW w:w="1440" w:type="dxa"/>
            <w:shd w:val="clear" w:color="auto" w:fill="F2F2F2" w:themeFill="background1" w:themeFillShade="F2"/>
          </w:tcPr>
          <w:p w14:paraId="4B7487E1" w14:textId="77777777" w:rsidR="005934CA" w:rsidRDefault="005934CA"/>
        </w:tc>
        <w:tc>
          <w:tcPr>
            <w:tcW w:w="1440" w:type="dxa"/>
            <w:shd w:val="clear" w:color="auto" w:fill="F2F2F2" w:themeFill="background1" w:themeFillShade="F2"/>
          </w:tcPr>
          <w:p w14:paraId="508D9D07" w14:textId="77777777" w:rsidR="005934CA" w:rsidRDefault="005934CA"/>
        </w:tc>
        <w:tc>
          <w:tcPr>
            <w:tcW w:w="1440" w:type="dxa"/>
            <w:shd w:val="clear" w:color="auto" w:fill="F2F2F2" w:themeFill="background1" w:themeFillShade="F2"/>
          </w:tcPr>
          <w:p w14:paraId="63CDEAA9" w14:textId="77777777" w:rsidR="005934CA" w:rsidRDefault="005934CA"/>
        </w:tc>
      </w:tr>
    </w:tbl>
    <w:p w14:paraId="03AC1543" w14:textId="77777777" w:rsidR="005934CA" w:rsidRDefault="00000000">
      <w:pPr>
        <w:pStyle w:val="Corpodetexto"/>
      </w:pPr>
      <w:r>
        <w:t>Escolham a divergência mais importante para a fidelidade do AS-IS e expliquem como foi tratada no modelo: como variante, desconformidade, incerteza ou outro tratamento justificado.</w:t>
      </w:r>
    </w:p>
    <w:p w14:paraId="7BB86D59" w14:textId="46A71651" w:rsidR="005934CA" w:rsidRDefault="00000000">
      <w:pPr>
        <w:pStyle w:val="Ttulo2"/>
      </w:pPr>
      <w:bookmarkStart w:id="9" w:name="Xaab850540406c5fdca9de919fd64e4877a4958f"/>
      <w:bookmarkEnd w:id="8"/>
      <w:r>
        <w:t xml:space="preserve">Entregável 4 — Modelo do processo AS-IS </w:t>
      </w:r>
    </w:p>
    <w:p w14:paraId="6D47F082" w14:textId="77777777" w:rsidR="005934CA" w:rsidRDefault="00000000">
      <w:r>
        <w:t>Construam um modelo ponta a ponta do processo atual. O desenho deve conter:</w:t>
      </w:r>
    </w:p>
    <w:p w14:paraId="7BE28AC2" w14:textId="77777777" w:rsidR="005934CA" w:rsidRDefault="00000000">
      <w:pPr>
        <w:numPr>
          <w:ilvl w:val="0"/>
          <w:numId w:val="18"/>
        </w:numPr>
      </w:pPr>
      <w:r>
        <w:t xml:space="preserve">início, fim e </w:t>
      </w:r>
      <w:r>
        <w:rPr>
          <w:b/>
          <w:bCs/>
        </w:rPr>
        <w:t>10 a 16 atividades</w:t>
      </w:r>
      <w:r>
        <w:t xml:space="preserve"> nomeadas com verbo e objeto;</w:t>
      </w:r>
    </w:p>
    <w:p w14:paraId="3CF22518" w14:textId="77777777" w:rsidR="005934CA" w:rsidRDefault="00000000">
      <w:pPr>
        <w:numPr>
          <w:ilvl w:val="0"/>
          <w:numId w:val="18"/>
        </w:numPr>
      </w:pPr>
      <w:r>
        <w:t>papéis ou raias;</w:t>
      </w:r>
    </w:p>
    <w:p w14:paraId="3085E3DC" w14:textId="77777777" w:rsidR="005934CA" w:rsidRDefault="00000000">
      <w:pPr>
        <w:numPr>
          <w:ilvl w:val="0"/>
          <w:numId w:val="18"/>
        </w:numPr>
      </w:pPr>
      <w:r>
        <w:t>Portal, sistema acadêmico, e-mail e planilhas nos pontos em que participam do trabalho;</w:t>
      </w:r>
    </w:p>
    <w:p w14:paraId="1B83361B" w14:textId="77777777" w:rsidR="005934CA" w:rsidRDefault="00000000">
      <w:pPr>
        <w:numPr>
          <w:ilvl w:val="0"/>
          <w:numId w:val="18"/>
        </w:numPr>
      </w:pPr>
      <w:r>
        <w:t>pelo menos três decisões com saídas identificáveis;</w:t>
      </w:r>
    </w:p>
    <w:p w14:paraId="13BF72B8" w14:textId="77777777" w:rsidR="005934CA" w:rsidRDefault="00000000">
      <w:pPr>
        <w:numPr>
          <w:ilvl w:val="0"/>
          <w:numId w:val="18"/>
        </w:numPr>
      </w:pPr>
      <w:r>
        <w:t>entrada pelo Portal e tratamento observado de entradas externas ao Portal;</w:t>
      </w:r>
    </w:p>
    <w:p w14:paraId="32A0A635" w14:textId="77777777" w:rsidR="005934CA" w:rsidRDefault="00000000">
      <w:pPr>
        <w:numPr>
          <w:ilvl w:val="0"/>
          <w:numId w:val="18"/>
        </w:numPr>
      </w:pPr>
      <w:r>
        <w:t>retorno por documentação incompleta e tratamento de duplicidade;</w:t>
      </w:r>
    </w:p>
    <w:p w14:paraId="5814FCEB" w14:textId="77777777" w:rsidR="005934CA" w:rsidRDefault="00000000">
      <w:pPr>
        <w:numPr>
          <w:ilvl w:val="0"/>
          <w:numId w:val="18"/>
        </w:numPr>
      </w:pPr>
      <w:r>
        <w:t>variante com consulta a professor;</w:t>
      </w:r>
    </w:p>
    <w:p w14:paraId="3837B005" w14:textId="77777777" w:rsidR="005934CA" w:rsidRDefault="00000000">
      <w:pPr>
        <w:numPr>
          <w:ilvl w:val="0"/>
          <w:numId w:val="18"/>
        </w:numPr>
      </w:pPr>
      <w:r>
        <w:t>decisão integral, parcial ou negativa;</w:t>
      </w:r>
    </w:p>
    <w:p w14:paraId="4B6871D4" w14:textId="77777777" w:rsidR="005934CA" w:rsidRDefault="00000000">
      <w:pPr>
        <w:numPr>
          <w:ilvl w:val="0"/>
          <w:numId w:val="18"/>
        </w:numPr>
      </w:pPr>
      <w:r>
        <w:t>eventual retorno da Secretaria à coordenação;</w:t>
      </w:r>
    </w:p>
    <w:p w14:paraId="00E3ACD5" w14:textId="77777777" w:rsidR="005934CA" w:rsidRDefault="00000000">
      <w:pPr>
        <w:numPr>
          <w:ilvl w:val="0"/>
          <w:numId w:val="18"/>
        </w:numPr>
      </w:pPr>
      <w:r>
        <w:t>registro acadêmico separado do encerramento/notificação;</w:t>
      </w:r>
    </w:p>
    <w:p w14:paraId="396A208D" w14:textId="77777777" w:rsidR="005934CA" w:rsidRDefault="00000000">
      <w:pPr>
        <w:numPr>
          <w:ilvl w:val="0"/>
          <w:numId w:val="18"/>
        </w:numPr>
      </w:pPr>
      <w:r>
        <w:t xml:space="preserve">ao menos quatro </w:t>
      </w:r>
      <w:r>
        <w:rPr>
          <w:i/>
          <w:iCs/>
        </w:rPr>
        <w:t>handoffs</w:t>
      </w:r>
      <w:r>
        <w:t>;</w:t>
      </w:r>
    </w:p>
    <w:p w14:paraId="4D43CCFA" w14:textId="77777777" w:rsidR="005934CA" w:rsidRDefault="00000000">
      <w:pPr>
        <w:numPr>
          <w:ilvl w:val="0"/>
          <w:numId w:val="18"/>
        </w:numPr>
      </w:pPr>
      <w:r>
        <w:t>marca visual para elemento incerto ou ainda não validado.</w:t>
      </w:r>
    </w:p>
    <w:p w14:paraId="3D1B7580" w14:textId="77777777" w:rsidR="005934CA" w:rsidRDefault="00000000">
      <w:r>
        <w:t>Não desenhem confirmação automática, fila única nova, integração de sistemas ou outra melhoria que ainda não exista.</w:t>
      </w:r>
    </w:p>
    <w:p w14:paraId="617791CE" w14:textId="77777777" w:rsidR="005934CA" w:rsidRDefault="00000000">
      <w:pPr>
        <w:pStyle w:val="Corpodetexto"/>
      </w:pPr>
      <w:r>
        <w:t>Após o desenho, respondam:</w:t>
      </w:r>
    </w:p>
    <w:p w14:paraId="432171AA" w14:textId="77777777" w:rsidR="005934CA" w:rsidRDefault="00000000">
      <w:pPr>
        <w:numPr>
          <w:ilvl w:val="0"/>
          <w:numId w:val="19"/>
        </w:numPr>
      </w:pPr>
      <w:r>
        <w:t>Qual caminho representa o fluxo prescrito?</w:t>
      </w:r>
    </w:p>
    <w:p w14:paraId="75125AD3" w14:textId="77777777" w:rsidR="005934CA" w:rsidRDefault="00000000">
      <w:pPr>
        <w:numPr>
          <w:ilvl w:val="0"/>
          <w:numId w:val="19"/>
        </w:numPr>
      </w:pPr>
      <w:r>
        <w:t>Quais variantes representam a prática observada?</w:t>
      </w:r>
    </w:p>
    <w:p w14:paraId="5C334936" w14:textId="77777777" w:rsidR="005934CA" w:rsidRDefault="00000000">
      <w:pPr>
        <w:numPr>
          <w:ilvl w:val="0"/>
          <w:numId w:val="19"/>
        </w:numPr>
      </w:pPr>
      <w:r>
        <w:t>Qual parte do modelo possui evidência mais fraca?</w:t>
      </w:r>
    </w:p>
    <w:bookmarkEnd w:id="9"/>
    <w:p w14:paraId="0FE85E80" w14:textId="1DF4E61E" w:rsidR="005934CA" w:rsidRDefault="005934CA" w:rsidP="00946BF8"/>
    <w:sectPr w:rsidR="005934CA">
      <w:footerReference w:type="default" r:id="rId7"/>
      <w:pgSz w:w="11906" w:h="16838"/>
      <w:pgMar w:top="935" w:right="1020" w:bottom="879" w:left="102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443E0F" w14:textId="77777777" w:rsidR="00281B5C" w:rsidRDefault="00281B5C">
      <w:pPr>
        <w:spacing w:after="0" w:line="240" w:lineRule="auto"/>
      </w:pPr>
      <w:r>
        <w:separator/>
      </w:r>
    </w:p>
  </w:endnote>
  <w:endnote w:type="continuationSeparator" w:id="0">
    <w:p w14:paraId="40CC6737" w14:textId="77777777" w:rsidR="00281B5C" w:rsidRDefault="00281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7200"/>
      <w:gridCol w:w="2666"/>
    </w:tblGrid>
    <w:tr w:rsidR="00737C60" w14:paraId="1D5DC8EA" w14:textId="77777777">
      <w:tc>
        <w:tcPr>
          <w:tcW w:w="7200" w:type="dxa"/>
          <w:tcBorders>
            <w:top w:val="nil"/>
            <w:left w:val="nil"/>
            <w:bottom w:val="nil"/>
            <w:right w:val="nil"/>
          </w:tcBorders>
        </w:tcPr>
        <w:p w14:paraId="5FD8385E" w14:textId="06C965CE" w:rsidR="00737C60" w:rsidRDefault="00737C60">
          <w:pPr>
            <w:spacing w:after="0"/>
          </w:pPr>
        </w:p>
      </w:tc>
      <w:tc>
        <w:tcPr>
          <w:tcW w:w="2666" w:type="dxa"/>
          <w:tcBorders>
            <w:top w:val="nil"/>
            <w:left w:val="nil"/>
            <w:bottom w:val="nil"/>
            <w:right w:val="nil"/>
          </w:tcBorders>
        </w:tcPr>
        <w:p w14:paraId="04F746A5" w14:textId="77777777" w:rsidR="00737C60" w:rsidRDefault="00000000">
          <w:pPr>
            <w:spacing w:after="0"/>
            <w:jc w:val="right"/>
          </w:pPr>
          <w:r>
            <w:rPr>
              <w:color w:val="5E6C76"/>
              <w:sz w:val="16"/>
            </w:rPr>
            <w:t xml:space="preserve">p.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2A8F181" w14:textId="77777777" w:rsidR="00281B5C" w:rsidRDefault="00281B5C">
      <w:pPr>
        <w:spacing w:after="0" w:line="240" w:lineRule="auto"/>
      </w:pPr>
      <w:r>
        <w:separator/>
      </w:r>
    </w:p>
  </w:footnote>
  <w:footnote w:type="continuationSeparator" w:id="0">
    <w:p w14:paraId="1E750096" w14:textId="77777777" w:rsidR="00281B5C" w:rsidRDefault="00281B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F3BC14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B2F27B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00A992"/>
    <w:multiLevelType w:val="multilevel"/>
    <w:tmpl w:val="2B060C50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12" w15:restartNumberingAfterBreak="0">
    <w:nsid w:val="00A99411"/>
    <w:multiLevelType w:val="multilevel"/>
    <w:tmpl w:val="C9AC75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20888724">
    <w:abstractNumId w:val="8"/>
  </w:num>
  <w:num w:numId="2" w16cid:durableId="415132416">
    <w:abstractNumId w:val="6"/>
  </w:num>
  <w:num w:numId="3" w16cid:durableId="2032413991">
    <w:abstractNumId w:val="5"/>
  </w:num>
  <w:num w:numId="4" w16cid:durableId="410196098">
    <w:abstractNumId w:val="4"/>
  </w:num>
  <w:num w:numId="5" w16cid:durableId="999043641">
    <w:abstractNumId w:val="7"/>
  </w:num>
  <w:num w:numId="6" w16cid:durableId="539708914">
    <w:abstractNumId w:val="3"/>
  </w:num>
  <w:num w:numId="7" w16cid:durableId="1848715391">
    <w:abstractNumId w:val="2"/>
  </w:num>
  <w:num w:numId="8" w16cid:durableId="324675777">
    <w:abstractNumId w:val="1"/>
  </w:num>
  <w:num w:numId="9" w16cid:durableId="796609795">
    <w:abstractNumId w:val="0"/>
  </w:num>
  <w:num w:numId="10" w16cid:durableId="2100130732">
    <w:abstractNumId w:val="9"/>
  </w:num>
  <w:num w:numId="11" w16cid:durableId="900798382">
    <w:abstractNumId w:val="10"/>
  </w:num>
  <w:num w:numId="12" w16cid:durableId="244072964">
    <w:abstractNumId w:val="10"/>
  </w:num>
  <w:num w:numId="13" w16cid:durableId="27965219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5862852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48789065">
    <w:abstractNumId w:val="10"/>
  </w:num>
  <w:num w:numId="16" w16cid:durableId="1996763705">
    <w:abstractNumId w:val="10"/>
  </w:num>
  <w:num w:numId="17" w16cid:durableId="1427186765">
    <w:abstractNumId w:val="10"/>
  </w:num>
  <w:num w:numId="18" w16cid:durableId="826475338">
    <w:abstractNumId w:val="10"/>
  </w:num>
  <w:num w:numId="19" w16cid:durableId="112651167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53670996">
    <w:abstractNumId w:val="10"/>
  </w:num>
  <w:num w:numId="21" w16cid:durableId="12282973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58672068">
    <w:abstractNumId w:val="11"/>
  </w:num>
  <w:num w:numId="23" w16cid:durableId="1598755530">
    <w:abstractNumId w:val="11"/>
  </w:num>
  <w:num w:numId="24" w16cid:durableId="611060186">
    <w:abstractNumId w:val="11"/>
  </w:num>
  <w:num w:numId="25" w16cid:durableId="702753487">
    <w:abstractNumId w:val="11"/>
  </w:num>
  <w:num w:numId="26" w16cid:durableId="2098744399">
    <w:abstractNumId w:val="11"/>
  </w:num>
  <w:num w:numId="27" w16cid:durableId="1656715550">
    <w:abstractNumId w:val="11"/>
  </w:num>
  <w:num w:numId="28" w16cid:durableId="1926257779">
    <w:abstractNumId w:val="11"/>
  </w:num>
  <w:num w:numId="29" w16cid:durableId="1993872371">
    <w:abstractNumId w:val="11"/>
  </w:num>
  <w:num w:numId="30" w16cid:durableId="524949019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43A"/>
    <w:rsid w:val="00255DFA"/>
    <w:rsid w:val="00281B5C"/>
    <w:rsid w:val="0029639D"/>
    <w:rsid w:val="002F68A4"/>
    <w:rsid w:val="00326F90"/>
    <w:rsid w:val="003F1243"/>
    <w:rsid w:val="004D08F5"/>
    <w:rsid w:val="0056570A"/>
    <w:rsid w:val="00577125"/>
    <w:rsid w:val="005934CA"/>
    <w:rsid w:val="006B74F6"/>
    <w:rsid w:val="00737C60"/>
    <w:rsid w:val="009064E1"/>
    <w:rsid w:val="00946BF8"/>
    <w:rsid w:val="00A87331"/>
    <w:rsid w:val="00AA1D8D"/>
    <w:rsid w:val="00AB6689"/>
    <w:rsid w:val="00B47730"/>
    <w:rsid w:val="00C17D83"/>
    <w:rsid w:val="00C61033"/>
    <w:rsid w:val="00CB0664"/>
    <w:rsid w:val="00D47F1D"/>
    <w:rsid w:val="00E616CA"/>
    <w:rsid w:val="00EB246B"/>
    <w:rsid w:val="00F016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D5FF8B"/>
  <w15:docId w15:val="{31C440B4-BD8D-4B4B-9362-7B5FC9523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63746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24D"/>
      <w:sz w:val="4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6965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7324D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6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keepNext/>
      <w:numPr>
        <w:ilvl w:val="1"/>
      </w:numPr>
      <w:spacing w:before="200"/>
    </w:pPr>
    <w:rPr>
      <w:rFonts w:asciiTheme="majorHAnsi" w:eastAsiaTheme="majorEastAsia" w:hAnsiTheme="majorHAnsi" w:cstheme="majorBidi"/>
      <w:b/>
      <w:i/>
      <w:iCs/>
      <w:color w:val="007F7B"/>
      <w:spacing w:val="15"/>
      <w:sz w:val="28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shd w:val="clear" w:color="auto" w:fill="F1F3F5"/>
      <w:wordWrap w:val="0"/>
    </w:pPr>
  </w:style>
  <w:style w:type="character" w:customStyle="1" w:styleId="KeywordTok">
    <w:name w:val="KeywordTok"/>
    <w:rPr>
      <w:b/>
      <w:color w:val="003B4F"/>
      <w:shd w:val="clear" w:color="auto" w:fill="F1F3F5"/>
    </w:rPr>
  </w:style>
  <w:style w:type="character" w:customStyle="1" w:styleId="DataTypeTok">
    <w:name w:val="DataTypeTok"/>
    <w:rPr>
      <w:color w:val="AD0000"/>
      <w:shd w:val="clear" w:color="auto" w:fill="F1F3F5"/>
    </w:rPr>
  </w:style>
  <w:style w:type="character" w:customStyle="1" w:styleId="DecValTok">
    <w:name w:val="DecValTok"/>
    <w:rPr>
      <w:color w:val="AD0000"/>
      <w:shd w:val="clear" w:color="auto" w:fill="F1F3F5"/>
    </w:rPr>
  </w:style>
  <w:style w:type="character" w:customStyle="1" w:styleId="BaseNTok">
    <w:name w:val="BaseNTok"/>
    <w:rPr>
      <w:color w:val="AD0000"/>
      <w:shd w:val="clear" w:color="auto" w:fill="F1F3F5"/>
    </w:rPr>
  </w:style>
  <w:style w:type="character" w:customStyle="1" w:styleId="FloatTok">
    <w:name w:val="FloatTok"/>
    <w:rPr>
      <w:color w:val="AD0000"/>
      <w:shd w:val="clear" w:color="auto" w:fill="F1F3F5"/>
    </w:rPr>
  </w:style>
  <w:style w:type="character" w:customStyle="1" w:styleId="ConstantTok">
    <w:name w:val="ConstantTok"/>
    <w:rPr>
      <w:color w:val="8F5902"/>
      <w:shd w:val="clear" w:color="auto" w:fill="F1F3F5"/>
    </w:rPr>
  </w:style>
  <w:style w:type="character" w:customStyle="1" w:styleId="CharTok">
    <w:name w:val="CharTok"/>
    <w:rPr>
      <w:color w:val="20794D"/>
      <w:shd w:val="clear" w:color="auto" w:fill="F1F3F5"/>
    </w:rPr>
  </w:style>
  <w:style w:type="character" w:customStyle="1" w:styleId="SpecialCharTok">
    <w:name w:val="SpecialCharTok"/>
    <w:rPr>
      <w:color w:val="5E5E5E"/>
      <w:shd w:val="clear" w:color="auto" w:fill="F1F3F5"/>
    </w:rPr>
  </w:style>
  <w:style w:type="character" w:customStyle="1" w:styleId="StringTok">
    <w:name w:val="StringTok"/>
    <w:rPr>
      <w:color w:val="20794D"/>
      <w:shd w:val="clear" w:color="auto" w:fill="F1F3F5"/>
    </w:rPr>
  </w:style>
  <w:style w:type="character" w:customStyle="1" w:styleId="VerbatimStringTok">
    <w:name w:val="VerbatimStringTok"/>
    <w:rPr>
      <w:color w:val="20794D"/>
      <w:shd w:val="clear" w:color="auto" w:fill="F1F3F5"/>
    </w:rPr>
  </w:style>
  <w:style w:type="character" w:customStyle="1" w:styleId="SpecialStringTok">
    <w:name w:val="SpecialStringTok"/>
    <w:rPr>
      <w:color w:val="20794D"/>
      <w:shd w:val="clear" w:color="auto" w:fill="F1F3F5"/>
    </w:rPr>
  </w:style>
  <w:style w:type="character" w:customStyle="1" w:styleId="ImportTok">
    <w:name w:val="ImportTok"/>
    <w:rPr>
      <w:color w:val="00769E"/>
      <w:shd w:val="clear" w:color="auto" w:fill="F1F3F5"/>
    </w:rPr>
  </w:style>
  <w:style w:type="character" w:customStyle="1" w:styleId="CommentTok">
    <w:name w:val="CommentTok"/>
    <w:rPr>
      <w:color w:val="5E5E5E"/>
      <w:shd w:val="clear" w:color="auto" w:fill="F1F3F5"/>
    </w:rPr>
  </w:style>
  <w:style w:type="character" w:customStyle="1" w:styleId="DocumentationTok">
    <w:name w:val="DocumentationTok"/>
    <w:rPr>
      <w:i/>
      <w:color w:val="5E5E5E"/>
      <w:shd w:val="clear" w:color="auto" w:fill="F1F3F5"/>
    </w:rPr>
  </w:style>
  <w:style w:type="character" w:customStyle="1" w:styleId="AnnotationTok">
    <w:name w:val="AnnotationTok"/>
    <w:rPr>
      <w:color w:val="5E5E5E"/>
      <w:shd w:val="clear" w:color="auto" w:fill="F1F3F5"/>
    </w:rPr>
  </w:style>
  <w:style w:type="character" w:customStyle="1" w:styleId="CommentVarTok">
    <w:name w:val="CommentVarTok"/>
    <w:rPr>
      <w:i/>
      <w:color w:val="5E5E5E"/>
      <w:shd w:val="clear" w:color="auto" w:fill="F1F3F5"/>
    </w:rPr>
  </w:style>
  <w:style w:type="character" w:customStyle="1" w:styleId="OtherTok">
    <w:name w:val="OtherTok"/>
    <w:rPr>
      <w:color w:val="003B4F"/>
      <w:shd w:val="clear" w:color="auto" w:fill="F1F3F5"/>
    </w:rPr>
  </w:style>
  <w:style w:type="character" w:customStyle="1" w:styleId="FunctionTok">
    <w:name w:val="FunctionTok"/>
    <w:rPr>
      <w:color w:val="4758AB"/>
      <w:shd w:val="clear" w:color="auto" w:fill="F1F3F5"/>
    </w:rPr>
  </w:style>
  <w:style w:type="character" w:customStyle="1" w:styleId="VariableTok">
    <w:name w:val="VariableTok"/>
    <w:rPr>
      <w:color w:val="111111"/>
      <w:shd w:val="clear" w:color="auto" w:fill="F1F3F5"/>
    </w:rPr>
  </w:style>
  <w:style w:type="character" w:customStyle="1" w:styleId="ControlFlowTok">
    <w:name w:val="ControlFlowTok"/>
    <w:rPr>
      <w:b/>
      <w:color w:val="003B4F"/>
      <w:shd w:val="clear" w:color="auto" w:fill="F1F3F5"/>
    </w:rPr>
  </w:style>
  <w:style w:type="character" w:customStyle="1" w:styleId="OperatorTok">
    <w:name w:val="OperatorTok"/>
    <w:rPr>
      <w:color w:val="5E5E5E"/>
      <w:shd w:val="clear" w:color="auto" w:fill="F1F3F5"/>
    </w:rPr>
  </w:style>
  <w:style w:type="character" w:customStyle="1" w:styleId="BuiltInTok">
    <w:name w:val="BuiltInTok"/>
    <w:rPr>
      <w:color w:val="003B4F"/>
      <w:shd w:val="clear" w:color="auto" w:fill="F1F3F5"/>
    </w:rPr>
  </w:style>
  <w:style w:type="character" w:customStyle="1" w:styleId="ExtensionTok">
    <w:name w:val="ExtensionTok"/>
    <w:rPr>
      <w:color w:val="003B4F"/>
      <w:shd w:val="clear" w:color="auto" w:fill="F1F3F5"/>
    </w:rPr>
  </w:style>
  <w:style w:type="character" w:customStyle="1" w:styleId="PreprocessorTok">
    <w:name w:val="PreprocessorTok"/>
    <w:rPr>
      <w:color w:val="AD0000"/>
      <w:shd w:val="clear" w:color="auto" w:fill="F1F3F5"/>
    </w:rPr>
  </w:style>
  <w:style w:type="character" w:customStyle="1" w:styleId="AttributeTok">
    <w:name w:val="AttributeTok"/>
    <w:rPr>
      <w:color w:val="657422"/>
      <w:shd w:val="clear" w:color="auto" w:fill="F1F3F5"/>
    </w:rPr>
  </w:style>
  <w:style w:type="character" w:customStyle="1" w:styleId="RegionMarkerTok">
    <w:name w:val="RegionMarkerTok"/>
    <w:rPr>
      <w:color w:val="003B4F"/>
      <w:shd w:val="clear" w:color="auto" w:fill="F1F3F5"/>
    </w:rPr>
  </w:style>
  <w:style w:type="character" w:customStyle="1" w:styleId="InformationTok">
    <w:name w:val="InformationTok"/>
    <w:rPr>
      <w:color w:val="5E5E5E"/>
      <w:shd w:val="clear" w:color="auto" w:fill="F1F3F5"/>
    </w:rPr>
  </w:style>
  <w:style w:type="character" w:customStyle="1" w:styleId="WarningTok">
    <w:name w:val="WarningTok"/>
    <w:rPr>
      <w:i/>
      <w:color w:val="5E5E5E"/>
      <w:shd w:val="clear" w:color="auto" w:fill="F1F3F5"/>
    </w:rPr>
  </w:style>
  <w:style w:type="character" w:customStyle="1" w:styleId="AlertTok">
    <w:name w:val="AlertTok"/>
    <w:rPr>
      <w:color w:val="AD0000"/>
      <w:shd w:val="clear" w:color="auto" w:fill="F1F3F5"/>
    </w:rPr>
  </w:style>
  <w:style w:type="character" w:customStyle="1" w:styleId="ErrorTok">
    <w:name w:val="ErrorTok"/>
    <w:rPr>
      <w:color w:val="AD0000"/>
      <w:shd w:val="clear" w:color="auto" w:fill="F1F3F5"/>
    </w:rPr>
  </w:style>
  <w:style w:type="character" w:customStyle="1" w:styleId="NormalTok">
    <w:name w:val="NormalTok"/>
    <w:rPr>
      <w:color w:val="003B4F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1118</Words>
  <Characters>6038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Atividade Integradora — Aulas 1 e 2 — Versão Estudante</vt:lpstr>
      <vt:lpstr/>
    </vt:vector>
  </TitlesOfParts>
  <Manager/>
  <Company/>
  <LinksUpToDate>false</LinksUpToDate>
  <CharactersWithSpaces>7142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Tarefa 3 — O processo que ninguém executa igual</dc:title>
  <cp:keywords/>
  <dc:language>pt-BR</dc:language>
</cp:coreProperties>
</file>